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2EBDA" w14:textId="1D64AAFB" w:rsidR="00123B5A" w:rsidRPr="001C3685" w:rsidRDefault="00123B5A" w:rsidP="00123B5A">
      <w:pPr>
        <w:rPr>
          <w:rFonts w:ascii="Times New Roman" w:hAnsi="Times New Roman" w:cs="Times New Roman"/>
          <w:kern w:val="0"/>
          <w:sz w:val="24"/>
          <w:szCs w:val="24"/>
        </w:rPr>
      </w:pPr>
      <w:bookmarkStart w:id="0" w:name="_GoBack"/>
      <w:r w:rsidRPr="001C3685">
        <w:rPr>
          <w:rFonts w:ascii="Times New Roman" w:hAnsi="Times New Roman" w:cs="Times New Roman"/>
          <w:kern w:val="0"/>
          <w:sz w:val="24"/>
          <w:szCs w:val="24"/>
        </w:rPr>
        <w:t>Supplementary Table S</w:t>
      </w:r>
      <w:r w:rsidR="009C5B6A">
        <w:rPr>
          <w:rFonts w:ascii="Times New Roman" w:hAnsi="Times New Roman" w:cs="Times New Roman" w:hint="eastAsia"/>
          <w:kern w:val="0"/>
          <w:sz w:val="24"/>
          <w:szCs w:val="24"/>
        </w:rPr>
        <w:t>2</w:t>
      </w:r>
      <w:r w:rsidRPr="001C3685">
        <w:rPr>
          <w:rFonts w:ascii="Times New Roman" w:hAnsi="Times New Roman" w:cs="Times New Roman"/>
          <w:kern w:val="0"/>
          <w:sz w:val="24"/>
          <w:szCs w:val="24"/>
        </w:rPr>
        <w:t>. Multivariate logistic regression analysis of factors associated w</w:t>
      </w:r>
      <w:bookmarkStart w:id="1" w:name="OLE_LINK76"/>
      <w:r w:rsidRPr="001C3685">
        <w:rPr>
          <w:rFonts w:ascii="Times New Roman" w:hAnsi="Times New Roman" w:cs="Times New Roman"/>
          <w:kern w:val="0"/>
          <w:sz w:val="24"/>
          <w:szCs w:val="24"/>
        </w:rPr>
        <w:t>ith hemorrhagic transformation</w:t>
      </w:r>
      <w:bookmarkEnd w:id="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2551"/>
        <w:gridCol w:w="2064"/>
      </w:tblGrid>
      <w:tr w:rsidR="00123B5A" w:rsidRPr="0061101A" w14:paraId="09470E03" w14:textId="77777777" w:rsidTr="002A33F1">
        <w:tc>
          <w:tcPr>
            <w:tcW w:w="3681" w:type="dxa"/>
            <w:vAlign w:val="center"/>
          </w:tcPr>
          <w:p w14:paraId="3B5EEADA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2551" w:type="dxa"/>
            <w:vAlign w:val="center"/>
          </w:tcPr>
          <w:p w14:paraId="43649353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  <w:b/>
                <w:bCs/>
              </w:rPr>
              <w:t>OR (95% CI)</w:t>
            </w:r>
          </w:p>
        </w:tc>
        <w:tc>
          <w:tcPr>
            <w:tcW w:w="2064" w:type="dxa"/>
            <w:vAlign w:val="center"/>
          </w:tcPr>
          <w:p w14:paraId="0474A0BC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  <w:b/>
                <w:bCs/>
              </w:rPr>
              <w:t>P value</w:t>
            </w:r>
          </w:p>
        </w:tc>
      </w:tr>
      <w:tr w:rsidR="00123B5A" w:rsidRPr="0061101A" w14:paraId="1B53A175" w14:textId="77777777" w:rsidTr="002A33F1">
        <w:tc>
          <w:tcPr>
            <w:tcW w:w="3681" w:type="dxa"/>
            <w:vAlign w:val="center"/>
          </w:tcPr>
          <w:p w14:paraId="05F14809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Baseline NIHSS score</w:t>
            </w:r>
          </w:p>
        </w:tc>
        <w:tc>
          <w:tcPr>
            <w:tcW w:w="2551" w:type="dxa"/>
            <w:vAlign w:val="center"/>
          </w:tcPr>
          <w:p w14:paraId="14652490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1.474 (1.203–1.883)</w:t>
            </w:r>
          </w:p>
        </w:tc>
        <w:tc>
          <w:tcPr>
            <w:tcW w:w="2064" w:type="dxa"/>
            <w:vAlign w:val="center"/>
          </w:tcPr>
          <w:p w14:paraId="073870FF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0.018</w:t>
            </w:r>
          </w:p>
        </w:tc>
      </w:tr>
      <w:tr w:rsidR="00123B5A" w:rsidRPr="0061101A" w14:paraId="264C1D68" w14:textId="77777777" w:rsidTr="002A33F1">
        <w:tc>
          <w:tcPr>
            <w:tcW w:w="3681" w:type="dxa"/>
            <w:vAlign w:val="center"/>
          </w:tcPr>
          <w:p w14:paraId="7265CF88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Fasting blood glucose</w:t>
            </w:r>
          </w:p>
        </w:tc>
        <w:tc>
          <w:tcPr>
            <w:tcW w:w="2551" w:type="dxa"/>
            <w:vAlign w:val="center"/>
          </w:tcPr>
          <w:p w14:paraId="46D77FEE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1.408 (1.094–2.006)</w:t>
            </w:r>
          </w:p>
        </w:tc>
        <w:tc>
          <w:tcPr>
            <w:tcW w:w="2064" w:type="dxa"/>
            <w:vAlign w:val="center"/>
          </w:tcPr>
          <w:p w14:paraId="54539A1D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0.034</w:t>
            </w:r>
          </w:p>
        </w:tc>
      </w:tr>
      <w:tr w:rsidR="00123B5A" w:rsidRPr="0061101A" w14:paraId="5AB263C1" w14:textId="77777777" w:rsidTr="002A33F1">
        <w:tc>
          <w:tcPr>
            <w:tcW w:w="3681" w:type="dxa"/>
            <w:vAlign w:val="center"/>
          </w:tcPr>
          <w:p w14:paraId="5110F493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Admission SBP</w:t>
            </w:r>
          </w:p>
        </w:tc>
        <w:tc>
          <w:tcPr>
            <w:tcW w:w="2551" w:type="dxa"/>
            <w:vAlign w:val="center"/>
          </w:tcPr>
          <w:p w14:paraId="1283846C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1.029 (0.694–1.527)</w:t>
            </w:r>
          </w:p>
        </w:tc>
        <w:tc>
          <w:tcPr>
            <w:tcW w:w="2064" w:type="dxa"/>
            <w:vAlign w:val="center"/>
          </w:tcPr>
          <w:p w14:paraId="5A7BCE9E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0.885</w:t>
            </w:r>
          </w:p>
        </w:tc>
      </w:tr>
      <w:tr w:rsidR="00123B5A" w:rsidRPr="0061101A" w14:paraId="2E3F29AD" w14:textId="77777777" w:rsidTr="002A33F1">
        <w:tc>
          <w:tcPr>
            <w:tcW w:w="3681" w:type="dxa"/>
            <w:vAlign w:val="center"/>
          </w:tcPr>
          <w:p w14:paraId="08A9D396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Smoking history</w:t>
            </w:r>
          </w:p>
        </w:tc>
        <w:tc>
          <w:tcPr>
            <w:tcW w:w="2551" w:type="dxa"/>
            <w:vAlign w:val="center"/>
          </w:tcPr>
          <w:p w14:paraId="7626C741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1.202 (0.871–1.432)</w:t>
            </w:r>
          </w:p>
        </w:tc>
        <w:tc>
          <w:tcPr>
            <w:tcW w:w="2064" w:type="dxa"/>
            <w:vAlign w:val="center"/>
          </w:tcPr>
          <w:p w14:paraId="48B6F76F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0.531</w:t>
            </w:r>
          </w:p>
        </w:tc>
      </w:tr>
      <w:tr w:rsidR="00123B5A" w:rsidRPr="0061101A" w14:paraId="124ACF92" w14:textId="77777777" w:rsidTr="002A33F1">
        <w:tc>
          <w:tcPr>
            <w:tcW w:w="3681" w:type="dxa"/>
            <w:vAlign w:val="center"/>
          </w:tcPr>
          <w:p w14:paraId="482EAF35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Plaque enhancement grade</w:t>
            </w:r>
          </w:p>
        </w:tc>
        <w:tc>
          <w:tcPr>
            <w:tcW w:w="2551" w:type="dxa"/>
            <w:vAlign w:val="center"/>
          </w:tcPr>
          <w:p w14:paraId="42046A88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1.523 (1.187–1.849)</w:t>
            </w:r>
          </w:p>
        </w:tc>
        <w:tc>
          <w:tcPr>
            <w:tcW w:w="2064" w:type="dxa"/>
            <w:vAlign w:val="center"/>
          </w:tcPr>
          <w:p w14:paraId="3E77BAEC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0.009</w:t>
            </w:r>
          </w:p>
        </w:tc>
      </w:tr>
      <w:tr w:rsidR="00123B5A" w:rsidRPr="0061101A" w14:paraId="7CA0523A" w14:textId="77777777" w:rsidTr="002A33F1">
        <w:tc>
          <w:tcPr>
            <w:tcW w:w="3681" w:type="dxa"/>
            <w:vAlign w:val="center"/>
          </w:tcPr>
          <w:p w14:paraId="5B09D3BA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Intravenous thrombolysis</w:t>
            </w:r>
          </w:p>
        </w:tc>
        <w:tc>
          <w:tcPr>
            <w:tcW w:w="2551" w:type="dxa"/>
            <w:vAlign w:val="center"/>
          </w:tcPr>
          <w:p w14:paraId="230C6F8C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1.051 (0.690–1.594)</w:t>
            </w:r>
          </w:p>
        </w:tc>
        <w:tc>
          <w:tcPr>
            <w:tcW w:w="2064" w:type="dxa"/>
            <w:vAlign w:val="center"/>
          </w:tcPr>
          <w:p w14:paraId="2F2013B2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0.814</w:t>
            </w:r>
          </w:p>
        </w:tc>
      </w:tr>
      <w:tr w:rsidR="00123B5A" w:rsidRPr="0061101A" w14:paraId="63D7357B" w14:textId="77777777" w:rsidTr="002A33F1">
        <w:tc>
          <w:tcPr>
            <w:tcW w:w="3681" w:type="dxa"/>
            <w:vAlign w:val="center"/>
          </w:tcPr>
          <w:p w14:paraId="2D7F6E9C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Infarct core volume</w:t>
            </w:r>
          </w:p>
        </w:tc>
        <w:tc>
          <w:tcPr>
            <w:tcW w:w="2551" w:type="dxa"/>
            <w:vAlign w:val="center"/>
          </w:tcPr>
          <w:p w14:paraId="0CC3341C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1.378 (1.086–1.596)</w:t>
            </w:r>
          </w:p>
        </w:tc>
        <w:tc>
          <w:tcPr>
            <w:tcW w:w="2064" w:type="dxa"/>
            <w:vAlign w:val="center"/>
          </w:tcPr>
          <w:p w14:paraId="37B2DD0E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0.033</w:t>
            </w:r>
          </w:p>
        </w:tc>
      </w:tr>
      <w:tr w:rsidR="00123B5A" w:rsidRPr="0061101A" w14:paraId="2E403C9B" w14:textId="77777777" w:rsidTr="002A33F1">
        <w:tc>
          <w:tcPr>
            <w:tcW w:w="3681" w:type="dxa"/>
            <w:vAlign w:val="center"/>
          </w:tcPr>
          <w:p w14:paraId="522B8FE4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Degree of stenosis</w:t>
            </w:r>
          </w:p>
        </w:tc>
        <w:tc>
          <w:tcPr>
            <w:tcW w:w="2551" w:type="dxa"/>
            <w:vAlign w:val="center"/>
          </w:tcPr>
          <w:p w14:paraId="6C3C005B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1.063 (0.885–1.045)</w:t>
            </w:r>
          </w:p>
        </w:tc>
        <w:tc>
          <w:tcPr>
            <w:tcW w:w="2064" w:type="dxa"/>
            <w:vAlign w:val="center"/>
          </w:tcPr>
          <w:p w14:paraId="54E69DCA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0.372</w:t>
            </w:r>
          </w:p>
        </w:tc>
      </w:tr>
      <w:tr w:rsidR="00123B5A" w:rsidRPr="0061101A" w14:paraId="396BC879" w14:textId="77777777" w:rsidTr="002A33F1">
        <w:tc>
          <w:tcPr>
            <w:tcW w:w="3681" w:type="dxa"/>
            <w:vAlign w:val="center"/>
          </w:tcPr>
          <w:p w14:paraId="7161C133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Surface ulceration</w:t>
            </w:r>
          </w:p>
        </w:tc>
        <w:tc>
          <w:tcPr>
            <w:tcW w:w="2551" w:type="dxa"/>
            <w:vAlign w:val="center"/>
          </w:tcPr>
          <w:p w14:paraId="4E3DB8E3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1.076 (0.828–1.147)</w:t>
            </w:r>
          </w:p>
        </w:tc>
        <w:tc>
          <w:tcPr>
            <w:tcW w:w="2064" w:type="dxa"/>
            <w:vAlign w:val="center"/>
          </w:tcPr>
          <w:p w14:paraId="30EAC3F1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0.765</w:t>
            </w:r>
          </w:p>
        </w:tc>
      </w:tr>
      <w:tr w:rsidR="00123B5A" w:rsidRPr="0061101A" w14:paraId="34455401" w14:textId="77777777" w:rsidTr="002A33F1">
        <w:tc>
          <w:tcPr>
            <w:tcW w:w="3681" w:type="dxa"/>
            <w:vAlign w:val="center"/>
          </w:tcPr>
          <w:p w14:paraId="76F68E37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Cerebral microbleeds</w:t>
            </w:r>
          </w:p>
        </w:tc>
        <w:tc>
          <w:tcPr>
            <w:tcW w:w="2551" w:type="dxa"/>
            <w:vAlign w:val="center"/>
          </w:tcPr>
          <w:p w14:paraId="6BBAC006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1.341 (1.078–1.851)</w:t>
            </w:r>
          </w:p>
        </w:tc>
        <w:tc>
          <w:tcPr>
            <w:tcW w:w="2064" w:type="dxa"/>
            <w:vAlign w:val="center"/>
          </w:tcPr>
          <w:p w14:paraId="7665A3AE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0.025</w:t>
            </w:r>
          </w:p>
        </w:tc>
      </w:tr>
      <w:tr w:rsidR="00123B5A" w:rsidRPr="0061101A" w14:paraId="73CEB4AB" w14:textId="77777777" w:rsidTr="002A33F1">
        <w:tc>
          <w:tcPr>
            <w:tcW w:w="3681" w:type="dxa"/>
            <w:vAlign w:val="center"/>
          </w:tcPr>
          <w:p w14:paraId="62B485B3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HARM sign</w:t>
            </w:r>
          </w:p>
        </w:tc>
        <w:tc>
          <w:tcPr>
            <w:tcW w:w="2551" w:type="dxa"/>
            <w:vAlign w:val="center"/>
          </w:tcPr>
          <w:p w14:paraId="427A0DFA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2.073 (1.571–2.437)</w:t>
            </w:r>
          </w:p>
        </w:tc>
        <w:tc>
          <w:tcPr>
            <w:tcW w:w="2064" w:type="dxa"/>
            <w:vAlign w:val="center"/>
          </w:tcPr>
          <w:p w14:paraId="5F770383" w14:textId="77777777" w:rsidR="00123B5A" w:rsidRPr="0061101A" w:rsidRDefault="00123B5A" w:rsidP="002A33F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1101A">
              <w:rPr>
                <w:rFonts w:ascii="Times New Roman" w:hAnsi="Times New Roman" w:cs="Times New Roman"/>
              </w:rPr>
              <w:t>0.032</w:t>
            </w:r>
          </w:p>
        </w:tc>
      </w:tr>
    </w:tbl>
    <w:p w14:paraId="4CE7E11F" w14:textId="6C58E56D" w:rsidR="009D265A" w:rsidRDefault="00913A6E">
      <w:pPr>
        <w:rPr>
          <w:rFonts w:ascii="Times New Roman" w:hAnsi="Times New Roman" w:cs="Times New Roman"/>
          <w:sz w:val="22"/>
        </w:rPr>
      </w:pPr>
      <w:r w:rsidRPr="00DD4770">
        <w:rPr>
          <w:rFonts w:ascii="Times New Roman" w:eastAsia="SimSun" w:hAnsi="Times New Roman" w:cs="Times New Roman"/>
          <w:b/>
          <w:sz w:val="22"/>
        </w:rPr>
        <w:t>Note:</w:t>
      </w:r>
      <w:r w:rsidRPr="001D2808">
        <w:rPr>
          <w:rFonts w:ascii="Times New Roman" w:hAnsi="Times New Roman" w:cs="Times New Roman"/>
          <w:sz w:val="22"/>
        </w:rPr>
        <w:t>Ab</w:t>
      </w:r>
      <w:bookmarkStart w:id="2" w:name="OLE_LINK80"/>
      <w:r w:rsidRPr="001D2808">
        <w:rPr>
          <w:rFonts w:ascii="Times New Roman" w:hAnsi="Times New Roman" w:cs="Times New Roman"/>
          <w:sz w:val="22"/>
        </w:rPr>
        <w:t>breviatio</w:t>
      </w:r>
      <w:bookmarkEnd w:id="2"/>
      <w:r w:rsidRPr="001D2808">
        <w:rPr>
          <w:rFonts w:ascii="Times New Roman" w:hAnsi="Times New Roman" w:cs="Times New Roman"/>
          <w:sz w:val="22"/>
        </w:rPr>
        <w:t>ns: </w:t>
      </w:r>
      <w:r w:rsidR="00123B5A" w:rsidRPr="00913A6E">
        <w:rPr>
          <w:rFonts w:ascii="Times New Roman" w:hAnsi="Times New Roman" w:cs="Times New Roman"/>
          <w:sz w:val="22"/>
        </w:rPr>
        <w:t>OR, odds ratio; CI, confidence interval; NIHSS, National Institutes of Health Stroke Scale; SBP, systolic blood pressure.</w:t>
      </w:r>
    </w:p>
    <w:p w14:paraId="0B992473" w14:textId="77777777" w:rsidR="00913A6E" w:rsidRPr="00913A6E" w:rsidRDefault="00913A6E" w:rsidP="00913A6E">
      <w:pPr>
        <w:rPr>
          <w:rFonts w:ascii="Times New Roman" w:hAnsi="Times New Roman" w:cs="Times New Roman"/>
          <w:sz w:val="22"/>
        </w:rPr>
      </w:pPr>
    </w:p>
    <w:p w14:paraId="6D3906AC" w14:textId="77777777" w:rsidR="00913A6E" w:rsidRPr="00913A6E" w:rsidRDefault="00913A6E" w:rsidP="00913A6E">
      <w:pPr>
        <w:rPr>
          <w:rFonts w:ascii="Times New Roman" w:hAnsi="Times New Roman" w:cs="Times New Roman"/>
          <w:sz w:val="22"/>
        </w:rPr>
      </w:pPr>
    </w:p>
    <w:p w14:paraId="0ADE236A" w14:textId="77777777" w:rsidR="00913A6E" w:rsidRPr="00913A6E" w:rsidRDefault="00913A6E" w:rsidP="00913A6E">
      <w:pPr>
        <w:rPr>
          <w:rFonts w:ascii="Times New Roman" w:hAnsi="Times New Roman" w:cs="Times New Roman"/>
          <w:sz w:val="22"/>
        </w:rPr>
      </w:pPr>
    </w:p>
    <w:p w14:paraId="5982BF3E" w14:textId="77777777" w:rsidR="00913A6E" w:rsidRDefault="00913A6E" w:rsidP="00913A6E">
      <w:pPr>
        <w:rPr>
          <w:rFonts w:ascii="Times New Roman" w:hAnsi="Times New Roman" w:cs="Times New Roman"/>
          <w:sz w:val="22"/>
        </w:rPr>
      </w:pPr>
    </w:p>
    <w:p w14:paraId="0B7C28B6" w14:textId="35327CB9" w:rsidR="00913A6E" w:rsidRPr="00913A6E" w:rsidRDefault="00913A6E" w:rsidP="00913A6E">
      <w:pPr>
        <w:tabs>
          <w:tab w:val="left" w:pos="6660"/>
        </w:tabs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ab/>
      </w:r>
      <w:bookmarkEnd w:id="0"/>
    </w:p>
    <w:sectPr w:rsidR="00913A6E" w:rsidRPr="00913A6E" w:rsidSect="009310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75F232" w14:textId="77777777" w:rsidR="00BF1E38" w:rsidRDefault="00BF1E38" w:rsidP="00123B5A">
      <w:r>
        <w:separator/>
      </w:r>
    </w:p>
  </w:endnote>
  <w:endnote w:type="continuationSeparator" w:id="0">
    <w:p w14:paraId="68B6E4CA" w14:textId="77777777" w:rsidR="00BF1E38" w:rsidRDefault="00BF1E38" w:rsidP="00123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B7F34F" w14:textId="77777777" w:rsidR="00BF1E38" w:rsidRDefault="00BF1E38" w:rsidP="00123B5A">
      <w:r>
        <w:separator/>
      </w:r>
    </w:p>
  </w:footnote>
  <w:footnote w:type="continuationSeparator" w:id="0">
    <w:p w14:paraId="1CCA1776" w14:textId="77777777" w:rsidR="00BF1E38" w:rsidRDefault="00BF1E38" w:rsidP="00123B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C77"/>
    <w:rsid w:val="00123B5A"/>
    <w:rsid w:val="0048326C"/>
    <w:rsid w:val="00587C62"/>
    <w:rsid w:val="00913A6E"/>
    <w:rsid w:val="00931043"/>
    <w:rsid w:val="009C5B6A"/>
    <w:rsid w:val="009D265A"/>
    <w:rsid w:val="00B37C77"/>
    <w:rsid w:val="00BF1E38"/>
    <w:rsid w:val="00CC4A2C"/>
    <w:rsid w:val="00CD0A19"/>
    <w:rsid w:val="00DC3FD9"/>
    <w:rsid w:val="00E959AB"/>
    <w:rsid w:val="00EA5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B28C0D"/>
  <w15:chartTrackingRefBased/>
  <w15:docId w15:val="{3B8D86FD-2BE6-49AC-B105-C578E4617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3B5A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B37C7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7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7C7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7C7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7C7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7C7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7C7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7C7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7C7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7C7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7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7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7C77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7C77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7C77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7C77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7C77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7C77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B37C7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7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7C7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7C7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7C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7C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7C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7C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C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7C7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23B5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23B5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3B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23B5A"/>
    <w:rPr>
      <w:sz w:val="18"/>
      <w:szCs w:val="18"/>
    </w:rPr>
  </w:style>
  <w:style w:type="table" w:styleId="TableGrid">
    <w:name w:val="Table Grid"/>
    <w:basedOn w:val="TableNormal"/>
    <w:uiPriority w:val="39"/>
    <w:rsid w:val="00123B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699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evie johnston</dc:creator>
  <cp:keywords/>
  <dc:description/>
  <cp:lastModifiedBy>Sahaya M</cp:lastModifiedBy>
  <cp:revision>12</cp:revision>
  <dcterms:created xsi:type="dcterms:W3CDTF">2026-07-02T06:50:00Z</dcterms:created>
  <dcterms:modified xsi:type="dcterms:W3CDTF">2026-09-16T17:48:00Z</dcterms:modified>
</cp:coreProperties>
</file>