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1" w:type="dxa"/>
        <w:jc w:val="center"/>
        <w:tblBorders>
          <w:top w:val="single" w:sz="4" w:space="0" w:color="000000" w:themeColor="text1"/>
          <w:bottom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993"/>
        <w:gridCol w:w="2560"/>
        <w:gridCol w:w="835"/>
      </w:tblGrid>
      <w:tr w:rsidR="00EC0B01" w:rsidRPr="00EC0B01" w14:paraId="36FA1DE0" w14:textId="77777777" w:rsidTr="00BF45F2">
        <w:trPr>
          <w:trHeight w:val="1020"/>
          <w:jc w:val="center"/>
        </w:trPr>
        <w:tc>
          <w:tcPr>
            <w:tcW w:w="9491" w:type="dxa"/>
            <w:gridSpan w:val="5"/>
            <w:tcBorders>
              <w:top w:val="nil"/>
              <w:bottom w:val="single" w:sz="4" w:space="0" w:color="000000" w:themeColor="text1"/>
            </w:tcBorders>
            <w:noWrap/>
            <w:vAlign w:val="center"/>
            <w:hideMark/>
          </w:tcPr>
          <w:p w14:paraId="7A234AD1" w14:textId="2145ADB9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Supplementary Table 1 Reproductive outcomes of GnRH</w:t>
            </w:r>
            <w:r w:rsidRPr="00EC0B01">
              <w:rPr>
                <w:rFonts w:ascii="Times New Roman" w:eastAsia="MS Gothic" w:hAnsi="Times New Roman" w:cs="Times New Roman"/>
                <w:b/>
                <w:bCs/>
              </w:rPr>
              <w:t>‑</w:t>
            </w:r>
            <w:r w:rsidRPr="00EC0B01">
              <w:rPr>
                <w:rFonts w:ascii="Times New Roman" w:hAnsi="Times New Roman" w:cs="Times New Roman"/>
                <w:b/>
                <w:bCs/>
              </w:rPr>
              <w:t>ant and mild stimulation protocols versus GnRH</w:t>
            </w:r>
            <w:r w:rsidRPr="00EC0B01">
              <w:rPr>
                <w:rFonts w:ascii="Times New Roman" w:eastAsia="MS Gothic" w:hAnsi="Times New Roman" w:cs="Times New Roman"/>
                <w:b/>
                <w:bCs/>
              </w:rPr>
              <w:t>‑</w:t>
            </w:r>
            <w:r w:rsidRPr="00EC0B01">
              <w:rPr>
                <w:rFonts w:ascii="Times New Roman" w:hAnsi="Times New Roman" w:cs="Times New Roman"/>
                <w:b/>
                <w:bCs/>
              </w:rPr>
              <w:t>a protocol: subgroup of adenomyosis with pure endometriosis</w:t>
            </w:r>
          </w:p>
        </w:tc>
      </w:tr>
      <w:tr w:rsidR="00EC0B01" w:rsidRPr="00EC0B01" w14:paraId="3030E874" w14:textId="77777777" w:rsidTr="00BF45F2">
        <w:trPr>
          <w:trHeight w:val="390"/>
          <w:jc w:val="center"/>
        </w:trPr>
        <w:tc>
          <w:tcPr>
            <w:tcW w:w="2552" w:type="dxa"/>
            <w:vMerge w:val="restart"/>
            <w:tcBorders>
              <w:right w:val="nil"/>
            </w:tcBorders>
            <w:noWrap/>
            <w:vAlign w:val="center"/>
            <w:hideMark/>
          </w:tcPr>
          <w:p w14:paraId="3458EE39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Outcome</w:t>
            </w:r>
          </w:p>
        </w:tc>
        <w:tc>
          <w:tcPr>
            <w:tcW w:w="3544" w:type="dxa"/>
            <w:gridSpan w:val="2"/>
            <w:tcBorders>
              <w:left w:val="nil"/>
              <w:right w:val="nil"/>
            </w:tcBorders>
            <w:noWrap/>
            <w:vAlign w:val="center"/>
            <w:hideMark/>
          </w:tcPr>
          <w:p w14:paraId="52B7BDFF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GnRH-ant protocol</w:t>
            </w:r>
          </w:p>
        </w:tc>
        <w:tc>
          <w:tcPr>
            <w:tcW w:w="3395" w:type="dxa"/>
            <w:gridSpan w:val="2"/>
            <w:tcBorders>
              <w:left w:val="nil"/>
            </w:tcBorders>
            <w:noWrap/>
            <w:vAlign w:val="center"/>
            <w:hideMark/>
          </w:tcPr>
          <w:p w14:paraId="6E00CFCD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Mild stimulation protocol</w:t>
            </w:r>
          </w:p>
        </w:tc>
      </w:tr>
      <w:tr w:rsidR="00EC0B01" w:rsidRPr="00EC0B01" w14:paraId="2EC1BF64" w14:textId="77777777" w:rsidTr="00BF45F2">
        <w:trPr>
          <w:trHeight w:val="390"/>
          <w:jc w:val="center"/>
        </w:trPr>
        <w:tc>
          <w:tcPr>
            <w:tcW w:w="2552" w:type="dxa"/>
            <w:vMerge/>
            <w:tcBorders>
              <w:right w:val="nil"/>
            </w:tcBorders>
            <w:noWrap/>
            <w:vAlign w:val="bottom"/>
            <w:hideMark/>
          </w:tcPr>
          <w:p w14:paraId="5F528314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B7B8767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Adjusted OR (95% CI)</w:t>
            </w:r>
          </w:p>
        </w:tc>
        <w:tc>
          <w:tcPr>
            <w:tcW w:w="993" w:type="dxa"/>
            <w:tcBorders>
              <w:left w:val="nil"/>
              <w:right w:val="nil"/>
            </w:tcBorders>
            <w:noWrap/>
            <w:vAlign w:val="center"/>
            <w:hideMark/>
          </w:tcPr>
          <w:p w14:paraId="4D068542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256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E332526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Adjusted OR (95% CI)</w:t>
            </w:r>
          </w:p>
        </w:tc>
        <w:tc>
          <w:tcPr>
            <w:tcW w:w="835" w:type="dxa"/>
            <w:tcBorders>
              <w:left w:val="nil"/>
            </w:tcBorders>
            <w:noWrap/>
            <w:vAlign w:val="center"/>
            <w:hideMark/>
          </w:tcPr>
          <w:p w14:paraId="5B24D30F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EC0B01" w:rsidRPr="00EC0B01" w14:paraId="4276CD7D" w14:textId="77777777" w:rsidTr="00BF45F2">
        <w:trPr>
          <w:trHeight w:val="390"/>
          <w:jc w:val="center"/>
        </w:trPr>
        <w:tc>
          <w:tcPr>
            <w:tcW w:w="2552" w:type="dxa"/>
            <w:tcBorders>
              <w:right w:val="nil"/>
            </w:tcBorders>
            <w:noWrap/>
          </w:tcPr>
          <w:p w14:paraId="59D82A1B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</w:rPr>
              <w:t>MII oocyte rate</w:t>
            </w:r>
          </w:p>
        </w:tc>
        <w:tc>
          <w:tcPr>
            <w:tcW w:w="2551" w:type="dxa"/>
            <w:tcBorders>
              <w:left w:val="nil"/>
              <w:right w:val="nil"/>
            </w:tcBorders>
            <w:noWrap/>
          </w:tcPr>
          <w:p w14:paraId="54D43249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</w:rPr>
              <w:t>0.59 (0.44, 0.79)</w:t>
            </w:r>
          </w:p>
        </w:tc>
        <w:tc>
          <w:tcPr>
            <w:tcW w:w="993" w:type="dxa"/>
            <w:tcBorders>
              <w:left w:val="nil"/>
              <w:right w:val="nil"/>
            </w:tcBorders>
            <w:noWrap/>
          </w:tcPr>
          <w:p w14:paraId="6B9A0A9C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0.001ª</w:t>
            </w:r>
          </w:p>
        </w:tc>
        <w:tc>
          <w:tcPr>
            <w:tcW w:w="2560" w:type="dxa"/>
            <w:tcBorders>
              <w:left w:val="nil"/>
              <w:right w:val="nil"/>
            </w:tcBorders>
            <w:noWrap/>
          </w:tcPr>
          <w:p w14:paraId="0F95F8B0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</w:rPr>
              <w:t>0.80 (0.59, 1.10)</w:t>
            </w:r>
          </w:p>
        </w:tc>
        <w:tc>
          <w:tcPr>
            <w:tcW w:w="835" w:type="dxa"/>
            <w:tcBorders>
              <w:left w:val="nil"/>
            </w:tcBorders>
            <w:noWrap/>
          </w:tcPr>
          <w:p w14:paraId="07722EB7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</w:rPr>
              <w:t>0.167</w:t>
            </w:r>
          </w:p>
        </w:tc>
      </w:tr>
      <w:tr w:rsidR="00EC0B01" w:rsidRPr="00EC0B01" w14:paraId="35AB95C2" w14:textId="77777777" w:rsidTr="00BF45F2">
        <w:trPr>
          <w:trHeight w:val="390"/>
          <w:jc w:val="center"/>
        </w:trPr>
        <w:tc>
          <w:tcPr>
            <w:tcW w:w="2552" w:type="dxa"/>
            <w:tcBorders>
              <w:right w:val="nil"/>
            </w:tcBorders>
            <w:noWrap/>
          </w:tcPr>
          <w:p w14:paraId="62B6184A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</w:rPr>
              <w:t>high-quality embryos rate</w:t>
            </w:r>
          </w:p>
        </w:tc>
        <w:tc>
          <w:tcPr>
            <w:tcW w:w="2551" w:type="dxa"/>
            <w:tcBorders>
              <w:left w:val="nil"/>
              <w:right w:val="nil"/>
            </w:tcBorders>
            <w:noWrap/>
          </w:tcPr>
          <w:p w14:paraId="7ECEAD97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</w:rPr>
              <w:t>0.73 (0.51, 1.03)</w:t>
            </w:r>
          </w:p>
        </w:tc>
        <w:tc>
          <w:tcPr>
            <w:tcW w:w="993" w:type="dxa"/>
            <w:tcBorders>
              <w:left w:val="nil"/>
              <w:right w:val="nil"/>
            </w:tcBorders>
            <w:noWrap/>
          </w:tcPr>
          <w:p w14:paraId="59E66A79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</w:rPr>
              <w:t>0.073</w:t>
            </w:r>
          </w:p>
        </w:tc>
        <w:tc>
          <w:tcPr>
            <w:tcW w:w="2560" w:type="dxa"/>
            <w:tcBorders>
              <w:left w:val="nil"/>
              <w:right w:val="nil"/>
            </w:tcBorders>
            <w:noWrap/>
          </w:tcPr>
          <w:p w14:paraId="778F7E18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</w:rPr>
              <w:t>0.71 (0.50, 1.02)</w:t>
            </w:r>
          </w:p>
        </w:tc>
        <w:tc>
          <w:tcPr>
            <w:tcW w:w="835" w:type="dxa"/>
            <w:tcBorders>
              <w:left w:val="nil"/>
            </w:tcBorders>
            <w:noWrap/>
          </w:tcPr>
          <w:p w14:paraId="56E54C43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</w:rPr>
              <w:t>0.063</w:t>
            </w:r>
          </w:p>
        </w:tc>
      </w:tr>
      <w:tr w:rsidR="00EC0B01" w:rsidRPr="00EC0B01" w14:paraId="78F61938" w14:textId="77777777" w:rsidTr="00BF45F2">
        <w:trPr>
          <w:trHeight w:val="390"/>
          <w:jc w:val="center"/>
        </w:trPr>
        <w:tc>
          <w:tcPr>
            <w:tcW w:w="2552" w:type="dxa"/>
            <w:tcBorders>
              <w:right w:val="nil"/>
            </w:tcBorders>
            <w:noWrap/>
            <w:vAlign w:val="center"/>
          </w:tcPr>
          <w:p w14:paraId="129D1124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Biochemical pregnancy</w:t>
            </w:r>
          </w:p>
        </w:tc>
        <w:tc>
          <w:tcPr>
            <w:tcW w:w="2551" w:type="dxa"/>
            <w:tcBorders>
              <w:left w:val="nil"/>
              <w:right w:val="nil"/>
            </w:tcBorders>
            <w:noWrap/>
            <w:vAlign w:val="center"/>
          </w:tcPr>
          <w:p w14:paraId="2EA74781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0.63(0.47,0.84)</w:t>
            </w:r>
          </w:p>
        </w:tc>
        <w:tc>
          <w:tcPr>
            <w:tcW w:w="993" w:type="dxa"/>
            <w:tcBorders>
              <w:left w:val="nil"/>
              <w:right w:val="nil"/>
            </w:tcBorders>
            <w:noWrap/>
            <w:vAlign w:val="center"/>
          </w:tcPr>
          <w:p w14:paraId="626EE6E5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0.002</w:t>
            </w:r>
            <w:r w:rsidRPr="00EC0B01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  <w:tc>
          <w:tcPr>
            <w:tcW w:w="2560" w:type="dxa"/>
            <w:tcBorders>
              <w:left w:val="nil"/>
              <w:right w:val="nil"/>
            </w:tcBorders>
            <w:noWrap/>
            <w:vAlign w:val="center"/>
          </w:tcPr>
          <w:p w14:paraId="539CC086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0.84(0.62,1.13)</w:t>
            </w:r>
          </w:p>
        </w:tc>
        <w:tc>
          <w:tcPr>
            <w:tcW w:w="835" w:type="dxa"/>
            <w:tcBorders>
              <w:left w:val="nil"/>
            </w:tcBorders>
            <w:noWrap/>
            <w:vAlign w:val="center"/>
          </w:tcPr>
          <w:p w14:paraId="3F92ACA5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0.241</w:t>
            </w:r>
          </w:p>
        </w:tc>
      </w:tr>
      <w:tr w:rsidR="00EC0B01" w:rsidRPr="00EC0B01" w14:paraId="6C5B59E3" w14:textId="77777777" w:rsidTr="00BF45F2">
        <w:trPr>
          <w:trHeight w:val="390"/>
          <w:jc w:val="center"/>
        </w:trPr>
        <w:tc>
          <w:tcPr>
            <w:tcW w:w="2552" w:type="dxa"/>
            <w:tcBorders>
              <w:right w:val="nil"/>
            </w:tcBorders>
            <w:noWrap/>
            <w:vAlign w:val="center"/>
            <w:hideMark/>
          </w:tcPr>
          <w:p w14:paraId="14326D09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Clinical pregnancy</w:t>
            </w:r>
          </w:p>
        </w:tc>
        <w:tc>
          <w:tcPr>
            <w:tcW w:w="255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6D8DB720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0.84(0.63,1.11)</w:t>
            </w:r>
          </w:p>
        </w:tc>
        <w:tc>
          <w:tcPr>
            <w:tcW w:w="993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0B7440D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0.223</w:t>
            </w:r>
          </w:p>
        </w:tc>
        <w:tc>
          <w:tcPr>
            <w:tcW w:w="256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41BAA99F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0.93(0.70,1.24)</w:t>
            </w:r>
          </w:p>
        </w:tc>
        <w:tc>
          <w:tcPr>
            <w:tcW w:w="835" w:type="dxa"/>
            <w:tcBorders>
              <w:left w:val="nil"/>
            </w:tcBorders>
            <w:noWrap/>
            <w:vAlign w:val="center"/>
            <w:hideMark/>
          </w:tcPr>
          <w:p w14:paraId="310A1F31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0.628</w:t>
            </w:r>
          </w:p>
        </w:tc>
      </w:tr>
      <w:tr w:rsidR="00EC0B01" w:rsidRPr="00EC0B01" w14:paraId="3B6B8C7D" w14:textId="77777777" w:rsidTr="00BF45F2">
        <w:trPr>
          <w:trHeight w:val="390"/>
          <w:jc w:val="center"/>
        </w:trPr>
        <w:tc>
          <w:tcPr>
            <w:tcW w:w="2552" w:type="dxa"/>
            <w:tcBorders>
              <w:right w:val="nil"/>
            </w:tcBorders>
            <w:noWrap/>
            <w:vAlign w:val="center"/>
            <w:hideMark/>
          </w:tcPr>
          <w:p w14:paraId="0794576C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Ongoing pregnancy</w:t>
            </w:r>
          </w:p>
        </w:tc>
        <w:tc>
          <w:tcPr>
            <w:tcW w:w="255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60EA8ABF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0.83(0.63,1.10)</w:t>
            </w:r>
          </w:p>
        </w:tc>
        <w:tc>
          <w:tcPr>
            <w:tcW w:w="993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0D9AA4A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0.197</w:t>
            </w:r>
          </w:p>
        </w:tc>
        <w:tc>
          <w:tcPr>
            <w:tcW w:w="256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96697BF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0.76(0.57,1.01)</w:t>
            </w:r>
          </w:p>
        </w:tc>
        <w:tc>
          <w:tcPr>
            <w:tcW w:w="835" w:type="dxa"/>
            <w:tcBorders>
              <w:left w:val="nil"/>
            </w:tcBorders>
            <w:noWrap/>
            <w:vAlign w:val="center"/>
            <w:hideMark/>
          </w:tcPr>
          <w:p w14:paraId="4FD8636F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0.059</w:t>
            </w:r>
          </w:p>
        </w:tc>
      </w:tr>
      <w:tr w:rsidR="00EC0B01" w:rsidRPr="00EC0B01" w14:paraId="151B1B8E" w14:textId="77777777" w:rsidTr="00BF45F2">
        <w:trPr>
          <w:trHeight w:val="390"/>
          <w:jc w:val="center"/>
        </w:trPr>
        <w:tc>
          <w:tcPr>
            <w:tcW w:w="2552" w:type="dxa"/>
            <w:tcBorders>
              <w:right w:val="nil"/>
            </w:tcBorders>
            <w:noWrap/>
            <w:vAlign w:val="center"/>
            <w:hideMark/>
          </w:tcPr>
          <w:p w14:paraId="27F97838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Live birth</w:t>
            </w:r>
          </w:p>
        </w:tc>
        <w:tc>
          <w:tcPr>
            <w:tcW w:w="255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885C9E5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0.63(0.47,0.83)</w:t>
            </w:r>
          </w:p>
        </w:tc>
        <w:tc>
          <w:tcPr>
            <w:tcW w:w="993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F9F2FF5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0.001</w:t>
            </w:r>
            <w:r w:rsidRPr="00EC0B01">
              <w:rPr>
                <w:rFonts w:ascii="Times New Roman" w:hAnsi="Times New Roman" w:cs="Times New Roman"/>
                <w:b/>
                <w:bCs/>
                <w:vertAlign w:val="superscript"/>
              </w:rPr>
              <w:t xml:space="preserve"> a</w:t>
            </w:r>
          </w:p>
        </w:tc>
        <w:tc>
          <w:tcPr>
            <w:tcW w:w="256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8FF94B6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0.90(0.68,1.20)</w:t>
            </w:r>
          </w:p>
        </w:tc>
        <w:tc>
          <w:tcPr>
            <w:tcW w:w="835" w:type="dxa"/>
            <w:tcBorders>
              <w:left w:val="nil"/>
            </w:tcBorders>
            <w:noWrap/>
            <w:vAlign w:val="center"/>
            <w:hideMark/>
          </w:tcPr>
          <w:p w14:paraId="4FF8C144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0.492</w:t>
            </w:r>
          </w:p>
        </w:tc>
      </w:tr>
      <w:tr w:rsidR="00EC0B01" w:rsidRPr="00EC0B01" w14:paraId="2DD9D31C" w14:textId="77777777" w:rsidTr="00BF45F2">
        <w:trPr>
          <w:trHeight w:val="390"/>
          <w:jc w:val="center"/>
        </w:trPr>
        <w:tc>
          <w:tcPr>
            <w:tcW w:w="2552" w:type="dxa"/>
            <w:tcBorders>
              <w:right w:val="nil"/>
            </w:tcBorders>
            <w:noWrap/>
            <w:vAlign w:val="center"/>
            <w:hideMark/>
          </w:tcPr>
          <w:p w14:paraId="4BFCE5DC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Miscarriage</w:t>
            </w:r>
          </w:p>
        </w:tc>
        <w:tc>
          <w:tcPr>
            <w:tcW w:w="255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400B0981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1.68(1.10,2.58)</w:t>
            </w:r>
          </w:p>
        </w:tc>
        <w:tc>
          <w:tcPr>
            <w:tcW w:w="993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27878E0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0.017</w:t>
            </w:r>
            <w:r w:rsidRPr="00EC0B01">
              <w:rPr>
                <w:rFonts w:ascii="Times New Roman" w:hAnsi="Times New Roman" w:cs="Times New Roman"/>
                <w:b/>
                <w:bCs/>
                <w:vertAlign w:val="superscript"/>
              </w:rPr>
              <w:t xml:space="preserve"> a</w:t>
            </w:r>
          </w:p>
        </w:tc>
        <w:tc>
          <w:tcPr>
            <w:tcW w:w="256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62C1E923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0.99(0.64,1.54)</w:t>
            </w:r>
          </w:p>
        </w:tc>
        <w:tc>
          <w:tcPr>
            <w:tcW w:w="835" w:type="dxa"/>
            <w:tcBorders>
              <w:left w:val="nil"/>
            </w:tcBorders>
            <w:noWrap/>
            <w:vAlign w:val="center"/>
            <w:hideMark/>
          </w:tcPr>
          <w:p w14:paraId="4419D3A9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0.976</w:t>
            </w:r>
          </w:p>
        </w:tc>
      </w:tr>
      <w:tr w:rsidR="00EC0B01" w:rsidRPr="00EC0B01" w14:paraId="7F7E3FC9" w14:textId="77777777" w:rsidTr="00BF45F2">
        <w:trPr>
          <w:trHeight w:val="390"/>
          <w:jc w:val="center"/>
        </w:trPr>
        <w:tc>
          <w:tcPr>
            <w:tcW w:w="2552" w:type="dxa"/>
            <w:tcBorders>
              <w:right w:val="nil"/>
            </w:tcBorders>
            <w:noWrap/>
            <w:vAlign w:val="center"/>
            <w:hideMark/>
          </w:tcPr>
          <w:p w14:paraId="1884B569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Preterm delivery</w:t>
            </w:r>
          </w:p>
        </w:tc>
        <w:tc>
          <w:tcPr>
            <w:tcW w:w="255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363047A0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0.74(0.36,1.49)</w:t>
            </w:r>
          </w:p>
        </w:tc>
        <w:tc>
          <w:tcPr>
            <w:tcW w:w="993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5388DBA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0.394</w:t>
            </w:r>
          </w:p>
        </w:tc>
        <w:tc>
          <w:tcPr>
            <w:tcW w:w="256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5A21926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0.46(0.25,0.85)</w:t>
            </w:r>
          </w:p>
        </w:tc>
        <w:tc>
          <w:tcPr>
            <w:tcW w:w="835" w:type="dxa"/>
            <w:tcBorders>
              <w:left w:val="nil"/>
            </w:tcBorders>
            <w:noWrap/>
            <w:vAlign w:val="center"/>
            <w:hideMark/>
          </w:tcPr>
          <w:p w14:paraId="06AB94F5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0.013</w:t>
            </w:r>
            <w:r w:rsidRPr="00EC0B01">
              <w:rPr>
                <w:rFonts w:ascii="Times New Roman" w:hAnsi="Times New Roman" w:cs="Times New Roman"/>
                <w:b/>
                <w:bCs/>
                <w:vertAlign w:val="superscript"/>
              </w:rPr>
              <w:t xml:space="preserve"> a</w:t>
            </w:r>
          </w:p>
        </w:tc>
      </w:tr>
      <w:tr w:rsidR="00EC0B01" w:rsidRPr="00EC0B01" w14:paraId="652D9D40" w14:textId="77777777" w:rsidTr="00BF45F2">
        <w:trPr>
          <w:trHeight w:val="390"/>
          <w:jc w:val="center"/>
        </w:trPr>
        <w:tc>
          <w:tcPr>
            <w:tcW w:w="2552" w:type="dxa"/>
            <w:tcBorders>
              <w:right w:val="nil"/>
            </w:tcBorders>
            <w:noWrap/>
            <w:vAlign w:val="center"/>
            <w:hideMark/>
          </w:tcPr>
          <w:p w14:paraId="2961F87C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Full-term delivery</w:t>
            </w:r>
          </w:p>
        </w:tc>
        <w:tc>
          <w:tcPr>
            <w:tcW w:w="255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E866744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1.36(0.67,2.74)</w:t>
            </w:r>
          </w:p>
        </w:tc>
        <w:tc>
          <w:tcPr>
            <w:tcW w:w="993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5347AB6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0.394</w:t>
            </w:r>
          </w:p>
        </w:tc>
        <w:tc>
          <w:tcPr>
            <w:tcW w:w="256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9547E3E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2.19(1.18,4.08)</w:t>
            </w:r>
          </w:p>
        </w:tc>
        <w:tc>
          <w:tcPr>
            <w:tcW w:w="835" w:type="dxa"/>
            <w:tcBorders>
              <w:left w:val="nil"/>
            </w:tcBorders>
            <w:noWrap/>
            <w:vAlign w:val="center"/>
            <w:hideMark/>
          </w:tcPr>
          <w:p w14:paraId="397C008B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0.013</w:t>
            </w:r>
            <w:r w:rsidRPr="00EC0B01">
              <w:rPr>
                <w:rFonts w:ascii="Times New Roman" w:hAnsi="Times New Roman" w:cs="Times New Roman"/>
                <w:b/>
                <w:bCs/>
                <w:vertAlign w:val="superscript"/>
              </w:rPr>
              <w:t xml:space="preserve"> a</w:t>
            </w:r>
          </w:p>
        </w:tc>
      </w:tr>
    </w:tbl>
    <w:p w14:paraId="17A5D22B" w14:textId="77777777" w:rsidR="00EC0B01" w:rsidRPr="00EC0B01" w:rsidRDefault="00EC0B01" w:rsidP="00EC0B01">
      <w:pPr>
        <w:jc w:val="both"/>
        <w:rPr>
          <w:rFonts w:ascii="Times New Roman" w:hAnsi="Times New Roman" w:cs="Times New Roman"/>
        </w:rPr>
      </w:pPr>
      <w:r w:rsidRPr="00EC0B01">
        <w:rPr>
          <w:rFonts w:ascii="Times New Roman" w:hAnsi="Times New Roman" w:cs="Times New Roman"/>
        </w:rPr>
        <w:t>OR, Odds Ratio;</w:t>
      </w:r>
    </w:p>
    <w:p w14:paraId="4F7C78FD" w14:textId="77777777" w:rsidR="00EC0B01" w:rsidRPr="00EC0B01" w:rsidRDefault="00EC0B01" w:rsidP="00EC0B01">
      <w:pPr>
        <w:jc w:val="both"/>
        <w:rPr>
          <w:rFonts w:ascii="Times New Roman" w:hAnsi="Times New Roman" w:cs="Times New Roman"/>
        </w:rPr>
      </w:pPr>
      <w:r w:rsidRPr="00EC0B01">
        <w:rPr>
          <w:rFonts w:ascii="Times New Roman" w:hAnsi="Times New Roman" w:cs="Times New Roman"/>
        </w:rPr>
        <w:t>95%CI, 95%Confidence Interval;</w:t>
      </w:r>
    </w:p>
    <w:p w14:paraId="753A52AE" w14:textId="77777777" w:rsidR="00EC0B01" w:rsidRPr="00EC0B01" w:rsidRDefault="00EC0B01" w:rsidP="00EC0B01">
      <w:pPr>
        <w:jc w:val="both"/>
        <w:rPr>
          <w:rFonts w:ascii="Times New Roman" w:hAnsi="Times New Roman" w:cs="Times New Roman"/>
        </w:rPr>
      </w:pPr>
      <w:r w:rsidRPr="00EC0B01">
        <w:rPr>
          <w:rFonts w:ascii="Times New Roman" w:hAnsi="Times New Roman" w:cs="Times New Roman"/>
          <w:vertAlign w:val="superscript"/>
        </w:rPr>
        <w:t>a</w:t>
      </w:r>
      <w:r w:rsidRPr="00EC0B01">
        <w:rPr>
          <w:rFonts w:ascii="Times New Roman" w:hAnsi="Times New Roman" w:cs="Times New Roman"/>
        </w:rPr>
        <w:t xml:space="preserve"> P &lt; 0.05 was regarded as statistically significant.</w:t>
      </w:r>
    </w:p>
    <w:p w14:paraId="03215071" w14:textId="77777777" w:rsidR="0097122D" w:rsidRPr="00EC0B01" w:rsidRDefault="0097122D"/>
    <w:tbl>
      <w:tblPr>
        <w:tblW w:w="10740" w:type="dxa"/>
        <w:tblInd w:w="-998" w:type="dxa"/>
        <w:tblBorders>
          <w:top w:val="single" w:sz="4" w:space="0" w:color="000000" w:themeColor="text1"/>
          <w:bottom w:val="single" w:sz="4" w:space="0" w:color="000000" w:themeColor="text1"/>
          <w:insideH w:val="single" w:sz="4" w:space="0" w:color="000000" w:themeColor="text1"/>
          <w:insideV w:val="single" w:sz="4" w:space="0" w:color="DEE0E3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2893"/>
        <w:gridCol w:w="1360"/>
        <w:gridCol w:w="2410"/>
        <w:gridCol w:w="1383"/>
      </w:tblGrid>
      <w:tr w:rsidR="00EC0B01" w:rsidRPr="00EC0B01" w14:paraId="649D943B" w14:textId="77777777" w:rsidTr="00BF45F2">
        <w:trPr>
          <w:trHeight w:val="1020"/>
        </w:trPr>
        <w:tc>
          <w:tcPr>
            <w:tcW w:w="10740" w:type="dxa"/>
            <w:gridSpan w:val="5"/>
            <w:tcBorders>
              <w:top w:val="nil"/>
              <w:bottom w:val="single" w:sz="4" w:space="0" w:color="000000" w:themeColor="text1"/>
            </w:tcBorders>
            <w:noWrap/>
            <w:vAlign w:val="center"/>
            <w:hideMark/>
          </w:tcPr>
          <w:p w14:paraId="03801B22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Supplementary Table 2 Reproductive outcomes of GnRH-ant and mild stimulation protocols versus GnRH-a protocol: cleavage-stage embryo transfer subgroup</w:t>
            </w:r>
          </w:p>
        </w:tc>
      </w:tr>
      <w:tr w:rsidR="00EC0B01" w:rsidRPr="00EC0B01" w14:paraId="0B80F94F" w14:textId="77777777" w:rsidTr="00BF45F2">
        <w:trPr>
          <w:trHeight w:val="390"/>
        </w:trPr>
        <w:tc>
          <w:tcPr>
            <w:tcW w:w="2694" w:type="dxa"/>
            <w:vMerge w:val="restart"/>
            <w:tcBorders>
              <w:right w:val="nil"/>
            </w:tcBorders>
            <w:noWrap/>
            <w:vAlign w:val="center"/>
            <w:hideMark/>
          </w:tcPr>
          <w:p w14:paraId="0C4C9412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Outcome</w:t>
            </w:r>
          </w:p>
        </w:tc>
        <w:tc>
          <w:tcPr>
            <w:tcW w:w="4253" w:type="dxa"/>
            <w:gridSpan w:val="2"/>
            <w:tcBorders>
              <w:left w:val="nil"/>
              <w:right w:val="nil"/>
            </w:tcBorders>
            <w:noWrap/>
            <w:vAlign w:val="center"/>
            <w:hideMark/>
          </w:tcPr>
          <w:p w14:paraId="70D93AF2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GnRH-ant protocol</w:t>
            </w:r>
          </w:p>
        </w:tc>
        <w:tc>
          <w:tcPr>
            <w:tcW w:w="3793" w:type="dxa"/>
            <w:gridSpan w:val="2"/>
            <w:tcBorders>
              <w:left w:val="nil"/>
            </w:tcBorders>
            <w:noWrap/>
            <w:vAlign w:val="center"/>
            <w:hideMark/>
          </w:tcPr>
          <w:p w14:paraId="58B74FE5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Mild stimulation protocol</w:t>
            </w:r>
          </w:p>
        </w:tc>
      </w:tr>
      <w:tr w:rsidR="00EC0B01" w:rsidRPr="00EC0B01" w14:paraId="3EC4BF74" w14:textId="77777777" w:rsidTr="00BF45F2">
        <w:trPr>
          <w:trHeight w:val="390"/>
        </w:trPr>
        <w:tc>
          <w:tcPr>
            <w:tcW w:w="2694" w:type="dxa"/>
            <w:vMerge/>
            <w:tcBorders>
              <w:right w:val="nil"/>
            </w:tcBorders>
            <w:noWrap/>
            <w:vAlign w:val="bottom"/>
            <w:hideMark/>
          </w:tcPr>
          <w:p w14:paraId="6DE8FB80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93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E05595C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Adjusted OR (95% CI)</w:t>
            </w:r>
          </w:p>
        </w:tc>
        <w:tc>
          <w:tcPr>
            <w:tcW w:w="136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4E41DBA3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241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4F93E56A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Adjusted OR (95% CI)</w:t>
            </w:r>
          </w:p>
        </w:tc>
        <w:tc>
          <w:tcPr>
            <w:tcW w:w="1383" w:type="dxa"/>
            <w:tcBorders>
              <w:left w:val="nil"/>
            </w:tcBorders>
            <w:noWrap/>
            <w:vAlign w:val="center"/>
            <w:hideMark/>
          </w:tcPr>
          <w:p w14:paraId="77D4EE3E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EC0B01" w:rsidRPr="00EC0B01" w14:paraId="54F8075C" w14:textId="77777777" w:rsidTr="00BF45F2">
        <w:trPr>
          <w:trHeight w:val="390"/>
        </w:trPr>
        <w:tc>
          <w:tcPr>
            <w:tcW w:w="2694" w:type="dxa"/>
            <w:tcBorders>
              <w:right w:val="nil"/>
            </w:tcBorders>
            <w:noWrap/>
            <w:vAlign w:val="center"/>
            <w:hideMark/>
          </w:tcPr>
          <w:p w14:paraId="1CF19398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Biochemical pregnancy</w:t>
            </w:r>
          </w:p>
        </w:tc>
        <w:tc>
          <w:tcPr>
            <w:tcW w:w="2893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AB7E882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0.72(0.42,1.25)</w:t>
            </w:r>
          </w:p>
        </w:tc>
        <w:tc>
          <w:tcPr>
            <w:tcW w:w="136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C5FCF90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0.247</w:t>
            </w:r>
          </w:p>
        </w:tc>
        <w:tc>
          <w:tcPr>
            <w:tcW w:w="241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2AACFC3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1.31(0.71,2.41)</w:t>
            </w:r>
          </w:p>
        </w:tc>
        <w:tc>
          <w:tcPr>
            <w:tcW w:w="1383" w:type="dxa"/>
            <w:tcBorders>
              <w:left w:val="nil"/>
            </w:tcBorders>
            <w:noWrap/>
            <w:vAlign w:val="center"/>
            <w:hideMark/>
          </w:tcPr>
          <w:p w14:paraId="6DF11679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0.391</w:t>
            </w:r>
          </w:p>
        </w:tc>
      </w:tr>
      <w:tr w:rsidR="00EC0B01" w:rsidRPr="00EC0B01" w14:paraId="58F6F233" w14:textId="77777777" w:rsidTr="00BF45F2">
        <w:trPr>
          <w:trHeight w:val="390"/>
        </w:trPr>
        <w:tc>
          <w:tcPr>
            <w:tcW w:w="2694" w:type="dxa"/>
            <w:tcBorders>
              <w:right w:val="nil"/>
            </w:tcBorders>
            <w:noWrap/>
            <w:vAlign w:val="center"/>
            <w:hideMark/>
          </w:tcPr>
          <w:p w14:paraId="4A3F3873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Clinical pregnancy</w:t>
            </w:r>
          </w:p>
        </w:tc>
        <w:tc>
          <w:tcPr>
            <w:tcW w:w="2893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665806C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0.73(0.43,1.24)</w:t>
            </w:r>
          </w:p>
        </w:tc>
        <w:tc>
          <w:tcPr>
            <w:tcW w:w="136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EFC979C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0.239</w:t>
            </w:r>
          </w:p>
        </w:tc>
        <w:tc>
          <w:tcPr>
            <w:tcW w:w="241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B511690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0.87(0.49,1.54)</w:t>
            </w:r>
          </w:p>
        </w:tc>
        <w:tc>
          <w:tcPr>
            <w:tcW w:w="1383" w:type="dxa"/>
            <w:tcBorders>
              <w:left w:val="nil"/>
            </w:tcBorders>
            <w:noWrap/>
            <w:vAlign w:val="center"/>
            <w:hideMark/>
          </w:tcPr>
          <w:p w14:paraId="60DB5273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0.625</w:t>
            </w:r>
          </w:p>
        </w:tc>
      </w:tr>
      <w:tr w:rsidR="00EC0B01" w:rsidRPr="00EC0B01" w14:paraId="42CF64FB" w14:textId="77777777" w:rsidTr="00BF45F2">
        <w:trPr>
          <w:trHeight w:val="390"/>
        </w:trPr>
        <w:tc>
          <w:tcPr>
            <w:tcW w:w="2694" w:type="dxa"/>
            <w:tcBorders>
              <w:right w:val="nil"/>
            </w:tcBorders>
            <w:noWrap/>
            <w:vAlign w:val="center"/>
            <w:hideMark/>
          </w:tcPr>
          <w:p w14:paraId="14B66200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Ongoing pregnancy</w:t>
            </w:r>
          </w:p>
        </w:tc>
        <w:tc>
          <w:tcPr>
            <w:tcW w:w="2893" w:type="dxa"/>
            <w:tcBorders>
              <w:left w:val="nil"/>
              <w:right w:val="nil"/>
            </w:tcBorders>
            <w:noWrap/>
            <w:vAlign w:val="center"/>
            <w:hideMark/>
          </w:tcPr>
          <w:p w14:paraId="33DA5AD0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0.50(0.30,0.85)</w:t>
            </w:r>
          </w:p>
        </w:tc>
        <w:tc>
          <w:tcPr>
            <w:tcW w:w="136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ADABBF9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0.011</w:t>
            </w:r>
          </w:p>
        </w:tc>
        <w:tc>
          <w:tcPr>
            <w:tcW w:w="241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46A1434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0.53(0.30,0.94)</w:t>
            </w:r>
          </w:p>
        </w:tc>
        <w:tc>
          <w:tcPr>
            <w:tcW w:w="1383" w:type="dxa"/>
            <w:tcBorders>
              <w:left w:val="nil"/>
            </w:tcBorders>
            <w:noWrap/>
            <w:vAlign w:val="center"/>
            <w:hideMark/>
          </w:tcPr>
          <w:p w14:paraId="4495D313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0.029</w:t>
            </w:r>
          </w:p>
        </w:tc>
      </w:tr>
      <w:tr w:rsidR="00EC0B01" w:rsidRPr="00EC0B01" w14:paraId="50DEA2D7" w14:textId="77777777" w:rsidTr="00BF45F2">
        <w:trPr>
          <w:trHeight w:val="390"/>
        </w:trPr>
        <w:tc>
          <w:tcPr>
            <w:tcW w:w="2694" w:type="dxa"/>
            <w:tcBorders>
              <w:right w:val="nil"/>
            </w:tcBorders>
            <w:noWrap/>
            <w:vAlign w:val="center"/>
            <w:hideMark/>
          </w:tcPr>
          <w:p w14:paraId="2961CC4C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Live birth</w:t>
            </w:r>
          </w:p>
        </w:tc>
        <w:tc>
          <w:tcPr>
            <w:tcW w:w="2893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7E754A8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0.32(0.18,0.55)</w:t>
            </w:r>
          </w:p>
        </w:tc>
        <w:tc>
          <w:tcPr>
            <w:tcW w:w="136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0A76AB9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&lt;0.001</w:t>
            </w:r>
            <w:r w:rsidRPr="00EC0B01">
              <w:rPr>
                <w:rFonts w:ascii="Times New Roman" w:hAnsi="Times New Roman" w:cs="Times New Roman"/>
                <w:vertAlign w:val="superscript"/>
              </w:rPr>
              <w:t xml:space="preserve"> a</w:t>
            </w:r>
          </w:p>
        </w:tc>
        <w:tc>
          <w:tcPr>
            <w:tcW w:w="241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61B6362A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0.45(0.25,0.81)</w:t>
            </w:r>
          </w:p>
        </w:tc>
        <w:tc>
          <w:tcPr>
            <w:tcW w:w="1383" w:type="dxa"/>
            <w:tcBorders>
              <w:left w:val="nil"/>
            </w:tcBorders>
            <w:noWrap/>
            <w:vAlign w:val="center"/>
            <w:hideMark/>
          </w:tcPr>
          <w:p w14:paraId="2648C5F2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0.008</w:t>
            </w:r>
            <w:r w:rsidRPr="00EC0B01">
              <w:rPr>
                <w:rFonts w:ascii="Times New Roman" w:hAnsi="Times New Roman" w:cs="Times New Roman"/>
                <w:vertAlign w:val="superscript"/>
              </w:rPr>
              <w:t xml:space="preserve"> a</w:t>
            </w:r>
          </w:p>
        </w:tc>
      </w:tr>
      <w:tr w:rsidR="00EC0B01" w:rsidRPr="00EC0B01" w14:paraId="23F0909D" w14:textId="77777777" w:rsidTr="00BF45F2">
        <w:trPr>
          <w:trHeight w:val="390"/>
        </w:trPr>
        <w:tc>
          <w:tcPr>
            <w:tcW w:w="2694" w:type="dxa"/>
            <w:tcBorders>
              <w:right w:val="nil"/>
            </w:tcBorders>
            <w:noWrap/>
            <w:vAlign w:val="center"/>
            <w:hideMark/>
          </w:tcPr>
          <w:p w14:paraId="0819E85A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lastRenderedPageBreak/>
              <w:t>Miscarriage</w:t>
            </w:r>
          </w:p>
        </w:tc>
        <w:tc>
          <w:tcPr>
            <w:tcW w:w="2893" w:type="dxa"/>
            <w:tcBorders>
              <w:left w:val="nil"/>
              <w:right w:val="nil"/>
            </w:tcBorders>
            <w:noWrap/>
            <w:vAlign w:val="center"/>
            <w:hideMark/>
          </w:tcPr>
          <w:p w14:paraId="64F37ACB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5.46(2.44,12.21)</w:t>
            </w:r>
          </w:p>
        </w:tc>
        <w:tc>
          <w:tcPr>
            <w:tcW w:w="136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6BBA9D21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&lt;0.001</w:t>
            </w:r>
            <w:r w:rsidRPr="00EC0B01">
              <w:rPr>
                <w:rFonts w:ascii="Times New Roman" w:hAnsi="Times New Roman" w:cs="Times New Roman"/>
                <w:vertAlign w:val="superscript"/>
              </w:rPr>
              <w:t xml:space="preserve"> a</w:t>
            </w:r>
          </w:p>
        </w:tc>
        <w:tc>
          <w:tcPr>
            <w:tcW w:w="241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12ADD97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3.68(1.56,8.64)</w:t>
            </w:r>
          </w:p>
        </w:tc>
        <w:tc>
          <w:tcPr>
            <w:tcW w:w="1383" w:type="dxa"/>
            <w:tcBorders>
              <w:left w:val="nil"/>
            </w:tcBorders>
            <w:noWrap/>
            <w:vAlign w:val="center"/>
            <w:hideMark/>
          </w:tcPr>
          <w:p w14:paraId="1483EB8F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0.003</w:t>
            </w:r>
            <w:r w:rsidRPr="00EC0B01">
              <w:rPr>
                <w:rFonts w:ascii="Times New Roman" w:hAnsi="Times New Roman" w:cs="Times New Roman"/>
                <w:vertAlign w:val="superscript"/>
              </w:rPr>
              <w:t xml:space="preserve"> a</w:t>
            </w:r>
          </w:p>
        </w:tc>
      </w:tr>
      <w:tr w:rsidR="00EC0B01" w:rsidRPr="00EC0B01" w14:paraId="04CB4442" w14:textId="77777777" w:rsidTr="00BF45F2">
        <w:trPr>
          <w:trHeight w:val="390"/>
        </w:trPr>
        <w:tc>
          <w:tcPr>
            <w:tcW w:w="2694" w:type="dxa"/>
            <w:tcBorders>
              <w:right w:val="nil"/>
            </w:tcBorders>
            <w:noWrap/>
            <w:vAlign w:val="center"/>
            <w:hideMark/>
          </w:tcPr>
          <w:p w14:paraId="5EE88B55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Preterm delivery#</w:t>
            </w:r>
          </w:p>
        </w:tc>
        <w:tc>
          <w:tcPr>
            <w:tcW w:w="2893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A3633D7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5.76e+02(1.20,2.78e+05)</w:t>
            </w:r>
          </w:p>
        </w:tc>
        <w:tc>
          <w:tcPr>
            <w:tcW w:w="136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C6F9187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0.044</w:t>
            </w:r>
          </w:p>
        </w:tc>
        <w:tc>
          <w:tcPr>
            <w:tcW w:w="241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4F2EBA63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1.35e-04(1.57e-07,0.12)</w:t>
            </w:r>
          </w:p>
        </w:tc>
        <w:tc>
          <w:tcPr>
            <w:tcW w:w="1383" w:type="dxa"/>
            <w:tcBorders>
              <w:left w:val="nil"/>
            </w:tcBorders>
            <w:noWrap/>
            <w:vAlign w:val="center"/>
            <w:hideMark/>
          </w:tcPr>
          <w:p w14:paraId="4EB159B5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0.010</w:t>
            </w:r>
          </w:p>
        </w:tc>
      </w:tr>
      <w:tr w:rsidR="00EC0B01" w:rsidRPr="00EC0B01" w14:paraId="6F519FC6" w14:textId="77777777" w:rsidTr="00BF45F2">
        <w:trPr>
          <w:trHeight w:val="390"/>
        </w:trPr>
        <w:tc>
          <w:tcPr>
            <w:tcW w:w="2694" w:type="dxa"/>
            <w:tcBorders>
              <w:right w:val="nil"/>
            </w:tcBorders>
            <w:noWrap/>
            <w:vAlign w:val="center"/>
            <w:hideMark/>
          </w:tcPr>
          <w:p w14:paraId="050640BE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Full-term delivery#</w:t>
            </w:r>
          </w:p>
        </w:tc>
        <w:tc>
          <w:tcPr>
            <w:tcW w:w="2893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BEE654E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1.74e-03(3.60e-06,0.84)</w:t>
            </w:r>
          </w:p>
        </w:tc>
        <w:tc>
          <w:tcPr>
            <w:tcW w:w="136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63B14896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0.044</w:t>
            </w:r>
          </w:p>
        </w:tc>
        <w:tc>
          <w:tcPr>
            <w:tcW w:w="241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33A87DF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7.41e+03(8.60,6.38e+06)</w:t>
            </w:r>
          </w:p>
        </w:tc>
        <w:tc>
          <w:tcPr>
            <w:tcW w:w="1383" w:type="dxa"/>
            <w:tcBorders>
              <w:left w:val="nil"/>
            </w:tcBorders>
            <w:noWrap/>
            <w:vAlign w:val="center"/>
            <w:hideMark/>
          </w:tcPr>
          <w:p w14:paraId="177B46A3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0.010</w:t>
            </w:r>
          </w:p>
        </w:tc>
      </w:tr>
    </w:tbl>
    <w:p w14:paraId="42EC0935" w14:textId="77777777" w:rsidR="00EC0B01" w:rsidRPr="00EC0B01" w:rsidRDefault="00EC0B01" w:rsidP="00EC0B01">
      <w:pPr>
        <w:jc w:val="both"/>
        <w:rPr>
          <w:rFonts w:ascii="Times New Roman" w:hAnsi="Times New Roman" w:cs="Times New Roman"/>
        </w:rPr>
      </w:pPr>
      <w:r w:rsidRPr="00EC0B01">
        <w:rPr>
          <w:rFonts w:ascii="Times New Roman" w:hAnsi="Times New Roman" w:cs="Times New Roman"/>
        </w:rPr>
        <w:t>OR, Odds Ratio;</w:t>
      </w:r>
    </w:p>
    <w:p w14:paraId="742A03F4" w14:textId="77777777" w:rsidR="00EC0B01" w:rsidRPr="00EC0B01" w:rsidRDefault="00EC0B01" w:rsidP="00EC0B01">
      <w:pPr>
        <w:jc w:val="both"/>
        <w:rPr>
          <w:rFonts w:ascii="Times New Roman" w:hAnsi="Times New Roman" w:cs="Times New Roman"/>
        </w:rPr>
      </w:pPr>
      <w:r w:rsidRPr="00EC0B01">
        <w:rPr>
          <w:rFonts w:ascii="Times New Roman" w:hAnsi="Times New Roman" w:cs="Times New Roman"/>
        </w:rPr>
        <w:t>95%CI, 95%Confidence Interval;</w:t>
      </w:r>
    </w:p>
    <w:p w14:paraId="0AE68F58" w14:textId="77777777" w:rsidR="00EC0B01" w:rsidRPr="00EC0B01" w:rsidRDefault="00EC0B01" w:rsidP="00EC0B01">
      <w:pPr>
        <w:jc w:val="both"/>
        <w:rPr>
          <w:rFonts w:ascii="Times New Roman" w:hAnsi="Times New Roman" w:cs="Times New Roman"/>
        </w:rPr>
      </w:pPr>
      <w:r w:rsidRPr="00EC0B01">
        <w:rPr>
          <w:rFonts w:ascii="Times New Roman" w:hAnsi="Times New Roman" w:cs="Times New Roman"/>
          <w:vertAlign w:val="superscript"/>
        </w:rPr>
        <w:t>a</w:t>
      </w:r>
      <w:r w:rsidRPr="00EC0B01">
        <w:rPr>
          <w:rFonts w:ascii="Times New Roman" w:hAnsi="Times New Roman" w:cs="Times New Roman"/>
        </w:rPr>
        <w:t xml:space="preserve"> P &lt; 0.05 was regarded as statistically significant.</w:t>
      </w:r>
    </w:p>
    <w:p w14:paraId="4A15E56E" w14:textId="77777777" w:rsidR="00EC0B01" w:rsidRPr="00EC0B01" w:rsidRDefault="00EC0B01" w:rsidP="00EC0B01">
      <w:pPr>
        <w:jc w:val="both"/>
        <w:rPr>
          <w:rFonts w:ascii="Times New Roman" w:hAnsi="Times New Roman" w:cs="Times New Roman"/>
        </w:rPr>
      </w:pPr>
      <w:r w:rsidRPr="00EC0B01">
        <w:rPr>
          <w:rFonts w:ascii="Times New Roman" w:hAnsi="Times New Roman" w:cs="Times New Roman"/>
        </w:rPr>
        <w:t># For preterm delivery and full-term delivery outcomes, extreme OR values (presented in scientific notation) were observed due to sparse data and complete separation in the subgroup analysis, which should be interpreted with caution.</w:t>
      </w:r>
    </w:p>
    <w:tbl>
      <w:tblPr>
        <w:tblW w:w="10775" w:type="dxa"/>
        <w:tblInd w:w="-993" w:type="dxa"/>
        <w:tblBorders>
          <w:top w:val="single" w:sz="4" w:space="0" w:color="000000" w:themeColor="text1"/>
          <w:bottom w:val="single" w:sz="4" w:space="0" w:color="000000" w:themeColor="text1"/>
          <w:insideH w:val="single" w:sz="4" w:space="0" w:color="000000" w:themeColor="text1"/>
          <w:insideV w:val="single" w:sz="4" w:space="0" w:color="DEE0E3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8"/>
        <w:gridCol w:w="2532"/>
        <w:gridCol w:w="1718"/>
        <w:gridCol w:w="2550"/>
        <w:gridCol w:w="997"/>
      </w:tblGrid>
      <w:tr w:rsidR="00EC0B01" w:rsidRPr="00EC0B01" w14:paraId="6D664C12" w14:textId="77777777" w:rsidTr="00BF45F2">
        <w:trPr>
          <w:trHeight w:val="1020"/>
        </w:trPr>
        <w:tc>
          <w:tcPr>
            <w:tcW w:w="10775" w:type="dxa"/>
            <w:gridSpan w:val="5"/>
            <w:tcBorders>
              <w:top w:val="nil"/>
              <w:bottom w:val="single" w:sz="4" w:space="0" w:color="000000" w:themeColor="text1"/>
            </w:tcBorders>
            <w:noWrap/>
            <w:vAlign w:val="center"/>
            <w:hideMark/>
          </w:tcPr>
          <w:p w14:paraId="24084C5D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Supplementary Table 3 Reproductive outcomes of GnRH-ant and mild stimulation protocols versus GnRH-a protocol: single blastocyst transfer subgroup</w:t>
            </w:r>
          </w:p>
        </w:tc>
      </w:tr>
      <w:tr w:rsidR="00EC0B01" w:rsidRPr="00EC0B01" w14:paraId="41D82F63" w14:textId="77777777" w:rsidTr="00BF45F2">
        <w:trPr>
          <w:trHeight w:val="390"/>
        </w:trPr>
        <w:tc>
          <w:tcPr>
            <w:tcW w:w="2978" w:type="dxa"/>
            <w:vMerge w:val="restart"/>
            <w:tcBorders>
              <w:right w:val="nil"/>
            </w:tcBorders>
            <w:noWrap/>
            <w:vAlign w:val="center"/>
            <w:hideMark/>
          </w:tcPr>
          <w:p w14:paraId="088148E7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Outcome</w:t>
            </w:r>
          </w:p>
        </w:tc>
        <w:tc>
          <w:tcPr>
            <w:tcW w:w="4250" w:type="dxa"/>
            <w:gridSpan w:val="2"/>
            <w:tcBorders>
              <w:left w:val="nil"/>
              <w:right w:val="nil"/>
            </w:tcBorders>
            <w:noWrap/>
            <w:vAlign w:val="center"/>
            <w:hideMark/>
          </w:tcPr>
          <w:p w14:paraId="62D66ADB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GnRH-ant protocol</w:t>
            </w:r>
          </w:p>
        </w:tc>
        <w:tc>
          <w:tcPr>
            <w:tcW w:w="3547" w:type="dxa"/>
            <w:gridSpan w:val="2"/>
            <w:tcBorders>
              <w:left w:val="nil"/>
            </w:tcBorders>
            <w:noWrap/>
            <w:vAlign w:val="center"/>
            <w:hideMark/>
          </w:tcPr>
          <w:p w14:paraId="56CE4274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Mild stimulation protocol</w:t>
            </w:r>
          </w:p>
        </w:tc>
      </w:tr>
      <w:tr w:rsidR="00EC0B01" w:rsidRPr="00EC0B01" w14:paraId="0611302B" w14:textId="77777777" w:rsidTr="00BF45F2">
        <w:trPr>
          <w:trHeight w:val="390"/>
        </w:trPr>
        <w:tc>
          <w:tcPr>
            <w:tcW w:w="2978" w:type="dxa"/>
            <w:vMerge/>
            <w:tcBorders>
              <w:right w:val="nil"/>
            </w:tcBorders>
            <w:noWrap/>
            <w:vAlign w:val="bottom"/>
            <w:hideMark/>
          </w:tcPr>
          <w:p w14:paraId="1D9EBB3D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2" w:type="dxa"/>
            <w:tcBorders>
              <w:left w:val="nil"/>
              <w:right w:val="nil"/>
            </w:tcBorders>
            <w:noWrap/>
            <w:vAlign w:val="center"/>
            <w:hideMark/>
          </w:tcPr>
          <w:p w14:paraId="6D81D791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Adjusted OR (95% CI)</w:t>
            </w:r>
          </w:p>
        </w:tc>
        <w:tc>
          <w:tcPr>
            <w:tcW w:w="1718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937CFA9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255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D265525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Adjusted OR (95% CI)</w:t>
            </w:r>
          </w:p>
        </w:tc>
        <w:tc>
          <w:tcPr>
            <w:tcW w:w="997" w:type="dxa"/>
            <w:tcBorders>
              <w:left w:val="nil"/>
            </w:tcBorders>
            <w:noWrap/>
            <w:vAlign w:val="center"/>
            <w:hideMark/>
          </w:tcPr>
          <w:p w14:paraId="229D429C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EC0B01" w:rsidRPr="00EC0B01" w14:paraId="07871015" w14:textId="77777777" w:rsidTr="00BF45F2">
        <w:trPr>
          <w:trHeight w:val="390"/>
        </w:trPr>
        <w:tc>
          <w:tcPr>
            <w:tcW w:w="2978" w:type="dxa"/>
            <w:tcBorders>
              <w:right w:val="nil"/>
            </w:tcBorders>
            <w:noWrap/>
            <w:vAlign w:val="center"/>
            <w:hideMark/>
          </w:tcPr>
          <w:p w14:paraId="5C719EC3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Biochemical pregnancy</w:t>
            </w:r>
          </w:p>
        </w:tc>
        <w:tc>
          <w:tcPr>
            <w:tcW w:w="2532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DE48113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0.69(0.25,1.95)</w:t>
            </w:r>
          </w:p>
        </w:tc>
        <w:tc>
          <w:tcPr>
            <w:tcW w:w="1718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2386E67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0.489</w:t>
            </w:r>
          </w:p>
        </w:tc>
        <w:tc>
          <w:tcPr>
            <w:tcW w:w="255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9F0173F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0.30(0.11,0.84)</w:t>
            </w:r>
          </w:p>
        </w:tc>
        <w:tc>
          <w:tcPr>
            <w:tcW w:w="997" w:type="dxa"/>
            <w:tcBorders>
              <w:left w:val="nil"/>
            </w:tcBorders>
            <w:noWrap/>
            <w:vAlign w:val="center"/>
            <w:hideMark/>
          </w:tcPr>
          <w:p w14:paraId="2AB89DB6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0.022</w:t>
            </w:r>
          </w:p>
        </w:tc>
      </w:tr>
      <w:tr w:rsidR="00EC0B01" w:rsidRPr="00EC0B01" w14:paraId="1DACE4E5" w14:textId="77777777" w:rsidTr="00BF45F2">
        <w:trPr>
          <w:trHeight w:val="390"/>
        </w:trPr>
        <w:tc>
          <w:tcPr>
            <w:tcW w:w="2978" w:type="dxa"/>
            <w:tcBorders>
              <w:right w:val="nil"/>
            </w:tcBorders>
            <w:noWrap/>
            <w:vAlign w:val="center"/>
            <w:hideMark/>
          </w:tcPr>
          <w:p w14:paraId="6380BB9C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Clinical pregnancy</w:t>
            </w:r>
          </w:p>
        </w:tc>
        <w:tc>
          <w:tcPr>
            <w:tcW w:w="2532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CAA4289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1.91(0.84,4.38)</w:t>
            </w:r>
          </w:p>
        </w:tc>
        <w:tc>
          <w:tcPr>
            <w:tcW w:w="1718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AC76D12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0.124</w:t>
            </w:r>
          </w:p>
        </w:tc>
        <w:tc>
          <w:tcPr>
            <w:tcW w:w="255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FB00337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0.90(0.39,2.07)</w:t>
            </w:r>
          </w:p>
        </w:tc>
        <w:tc>
          <w:tcPr>
            <w:tcW w:w="997" w:type="dxa"/>
            <w:tcBorders>
              <w:left w:val="nil"/>
            </w:tcBorders>
            <w:noWrap/>
            <w:vAlign w:val="center"/>
            <w:hideMark/>
          </w:tcPr>
          <w:p w14:paraId="3E7806E2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0.802</w:t>
            </w:r>
          </w:p>
        </w:tc>
      </w:tr>
      <w:tr w:rsidR="00EC0B01" w:rsidRPr="00EC0B01" w14:paraId="539BCA9E" w14:textId="77777777" w:rsidTr="00BF45F2">
        <w:trPr>
          <w:trHeight w:val="390"/>
        </w:trPr>
        <w:tc>
          <w:tcPr>
            <w:tcW w:w="2978" w:type="dxa"/>
            <w:tcBorders>
              <w:right w:val="nil"/>
            </w:tcBorders>
            <w:noWrap/>
            <w:vAlign w:val="center"/>
            <w:hideMark/>
          </w:tcPr>
          <w:p w14:paraId="0CD5E209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Ongoing pregnancy</w:t>
            </w:r>
          </w:p>
        </w:tc>
        <w:tc>
          <w:tcPr>
            <w:tcW w:w="2532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44D39A2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1.55(0.69,3.51)</w:t>
            </w:r>
          </w:p>
        </w:tc>
        <w:tc>
          <w:tcPr>
            <w:tcW w:w="1718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1A89E78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0.293</w:t>
            </w:r>
          </w:p>
        </w:tc>
        <w:tc>
          <w:tcPr>
            <w:tcW w:w="255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CD43849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0.67(0.29,1.54)</w:t>
            </w:r>
          </w:p>
        </w:tc>
        <w:tc>
          <w:tcPr>
            <w:tcW w:w="997" w:type="dxa"/>
            <w:tcBorders>
              <w:left w:val="nil"/>
            </w:tcBorders>
            <w:noWrap/>
            <w:vAlign w:val="center"/>
            <w:hideMark/>
          </w:tcPr>
          <w:p w14:paraId="5480286D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0.347</w:t>
            </w:r>
          </w:p>
        </w:tc>
      </w:tr>
      <w:tr w:rsidR="00EC0B01" w:rsidRPr="00EC0B01" w14:paraId="7D0319B8" w14:textId="77777777" w:rsidTr="00BF45F2">
        <w:trPr>
          <w:trHeight w:val="390"/>
        </w:trPr>
        <w:tc>
          <w:tcPr>
            <w:tcW w:w="2978" w:type="dxa"/>
            <w:tcBorders>
              <w:right w:val="nil"/>
            </w:tcBorders>
            <w:noWrap/>
            <w:vAlign w:val="center"/>
            <w:hideMark/>
          </w:tcPr>
          <w:p w14:paraId="1AB8F441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Live birth</w:t>
            </w:r>
          </w:p>
        </w:tc>
        <w:tc>
          <w:tcPr>
            <w:tcW w:w="2532" w:type="dxa"/>
            <w:tcBorders>
              <w:left w:val="nil"/>
              <w:right w:val="nil"/>
            </w:tcBorders>
            <w:noWrap/>
            <w:vAlign w:val="center"/>
            <w:hideMark/>
          </w:tcPr>
          <w:p w14:paraId="447F27D2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0.88(0.39,1.98)</w:t>
            </w:r>
          </w:p>
        </w:tc>
        <w:tc>
          <w:tcPr>
            <w:tcW w:w="1718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D2784B2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0.757</w:t>
            </w:r>
          </w:p>
        </w:tc>
        <w:tc>
          <w:tcPr>
            <w:tcW w:w="255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01A7F99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1.07(0.47,2.46)</w:t>
            </w:r>
          </w:p>
        </w:tc>
        <w:tc>
          <w:tcPr>
            <w:tcW w:w="997" w:type="dxa"/>
            <w:tcBorders>
              <w:left w:val="nil"/>
            </w:tcBorders>
            <w:noWrap/>
            <w:vAlign w:val="center"/>
            <w:hideMark/>
          </w:tcPr>
          <w:p w14:paraId="239DEFBE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0.865</w:t>
            </w:r>
          </w:p>
        </w:tc>
      </w:tr>
      <w:tr w:rsidR="00EC0B01" w:rsidRPr="00EC0B01" w14:paraId="57E10202" w14:textId="77777777" w:rsidTr="00BF45F2">
        <w:trPr>
          <w:trHeight w:val="390"/>
        </w:trPr>
        <w:tc>
          <w:tcPr>
            <w:tcW w:w="2978" w:type="dxa"/>
            <w:tcBorders>
              <w:right w:val="nil"/>
            </w:tcBorders>
            <w:noWrap/>
            <w:vAlign w:val="center"/>
            <w:hideMark/>
          </w:tcPr>
          <w:p w14:paraId="7AFEB5E8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Miscarriage</w:t>
            </w:r>
          </w:p>
        </w:tc>
        <w:tc>
          <w:tcPr>
            <w:tcW w:w="2532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8956E1C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2.27(0.60,8.60)</w:t>
            </w:r>
          </w:p>
        </w:tc>
        <w:tc>
          <w:tcPr>
            <w:tcW w:w="1718" w:type="dxa"/>
            <w:tcBorders>
              <w:left w:val="nil"/>
              <w:right w:val="nil"/>
            </w:tcBorders>
            <w:noWrap/>
            <w:vAlign w:val="center"/>
            <w:hideMark/>
          </w:tcPr>
          <w:p w14:paraId="37ADE025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0.230</w:t>
            </w:r>
          </w:p>
        </w:tc>
        <w:tc>
          <w:tcPr>
            <w:tcW w:w="255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47CB938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0.62(0.15,2.61)</w:t>
            </w:r>
          </w:p>
        </w:tc>
        <w:tc>
          <w:tcPr>
            <w:tcW w:w="997" w:type="dxa"/>
            <w:tcBorders>
              <w:left w:val="nil"/>
            </w:tcBorders>
            <w:noWrap/>
            <w:vAlign w:val="center"/>
            <w:hideMark/>
          </w:tcPr>
          <w:p w14:paraId="5FDA61A6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0.518</w:t>
            </w:r>
          </w:p>
        </w:tc>
      </w:tr>
      <w:tr w:rsidR="00EC0B01" w:rsidRPr="00EC0B01" w14:paraId="17721B8E" w14:textId="77777777" w:rsidTr="00BF45F2">
        <w:trPr>
          <w:trHeight w:val="390"/>
        </w:trPr>
        <w:tc>
          <w:tcPr>
            <w:tcW w:w="2978" w:type="dxa"/>
            <w:tcBorders>
              <w:right w:val="nil"/>
            </w:tcBorders>
            <w:noWrap/>
            <w:vAlign w:val="center"/>
            <w:hideMark/>
          </w:tcPr>
          <w:p w14:paraId="6E16E55C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Preterm delivery</w:t>
            </w:r>
          </w:p>
        </w:tc>
        <w:tc>
          <w:tcPr>
            <w:tcW w:w="2532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F69E411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0.52(0.05,5.88)</w:t>
            </w:r>
          </w:p>
        </w:tc>
        <w:tc>
          <w:tcPr>
            <w:tcW w:w="1718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C5F64E0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0.598</w:t>
            </w:r>
          </w:p>
        </w:tc>
        <w:tc>
          <w:tcPr>
            <w:tcW w:w="255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2ADB33B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1.00(0.08,12.94)</w:t>
            </w:r>
          </w:p>
        </w:tc>
        <w:tc>
          <w:tcPr>
            <w:tcW w:w="997" w:type="dxa"/>
            <w:tcBorders>
              <w:left w:val="nil"/>
            </w:tcBorders>
            <w:noWrap/>
            <w:vAlign w:val="center"/>
            <w:hideMark/>
          </w:tcPr>
          <w:p w14:paraId="2CC18759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0.998</w:t>
            </w:r>
          </w:p>
        </w:tc>
      </w:tr>
      <w:tr w:rsidR="00EC0B01" w:rsidRPr="00EC0B01" w14:paraId="2FB8AE3C" w14:textId="77777777" w:rsidTr="00BF45F2">
        <w:trPr>
          <w:trHeight w:val="390"/>
        </w:trPr>
        <w:tc>
          <w:tcPr>
            <w:tcW w:w="2978" w:type="dxa"/>
            <w:tcBorders>
              <w:right w:val="nil"/>
            </w:tcBorders>
            <w:noWrap/>
            <w:vAlign w:val="center"/>
            <w:hideMark/>
          </w:tcPr>
          <w:p w14:paraId="0F97CF3C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Full-term delivery</w:t>
            </w:r>
          </w:p>
        </w:tc>
        <w:tc>
          <w:tcPr>
            <w:tcW w:w="2532" w:type="dxa"/>
            <w:tcBorders>
              <w:left w:val="nil"/>
              <w:right w:val="nil"/>
            </w:tcBorders>
            <w:noWrap/>
            <w:vAlign w:val="center"/>
            <w:hideMark/>
          </w:tcPr>
          <w:p w14:paraId="4DF5F08F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1.92(0.17,21.67)</w:t>
            </w:r>
          </w:p>
        </w:tc>
        <w:tc>
          <w:tcPr>
            <w:tcW w:w="1718" w:type="dxa"/>
            <w:tcBorders>
              <w:left w:val="nil"/>
              <w:right w:val="nil"/>
            </w:tcBorders>
            <w:noWrap/>
            <w:vAlign w:val="center"/>
            <w:hideMark/>
          </w:tcPr>
          <w:p w14:paraId="6F1A8DE4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0.598</w:t>
            </w:r>
          </w:p>
        </w:tc>
        <w:tc>
          <w:tcPr>
            <w:tcW w:w="255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68C24BE7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1.00(0.08,12.87)</w:t>
            </w:r>
          </w:p>
        </w:tc>
        <w:tc>
          <w:tcPr>
            <w:tcW w:w="997" w:type="dxa"/>
            <w:tcBorders>
              <w:left w:val="nil"/>
            </w:tcBorders>
            <w:noWrap/>
            <w:vAlign w:val="center"/>
            <w:hideMark/>
          </w:tcPr>
          <w:p w14:paraId="00E6C24D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0.998</w:t>
            </w:r>
          </w:p>
        </w:tc>
      </w:tr>
    </w:tbl>
    <w:p w14:paraId="4F3CFB28" w14:textId="77777777" w:rsidR="00EC0B01" w:rsidRPr="00EC0B01" w:rsidRDefault="00EC0B01" w:rsidP="00EC0B01">
      <w:pPr>
        <w:jc w:val="both"/>
        <w:rPr>
          <w:rFonts w:ascii="Times New Roman" w:hAnsi="Times New Roman" w:cs="Times New Roman"/>
        </w:rPr>
      </w:pPr>
      <w:r w:rsidRPr="00EC0B01">
        <w:rPr>
          <w:rFonts w:ascii="Times New Roman" w:hAnsi="Times New Roman" w:cs="Times New Roman"/>
        </w:rPr>
        <w:t>OR, Odds Ratio;</w:t>
      </w:r>
    </w:p>
    <w:p w14:paraId="717C0A84" w14:textId="77777777" w:rsidR="00EC0B01" w:rsidRPr="00EC0B01" w:rsidRDefault="00EC0B01" w:rsidP="00EC0B01">
      <w:pPr>
        <w:jc w:val="both"/>
        <w:rPr>
          <w:rFonts w:ascii="Times New Roman" w:hAnsi="Times New Roman" w:cs="Times New Roman"/>
        </w:rPr>
      </w:pPr>
      <w:r w:rsidRPr="00EC0B01">
        <w:rPr>
          <w:rFonts w:ascii="Times New Roman" w:hAnsi="Times New Roman" w:cs="Times New Roman"/>
        </w:rPr>
        <w:t>95%CI, 95%Confidence Interval.</w:t>
      </w:r>
    </w:p>
    <w:p w14:paraId="6E0DEBF3" w14:textId="77777777" w:rsidR="00EC0B01" w:rsidRPr="00EC0B01" w:rsidRDefault="00EC0B01"/>
    <w:p w14:paraId="3625B8F7" w14:textId="77777777" w:rsidR="00EC0B01" w:rsidRPr="00EC0B01" w:rsidRDefault="00EC0B01" w:rsidP="00EC0B01">
      <w:pPr>
        <w:jc w:val="center"/>
        <w:rPr>
          <w:rFonts w:ascii="Times New Roman" w:hAnsi="Times New Roman" w:cs="Times New Roman"/>
          <w:b/>
          <w:bCs/>
        </w:rPr>
      </w:pPr>
      <w:r w:rsidRPr="00EC0B01">
        <w:rPr>
          <w:rFonts w:ascii="Times New Roman" w:hAnsi="Times New Roman" w:cs="Times New Roman"/>
          <w:b/>
          <w:bCs/>
        </w:rPr>
        <w:t>Supplementary Table 4 Raw outcome rates of three controlled ovarian stimulation protocols in endometriosis patients undergoing frozen embryo transfer</w:t>
      </w:r>
    </w:p>
    <w:tbl>
      <w:tblPr>
        <w:tblW w:w="6230" w:type="pct"/>
        <w:tblInd w:w="-1134" w:type="dxa"/>
        <w:tblBorders>
          <w:top w:val="single" w:sz="6" w:space="0" w:color="auto"/>
          <w:bottom w:val="single" w:sz="6" w:space="0" w:color="auto"/>
          <w:insideH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3"/>
        <w:gridCol w:w="2244"/>
        <w:gridCol w:w="2090"/>
        <w:gridCol w:w="2612"/>
      </w:tblGrid>
      <w:tr w:rsidR="00EC0B01" w:rsidRPr="00EC0B01" w14:paraId="6FA8174B" w14:textId="77777777" w:rsidTr="00BF45F2">
        <w:trPr>
          <w:tblHeader/>
        </w:trPr>
        <w:tc>
          <w:tcPr>
            <w:tcW w:w="1644" w:type="pct"/>
            <w:tcBorders>
              <w:bottom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35A59C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lastRenderedPageBreak/>
              <w:t>Outcome</w:t>
            </w:r>
          </w:p>
        </w:tc>
        <w:tc>
          <w:tcPr>
            <w:tcW w:w="1084" w:type="pct"/>
            <w:tcBorders>
              <w:bottom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1F2F43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GnRH-a (n=118)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64CBCC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GnRH-ant (n=295)</w:t>
            </w:r>
          </w:p>
        </w:tc>
        <w:tc>
          <w:tcPr>
            <w:tcW w:w="1262" w:type="pct"/>
            <w:tcBorders>
              <w:bottom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EB1C43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0B01">
              <w:rPr>
                <w:rFonts w:ascii="Times New Roman" w:hAnsi="Times New Roman" w:cs="Times New Roman"/>
                <w:b/>
                <w:bCs/>
              </w:rPr>
              <w:t>Mild (n=223)</w:t>
            </w:r>
          </w:p>
        </w:tc>
      </w:tr>
      <w:tr w:rsidR="00EC0B01" w:rsidRPr="00EC0B01" w14:paraId="439F4A62" w14:textId="77777777" w:rsidTr="00BF45F2">
        <w:tc>
          <w:tcPr>
            <w:tcW w:w="1644" w:type="pct"/>
            <w:tcBorders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929A40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Live birth</w:t>
            </w:r>
          </w:p>
        </w:tc>
        <w:tc>
          <w:tcPr>
            <w:tcW w:w="1084" w:type="pct"/>
            <w:tcBorders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34426B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48.3% (57/118)</w:t>
            </w:r>
          </w:p>
        </w:tc>
        <w:tc>
          <w:tcPr>
            <w:tcW w:w="0" w:type="auto"/>
            <w:tcBorders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E4F369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32.2% (95/295)</w:t>
            </w:r>
          </w:p>
        </w:tc>
        <w:tc>
          <w:tcPr>
            <w:tcW w:w="1262" w:type="pct"/>
            <w:tcBorders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5AFCC1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35.4% (79/223)</w:t>
            </w:r>
          </w:p>
        </w:tc>
      </w:tr>
      <w:tr w:rsidR="00EC0B01" w:rsidRPr="00EC0B01" w14:paraId="0F8C7E38" w14:textId="77777777" w:rsidTr="00BF45F2">
        <w:tc>
          <w:tcPr>
            <w:tcW w:w="1644" w:type="pct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F57C60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eastAsia="等线" w:hAnsi="Times New Roman" w:cs="Times New Roman"/>
                <w:szCs w:val="22"/>
              </w:rPr>
              <w:t>MII oocyte rate</w:t>
            </w:r>
          </w:p>
        </w:tc>
        <w:tc>
          <w:tcPr>
            <w:tcW w:w="1084" w:type="pct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B1427E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91.40%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50D0E3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85.80%</w:t>
            </w:r>
          </w:p>
        </w:tc>
        <w:tc>
          <w:tcPr>
            <w:tcW w:w="1262" w:type="pct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6A6AB4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90.70%</w:t>
            </w:r>
          </w:p>
        </w:tc>
      </w:tr>
      <w:tr w:rsidR="00EC0B01" w:rsidRPr="00EC0B01" w14:paraId="6C792672" w14:textId="77777777" w:rsidTr="00BF45F2">
        <w:tc>
          <w:tcPr>
            <w:tcW w:w="1644" w:type="pct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D2E35E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eastAsia="等线" w:hAnsi="Times New Roman" w:cs="Times New Roman"/>
                <w:szCs w:val="22"/>
              </w:rPr>
              <w:t>High-quality embryo rate</w:t>
            </w:r>
          </w:p>
        </w:tc>
        <w:tc>
          <w:tcPr>
            <w:tcW w:w="1084" w:type="pct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694965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73.10%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315CAA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65.20%</w:t>
            </w:r>
          </w:p>
        </w:tc>
        <w:tc>
          <w:tcPr>
            <w:tcW w:w="1262" w:type="pct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BCCFB5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68.30%</w:t>
            </w:r>
          </w:p>
        </w:tc>
      </w:tr>
      <w:tr w:rsidR="00EC0B01" w:rsidRPr="00EC0B01" w14:paraId="6B1ED96F" w14:textId="77777777" w:rsidTr="00BF45F2">
        <w:tc>
          <w:tcPr>
            <w:tcW w:w="1644" w:type="pct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C4DF7E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Biochemical pregnancy</w:t>
            </w:r>
          </w:p>
        </w:tc>
        <w:tc>
          <w:tcPr>
            <w:tcW w:w="1084" w:type="pct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BEDD2E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63.6% (75/118)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382A04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63.4% (187/295)</w:t>
            </w:r>
          </w:p>
        </w:tc>
        <w:tc>
          <w:tcPr>
            <w:tcW w:w="1262" w:type="pct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B0C267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57.8% (129/223)</w:t>
            </w:r>
          </w:p>
        </w:tc>
      </w:tr>
      <w:tr w:rsidR="00EC0B01" w:rsidRPr="00EC0B01" w14:paraId="5941B4FC" w14:textId="77777777" w:rsidTr="00BF45F2">
        <w:tc>
          <w:tcPr>
            <w:tcW w:w="1644" w:type="pct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886672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Clinical pregnancy</w:t>
            </w:r>
          </w:p>
        </w:tc>
        <w:tc>
          <w:tcPr>
            <w:tcW w:w="1084" w:type="pct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CEE547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57.6% (68/118)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3EA1AC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58.0% (171/295)</w:t>
            </w:r>
          </w:p>
        </w:tc>
        <w:tc>
          <w:tcPr>
            <w:tcW w:w="1262" w:type="pct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CD04E6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52.0% (116/223)</w:t>
            </w:r>
          </w:p>
        </w:tc>
      </w:tr>
      <w:tr w:rsidR="00EC0B01" w:rsidRPr="00EC0B01" w14:paraId="2C60A300" w14:textId="77777777" w:rsidTr="00BF45F2">
        <w:tc>
          <w:tcPr>
            <w:tcW w:w="1644" w:type="pct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C901AF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Ongoing pregnancy</w:t>
            </w:r>
          </w:p>
        </w:tc>
        <w:tc>
          <w:tcPr>
            <w:tcW w:w="1084" w:type="pct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52841E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53.4% (63/118)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A3622C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50.2% (148/295)</w:t>
            </w:r>
          </w:p>
        </w:tc>
        <w:tc>
          <w:tcPr>
            <w:tcW w:w="1262" w:type="pct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F9DB59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39.0% (87/223)</w:t>
            </w:r>
          </w:p>
        </w:tc>
      </w:tr>
      <w:tr w:rsidR="00EC0B01" w:rsidRPr="00EC0B01" w14:paraId="4506FBEB" w14:textId="77777777" w:rsidTr="00BF45F2">
        <w:tc>
          <w:tcPr>
            <w:tcW w:w="1644" w:type="pct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59FD49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Miscarriage</w:t>
            </w:r>
            <w:r w:rsidRPr="00EC0B01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084" w:type="pct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569B89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16.2% (11/68)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998B39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44.4% (76/171)</w:t>
            </w:r>
          </w:p>
        </w:tc>
        <w:tc>
          <w:tcPr>
            <w:tcW w:w="1262" w:type="pct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7EC2E1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31.9% (37/116)</w:t>
            </w:r>
          </w:p>
        </w:tc>
      </w:tr>
      <w:tr w:rsidR="00EC0B01" w:rsidRPr="00EC0B01" w14:paraId="487DBDB9" w14:textId="77777777" w:rsidTr="00BF45F2">
        <w:tc>
          <w:tcPr>
            <w:tcW w:w="1644" w:type="pct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FB3978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Preterm delivery</w:t>
            </w:r>
            <w:r w:rsidRPr="00EC0B01">
              <w:rPr>
                <w:rFonts w:ascii="Times New Roman" w:hAnsi="Times New Roman" w:cs="Times New Roman"/>
                <w:vertAlign w:val="superscript"/>
              </w:rPr>
              <w:t>†</w:t>
            </w:r>
          </w:p>
        </w:tc>
        <w:tc>
          <w:tcPr>
            <w:tcW w:w="1084" w:type="pct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D874EE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14.0% (8/57)</w:t>
            </w:r>
          </w:p>
        </w:tc>
        <w:tc>
          <w:tcPr>
            <w:tcW w:w="0" w:type="auto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0A9B1C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13.7% (13/95)</w:t>
            </w:r>
          </w:p>
        </w:tc>
        <w:tc>
          <w:tcPr>
            <w:tcW w:w="1262" w:type="pct"/>
            <w:tcBorders>
              <w:top w:val="nil"/>
              <w:bottom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ED7A69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22.8% (18/7...</w:t>
            </w:r>
          </w:p>
        </w:tc>
      </w:tr>
      <w:tr w:rsidR="00EC0B01" w:rsidRPr="00EC0B01" w14:paraId="18456212" w14:textId="77777777" w:rsidTr="00BF45F2">
        <w:tc>
          <w:tcPr>
            <w:tcW w:w="1644" w:type="pct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E44929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Full-term delivery</w:t>
            </w:r>
            <w:r w:rsidRPr="00EC0B01">
              <w:rPr>
                <w:rFonts w:ascii="Times New Roman" w:hAnsi="Times New Roman" w:cs="Times New Roman"/>
                <w:vertAlign w:val="superscript"/>
              </w:rPr>
              <w:t>†</w:t>
            </w:r>
          </w:p>
        </w:tc>
        <w:tc>
          <w:tcPr>
            <w:tcW w:w="1084" w:type="pct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D77366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86.0% (49/57)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72F129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86.3% (82/95)</w:t>
            </w:r>
          </w:p>
        </w:tc>
        <w:tc>
          <w:tcPr>
            <w:tcW w:w="1262" w:type="pct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9A9B51" w14:textId="77777777" w:rsidR="00EC0B01" w:rsidRPr="00EC0B01" w:rsidRDefault="00EC0B01" w:rsidP="00BF45F2">
            <w:pPr>
              <w:jc w:val="center"/>
              <w:rPr>
                <w:rFonts w:ascii="Times New Roman" w:hAnsi="Times New Roman" w:cs="Times New Roman"/>
              </w:rPr>
            </w:pPr>
            <w:r w:rsidRPr="00EC0B01">
              <w:rPr>
                <w:rFonts w:ascii="Times New Roman" w:hAnsi="Times New Roman" w:cs="Times New Roman"/>
              </w:rPr>
              <w:t>77.2% (61/79)</w:t>
            </w:r>
          </w:p>
        </w:tc>
      </w:tr>
    </w:tbl>
    <w:p w14:paraId="38D018E4" w14:textId="77777777" w:rsidR="00EC0B01" w:rsidRPr="00EC0B01" w:rsidRDefault="00EC0B01" w:rsidP="00EC0B01">
      <w:pPr>
        <w:jc w:val="both"/>
        <w:rPr>
          <w:rFonts w:ascii="Times New Roman" w:hAnsi="Times New Roman" w:cs="Times New Roman"/>
        </w:rPr>
      </w:pPr>
      <w:r w:rsidRPr="00EC0B01">
        <w:rPr>
          <w:rFonts w:ascii="Times New Roman" w:hAnsi="Times New Roman" w:cs="Times New Roman"/>
        </w:rPr>
        <w:t xml:space="preserve">* Miscarriage rate was calculated among clinical pregnancies. </w:t>
      </w:r>
    </w:p>
    <w:p w14:paraId="2257C031" w14:textId="77777777" w:rsidR="00EC0B01" w:rsidRPr="00EC0B01" w:rsidRDefault="00EC0B01" w:rsidP="00EC0B01">
      <w:pPr>
        <w:jc w:val="both"/>
        <w:rPr>
          <w:rFonts w:ascii="Times New Roman" w:hAnsi="Times New Roman" w:cs="Times New Roman"/>
        </w:rPr>
      </w:pPr>
      <w:r w:rsidRPr="00EC0B01">
        <w:rPr>
          <w:rFonts w:ascii="Times New Roman" w:hAnsi="Times New Roman" w:cs="Times New Roman"/>
        </w:rPr>
        <w:t xml:space="preserve">† Preterm and full-term delivery rates were calculated among live births. </w:t>
      </w:r>
    </w:p>
    <w:p w14:paraId="1982488B" w14:textId="1B74D7B8" w:rsidR="00EC0B01" w:rsidRPr="00EC0B01" w:rsidRDefault="00EC0B01" w:rsidP="00EC0B01">
      <w:pPr>
        <w:rPr>
          <w:rFonts w:hint="eastAsia"/>
        </w:rPr>
      </w:pPr>
      <w:r w:rsidRPr="00EC0B01">
        <w:rPr>
          <w:rFonts w:ascii="Times New Roman" w:hAnsi="Times New Roman" w:cs="Times New Roman"/>
        </w:rPr>
        <w:t>All values presented are unweighted crude rates</w:t>
      </w:r>
    </w:p>
    <w:sectPr w:rsidR="00EC0B01" w:rsidRPr="00EC0B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FC66B" w14:textId="77777777" w:rsidR="000B4A5B" w:rsidRDefault="000B4A5B" w:rsidP="00EC0B0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39C77FA" w14:textId="77777777" w:rsidR="000B4A5B" w:rsidRDefault="000B4A5B" w:rsidP="00EC0B0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DCD6B" w14:textId="77777777" w:rsidR="000B4A5B" w:rsidRDefault="000B4A5B" w:rsidP="00EC0B0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E5D4802" w14:textId="77777777" w:rsidR="000B4A5B" w:rsidRDefault="000B4A5B" w:rsidP="00EC0B0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557"/>
    <w:rsid w:val="000B4A5B"/>
    <w:rsid w:val="00115B65"/>
    <w:rsid w:val="00171557"/>
    <w:rsid w:val="0097122D"/>
    <w:rsid w:val="00EC0B01"/>
    <w:rsid w:val="00FA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F650D"/>
  <w15:chartTrackingRefBased/>
  <w15:docId w15:val="{EF68F54A-FEC8-48F0-8F77-50EB5A76E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B0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0B0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C0B0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C0B0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C0B0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551</Words>
  <Characters>3146</Characters>
  <Application>Microsoft Office Word</Application>
  <DocSecurity>0</DocSecurity>
  <Lines>26</Lines>
  <Paragraphs>7</Paragraphs>
  <ScaleCrop>false</ScaleCrop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伊凡 罗</dc:creator>
  <cp:keywords/>
  <dc:description/>
  <cp:lastModifiedBy>伊凡 罗</cp:lastModifiedBy>
  <cp:revision>2</cp:revision>
  <dcterms:created xsi:type="dcterms:W3CDTF">2026-08-23T14:07:00Z</dcterms:created>
  <dcterms:modified xsi:type="dcterms:W3CDTF">2026-08-23T14:10:00Z</dcterms:modified>
</cp:coreProperties>
</file>