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00A" w:rsidRDefault="006C74B8">
      <w:pPr>
        <w:rPr>
          <w:rFonts w:ascii="Arial" w:hAnsi="Arial" w:cs="Arial"/>
          <w:b/>
          <w:sz w:val="24"/>
          <w:szCs w:val="24"/>
          <w:lang w:val="en-US"/>
        </w:rPr>
      </w:pPr>
      <w:r>
        <w:rPr>
          <w:rFonts w:ascii="Arial" w:hAnsi="Arial" w:cs="Arial"/>
          <w:b/>
          <w:sz w:val="24"/>
          <w:szCs w:val="24"/>
          <w:lang w:val="en-US"/>
        </w:rPr>
        <w:t>Additional file</w:t>
      </w:r>
    </w:p>
    <w:p w:rsidR="00E6100A" w:rsidRDefault="00E6100A">
      <w:pPr>
        <w:rPr>
          <w:rFonts w:ascii="Arial" w:hAnsi="Arial" w:cs="Arial"/>
          <w:sz w:val="24"/>
          <w:szCs w:val="24"/>
          <w:lang w:val="en-US"/>
        </w:rPr>
      </w:pPr>
    </w:p>
    <w:p w:rsidR="00E6100A" w:rsidRDefault="0007747F">
      <w:pPr>
        <w:rPr>
          <w:rFonts w:ascii="Arial" w:hAnsi="Arial" w:cs="Arial"/>
          <w:b/>
          <w:sz w:val="24"/>
          <w:szCs w:val="24"/>
          <w:lang w:val="en-US"/>
        </w:rPr>
      </w:pPr>
      <w:r>
        <w:rPr>
          <w:rFonts w:ascii="Arial" w:hAnsi="Arial" w:cs="Arial"/>
          <w:b/>
          <w:sz w:val="24"/>
          <w:szCs w:val="24"/>
          <w:lang w:val="en-US"/>
        </w:rPr>
        <w:t>1. Supplementary Methods</w:t>
      </w:r>
    </w:p>
    <w:p w:rsidR="00E6100A" w:rsidRDefault="00E6100A">
      <w:pPr>
        <w:rPr>
          <w:rFonts w:ascii="Arial" w:hAnsi="Arial" w:cs="Arial"/>
          <w:b/>
          <w:sz w:val="24"/>
          <w:szCs w:val="24"/>
          <w:lang w:val="en-US"/>
        </w:rPr>
      </w:pPr>
    </w:p>
    <w:p w:rsidR="00E6100A" w:rsidRDefault="0007747F">
      <w:pPr>
        <w:pStyle w:val="Bibliography"/>
        <w:spacing w:line="480" w:lineRule="auto"/>
        <w:rPr>
          <w:rFonts w:ascii="Arial" w:hAnsi="Arial" w:cs="Arial"/>
          <w:color w:val="000000"/>
          <w:sz w:val="24"/>
          <w:lang w:val="en-US"/>
        </w:rPr>
      </w:pPr>
      <w:r>
        <w:rPr>
          <w:rFonts w:ascii="Arial" w:hAnsi="Arial" w:cs="Arial"/>
          <w:color w:val="000000"/>
          <w:sz w:val="24"/>
          <w:lang w:val="en-US"/>
        </w:rPr>
        <w:t>Brain imaging (Methods in original article)</w:t>
      </w:r>
    </w:p>
    <w:p w:rsidR="00E6100A" w:rsidRDefault="00E6100A">
      <w:pPr>
        <w:rPr>
          <w:lang w:val="en-US"/>
        </w:rPr>
      </w:pPr>
    </w:p>
    <w:p w:rsidR="00E6100A" w:rsidRDefault="0007747F">
      <w:pPr>
        <w:spacing w:after="0" w:line="480" w:lineRule="auto"/>
        <w:rPr>
          <w:rFonts w:ascii="Arial" w:hAnsi="Arial" w:cs="Arial"/>
          <w:color w:val="000000"/>
          <w:sz w:val="24"/>
          <w:lang w:val="en-US"/>
        </w:rPr>
      </w:pPr>
      <w:r>
        <w:rPr>
          <w:rFonts w:ascii="Arial" w:hAnsi="Arial" w:cs="Arial"/>
          <w:color w:val="000000"/>
          <w:sz w:val="24"/>
          <w:lang w:val="en-US"/>
        </w:rPr>
        <w:t xml:space="preserve">PET analyses were performed using standard procedures </w:t>
      </w:r>
      <w:r>
        <w:rPr>
          <w:rFonts w:ascii="Arial" w:hAnsi="Arial" w:cs="Arial"/>
          <w:color w:val="000000"/>
          <w:sz w:val="24"/>
          <w:lang w:val="en-US"/>
        </w:rPr>
        <w:fldChar w:fldCharType="begin"/>
      </w:r>
      <w:r>
        <w:rPr>
          <w:rFonts w:ascii="Arial" w:hAnsi="Arial" w:cs="Arial"/>
          <w:color w:val="000000"/>
          <w:sz w:val="24"/>
          <w:lang w:val="en-US"/>
        </w:rPr>
        <w:instrText xml:space="preserve"> ADDIN ZOTERO_ITEM CSL_CITATION {"citationID":"1lhn9c6tj8","properties":{"formattedCitation":"{\\rtf (4\\uc0\\u8211{}6)}","plainCitation":"(4–6)"},"citationItems":[{"id":240,"uris":["http://zotero.org/users/local/OEZVRuUK/items/KGVIC48R"],"uri":["http://zotero.org/users/local/OEZVRuUK/items/KGVIC48R"],"itemData":{"id":240,"type":"article-journal","title":"Clinical severity of Alzheimer's disease is associated with PIB uptake in PET","container-title":"Neurobiol Aging","page":"1902-9","volume":"30","issue":"12","archive_location":"18346821","abstract":"BACKGROUND: The positron emission tomography (PET) tracer [11C]-Pittsburgh Compound-B ([11C]PIB) allows the in vivo assessment of amyloid plaque burden in the brain. In a cross-sectional study we examined the association between the severity of dementia assessed using the Clinical Dementia Rating scale sum of boxes (CDR-SOB) and [11C]PIB-PET in patients with Alzheimer's disease (AD). METHODS: Patients with probable AD who had an AD-typical [18F]FDG-PET scan were included. Linear regression analysis in anatomically defined regions-of-interest (ROIs) and correlation analysis using statistical parametric mapping (SPM) were used to determine the association between CDR-SOB and [11C]PIB uptake. RESULTS: The linear regression analyses showed that the CDR-SOB explained approximately 11-22% of the variance of [11C]PIB uptake. The association attained statistical significance in both frontal, in both anterior cingulate cortices, and in both putamina. The SPM analysis showed a significant association in more widespread regions of the brain, with maxima located in similar areas as in the ROI-analysis. CONCLUSION: The CDR-SOB score is significantly associated with [11C]PIB uptake in patients with AD. Thus [11C]PIB is a potential surrogate marker of dementia severity.","DOI":"10.1016/j.neurobiolaging.2008.01.016","ISSN":"1558-1497 (Electronic) 0197-4580 (Linking)","shortTitle":"Clinical severity of Alzheimer's disease is associated with PIB uptake in PET","language":"eng","author":[{"family":"Grimmer","given":"T."},{"family":"Henriksen","given":"G."},{"family":"Wester","given":"H. J."},{"family":"Forstl","given":"H."},{"family":"Klunk","given":"W. E."},{"family":"Mathis","given":"C. A."},{"family":"Kurz","given":"A."},{"family":"Drzezga","given":"A."}],"issued":{"date-parts":[["2009",12]]}}},{"id":244,"uris":["http://zotero.org/users/local/OEZVRuUK/items/X6PKIFU4"],"uri":["http://zotero.org/users/local/OEZVRuUK/items/X6PKIFU4"],"itemData":{"id":244,"type":"article-journal","title":"Beta amyloid in Alzheimer's disease: increased deposition in brain is reflected in reduced concentration in cerebrospinal fluid","container-title":"Biol Psychiatry","page":"927-34","volume":"65","issue":"11","archive_location":"19268916","abstract":"BACKGROUND: A decreased concentration of beta amyloid (1-42) (Abeta42) has consistently been found in the cerebrospinal fluid (CSF) of patients with Alzheimer's disease (AD) and is considered a diagnostic biomarker. However, it is not clear to which extent CSF Abeta42 levels are reflective of cerebral pathology in AD. The aim of the study was to determine the association between cerebral amyloid plaque load, as measured by means of the positron emission tomography (PET) tracer carbon-11-labeled Pittsburgh Compound B ([11C]PiB) and CSF Abeta42 in AD. METHODS: A group of 30 patients with probable AD, as defined by established clinical criteria and by an AD-typical pattern of tracer uptake in fluorine-18-labeled fluorodeoxyglucose ([18F]FDG) PET, were included. In all patients, [11C]PiB PET and CSF analysis were performed. The association between amyloid load and CSF Abeta42 levels was examined in three different ways: by linear regression analysis using an overall [11C]PiB value for the entire cerebrum, by correlation analyses using [11C]PiB measurements in anatomically defined regions of interest, and by voxel-based regression analyses. RESULTS: All patients showed a positive [11C]PiB scan demonstrating amyloid deposition. Linear regression analysis revealed a significant inverse correlation between the overall [11C]PiB uptake and CSF Abeta42 levels. Voxel-based regression and regional correlation analyses did not attain statistical significance after correction for multiple comparisons. Numerically, correlation coefficients were higher in brain regions adjacent to CSF spaces. CONCLUSIONS: The study demonstrates a moderate linear negative association between cerebral amyloid plaque load and CSF Abeta42 levels in AD patients in vivo and suggests possible regional differences of the association.","DOI":"10.1016/j.biopsych.2009.01.027","ISSN":"1873-2402 (Electronic) 0006-3223 (Linking)","shortTitle":"Beta amyloid in Alzheimer's disease: increased deposition in brain is reflected in reduced concentration in cerebrospinal fluid","language":"eng","author":[{"family":"Grimmer","given":"T."},{"family":"Riemenschneider","given":"M."},{"family":"Forstl","given":"H."},{"family":"Henriksen","given":"G."},{"family":"Klunk","given":"W. E."},{"family":"Mathis","given":"C. A."},{"family":"Shiga","given":"T."},{"family":"Wester","given":"H. J."},{"family":"Kurz","given":"A."},{"family":"Drzezga","given":"A."}],"issued":{"date-parts":[["2009",6,1]]}}},{"id":248,"uris":["http://zotero.org/users/local/OEZVRuUK/items/V7PT9CER"],"uri":["http://zotero.org/users/local/OEZVRuUK/items/V7PT9CER"],"itemData":{"id":248,"type":"article-journal","title":"Progression of cerebral amyloid load is associated with the apolipoprotein E epsilon4 genotype in Alzheimer's disease","container-title":"Biol Psychiatry","page":"879-84","volume":"68","issue":"10","archive_location":"20598287","abstract":"BACKGROUND: Pittsburgh Compound B ([(1)(1)C] PiB) is a specific positron emission tomography (PET) marker of cerebral amyloid deposits. Only few data have been published on in vivo longitudinal changes of amyloid load in Alzheimer's disease (AD) patients, with conflicting results. Therefore, little is known about the factors that influence these changes. METHODS: A group of 24 patients with probable AD diagnosed by combining established clinical criteria with an AD-typical pattern in [(18)F] fluoro-deoxy-glucose PET underwent [(1)(1)C] PiB-PET examinations at baseline and after 24 months. The difference of amyloid load between the two examinations and the association with clinical and neurobiological variables was examined with a regions-of-interest approach and voxel-based analyses. RESULTS: Cerebral [(1)(1)C] PiB uptake ratio increased significantly by an annual rate of 3.92%. Although the increase occurred in all parts of the neocortex, no increase was detected in the archipallium. The increase was gene-dose-dependent (analysis of variance p = .012) to the number of apolipoprotein E epsilon4 alleles. Progression of dementia symptoms was correlated to the [(1)(1)C] PiB increase in numerous regions associated with cognition. CONCLUSIONS: The results of this study indicate that a significant increase of amyloid deposition occurs in patients with AD during a relatively short interval of its clinical course. The rate of amyloid aggregation rate is closely associated with the apolipoprotein E genotype, which might be important for the evaluation of antiamyloid drug treatment effects. The present study further emphasizes the value of amyloid-plaque imaging as a marker of disease progression and as a potential surrogate marker to be used in antiamyloid drug trials.","DOI":"10.1016/j.biopsych.2010.05.013","ISSN":"1873-2402 (Electronic) 0006-3223 (Linking)","shortTitle":"Progression of cerebral amyloid load is associated with the apolipoprotein E epsilon4 genotype in Alzheimer's disease","language":"eng","author":[{"family":"Grimmer","given":"T."},{"family":"Tholen","given":"S."},{"family":"Yousefi","given":"B. H."},{"family":"Alexopoulos","given":"P."},{"family":"Forschler","given":"A."},{"family":"Forstl","given":"H."},{"family":"Henriksen","given":"G."},{"family":"Klunk","given":"W. E."},{"family":"Mathis","given":"C. A."},{"family":"Perneczky","given":"R."},{"family":"Sorg","given":"C."},{"family":"Kurz","given":"A."},{"family":"Drzezga","given":"A."}],"issued":{"date-parts":[["2010",11,15]]}}}],"schema":"https://github.com/citation-style-language/schema/raw/master/csl-citation.json"} </w:instrText>
      </w:r>
      <w:r>
        <w:rPr>
          <w:rFonts w:ascii="Arial" w:hAnsi="Arial" w:cs="Arial"/>
          <w:color w:val="000000"/>
          <w:sz w:val="24"/>
          <w:lang w:val="en-US"/>
        </w:rPr>
        <w:fldChar w:fldCharType="separate"/>
      </w:r>
      <w:r>
        <w:rPr>
          <w:rFonts w:ascii="Arial" w:hAnsi="Arial" w:cs="Arial"/>
          <w:sz w:val="24"/>
          <w:szCs w:val="24"/>
          <w:lang w:val="en-US"/>
        </w:rPr>
        <w:t>(4–6)</w:t>
      </w:r>
      <w:r>
        <w:rPr>
          <w:rFonts w:ascii="Arial" w:hAnsi="Arial" w:cs="Arial"/>
          <w:color w:val="000000"/>
          <w:sz w:val="24"/>
          <w:lang w:val="en-US"/>
        </w:rPr>
        <w:fldChar w:fldCharType="end"/>
      </w:r>
      <w:r>
        <w:rPr>
          <w:rFonts w:ascii="Arial" w:hAnsi="Arial" w:cs="Arial"/>
          <w:color w:val="000000"/>
          <w:sz w:val="24"/>
          <w:lang w:val="en-US"/>
        </w:rPr>
        <w:t>. The [</w:t>
      </w:r>
      <w:r>
        <w:rPr>
          <w:rFonts w:ascii="Arial" w:hAnsi="Arial" w:cs="Arial"/>
          <w:color w:val="000000"/>
          <w:sz w:val="24"/>
          <w:vertAlign w:val="superscript"/>
          <w:lang w:val="en-US"/>
        </w:rPr>
        <w:t>11</w:t>
      </w:r>
      <w:r>
        <w:rPr>
          <w:rFonts w:ascii="Arial" w:hAnsi="Arial" w:cs="Arial"/>
          <w:color w:val="000000"/>
          <w:sz w:val="24"/>
          <w:lang w:val="en-US"/>
        </w:rPr>
        <w:t>C]</w:t>
      </w:r>
      <w:proofErr w:type="spellStart"/>
      <w:r>
        <w:rPr>
          <w:rFonts w:ascii="Arial" w:hAnsi="Arial" w:cs="Arial"/>
          <w:color w:val="000000"/>
          <w:sz w:val="24"/>
          <w:lang w:val="en-US"/>
        </w:rPr>
        <w:t>PiB</w:t>
      </w:r>
      <w:proofErr w:type="spellEnd"/>
      <w:r>
        <w:rPr>
          <w:rFonts w:ascii="Arial" w:hAnsi="Arial" w:cs="Arial"/>
          <w:color w:val="000000"/>
          <w:sz w:val="24"/>
          <w:lang w:val="en-US"/>
        </w:rPr>
        <w:t>-PET and [</w:t>
      </w:r>
      <w:r>
        <w:rPr>
          <w:rFonts w:ascii="Arial" w:hAnsi="Arial" w:cs="Arial"/>
          <w:color w:val="000000"/>
          <w:sz w:val="24"/>
          <w:vertAlign w:val="superscript"/>
          <w:lang w:val="en-US"/>
        </w:rPr>
        <w:t>18</w:t>
      </w:r>
      <w:r>
        <w:rPr>
          <w:rFonts w:ascii="Arial" w:hAnsi="Arial" w:cs="Arial"/>
          <w:color w:val="000000"/>
          <w:sz w:val="24"/>
          <w:lang w:val="en-US"/>
        </w:rPr>
        <w:t>F]FDG-PET images were co-registered to high resolution MRI scans and normalized to the MNI space, using the warping parameters of the MRI to obtain inter-individually comparable images. Using the reference tissue model, relative measures of global cerebral [</w:t>
      </w:r>
      <w:r>
        <w:rPr>
          <w:rFonts w:ascii="Arial" w:hAnsi="Arial" w:cs="Arial"/>
          <w:color w:val="000000"/>
          <w:sz w:val="24"/>
          <w:vertAlign w:val="superscript"/>
          <w:lang w:val="en-US"/>
        </w:rPr>
        <w:t>11</w:t>
      </w:r>
      <w:r>
        <w:rPr>
          <w:rFonts w:ascii="Arial" w:hAnsi="Arial" w:cs="Arial"/>
          <w:color w:val="000000"/>
          <w:sz w:val="24"/>
          <w:lang w:val="en-US"/>
        </w:rPr>
        <w:t>C]</w:t>
      </w:r>
      <w:proofErr w:type="spellStart"/>
      <w:r>
        <w:rPr>
          <w:rFonts w:ascii="Arial" w:hAnsi="Arial" w:cs="Arial"/>
          <w:color w:val="000000"/>
          <w:sz w:val="24"/>
          <w:lang w:val="en-US"/>
        </w:rPr>
        <w:t>PiB</w:t>
      </w:r>
      <w:proofErr w:type="spellEnd"/>
      <w:r>
        <w:rPr>
          <w:rFonts w:ascii="Arial" w:hAnsi="Arial" w:cs="Arial"/>
          <w:color w:val="000000"/>
          <w:sz w:val="24"/>
          <w:lang w:val="en-US"/>
        </w:rPr>
        <w:t>-PET uptake and [</w:t>
      </w:r>
      <w:r>
        <w:rPr>
          <w:rFonts w:ascii="Arial" w:hAnsi="Arial" w:cs="Arial"/>
          <w:color w:val="000000"/>
          <w:sz w:val="24"/>
          <w:vertAlign w:val="superscript"/>
          <w:lang w:val="en-US"/>
        </w:rPr>
        <w:t>18</w:t>
      </w:r>
      <w:r>
        <w:rPr>
          <w:rFonts w:ascii="Arial" w:hAnsi="Arial" w:cs="Arial"/>
          <w:color w:val="000000"/>
          <w:sz w:val="24"/>
          <w:lang w:val="en-US"/>
        </w:rPr>
        <w:t>F]FDG-PET uptake, respectively, were obtained by calculating a cerebral cortex to cerebellar vermis (C/cv) ratio of each patient’s [</w:t>
      </w:r>
      <w:r>
        <w:rPr>
          <w:rFonts w:ascii="Arial" w:hAnsi="Arial" w:cs="Arial"/>
          <w:color w:val="000000"/>
          <w:sz w:val="24"/>
          <w:vertAlign w:val="superscript"/>
          <w:lang w:val="en-US"/>
        </w:rPr>
        <w:t>11</w:t>
      </w:r>
      <w:r>
        <w:rPr>
          <w:rFonts w:ascii="Arial" w:hAnsi="Arial" w:cs="Arial"/>
          <w:color w:val="000000"/>
          <w:sz w:val="24"/>
          <w:lang w:val="en-US"/>
        </w:rPr>
        <w:t>C]</w:t>
      </w:r>
      <w:proofErr w:type="spellStart"/>
      <w:r>
        <w:rPr>
          <w:rFonts w:ascii="Arial" w:hAnsi="Arial" w:cs="Arial"/>
          <w:color w:val="000000"/>
          <w:sz w:val="24"/>
          <w:lang w:val="en-US"/>
        </w:rPr>
        <w:t>PiB</w:t>
      </w:r>
      <w:proofErr w:type="spellEnd"/>
      <w:r>
        <w:rPr>
          <w:rFonts w:ascii="Arial" w:hAnsi="Arial" w:cs="Arial"/>
          <w:color w:val="000000"/>
          <w:sz w:val="24"/>
          <w:lang w:val="en-US"/>
        </w:rPr>
        <w:t xml:space="preserve"> SUV40-70min scan and cerebral cortex to thalamus (C/t), cortex to pons (C/p) and cerebral to cerebellum (C/c) ratios of each patient's [</w:t>
      </w:r>
      <w:r>
        <w:rPr>
          <w:rFonts w:ascii="Arial" w:hAnsi="Arial" w:cs="Arial"/>
          <w:color w:val="000000"/>
          <w:sz w:val="24"/>
          <w:vertAlign w:val="superscript"/>
          <w:lang w:val="en-US"/>
        </w:rPr>
        <w:t>18</w:t>
      </w:r>
      <w:r>
        <w:rPr>
          <w:rFonts w:ascii="Arial" w:hAnsi="Arial" w:cs="Arial"/>
          <w:color w:val="000000"/>
          <w:sz w:val="24"/>
          <w:lang w:val="en-US"/>
        </w:rPr>
        <w:t xml:space="preserve">F]FDG SUV30-50min scan </w:t>
      </w:r>
      <w:r>
        <w:rPr>
          <w:rFonts w:ascii="Arial" w:hAnsi="Arial" w:cs="Arial"/>
          <w:color w:val="000000"/>
          <w:sz w:val="24"/>
          <w:lang w:val="en-US"/>
        </w:rPr>
        <w:fldChar w:fldCharType="begin"/>
      </w:r>
      <w:r>
        <w:rPr>
          <w:rFonts w:ascii="Arial" w:hAnsi="Arial" w:cs="Arial"/>
          <w:color w:val="000000"/>
          <w:sz w:val="24"/>
          <w:lang w:val="en-US"/>
        </w:rPr>
        <w:instrText xml:space="preserve"> ADDIN ZOTERO_ITEM CSL_CITATION {"citationID":"vc17aoe5i","properties":{"formattedCitation":"(7)","plainCitation":"(7)"},"citationItems":[{"id":50,"uris":["http://zotero.org/users/3653309/items/5X8EDS8A"],"uri":["http://zotero.org/users/3653309/items/5X8EDS8A"],"itemData":{"id":50,"type":"article-journal","title":"Regional cerebral glucose metabolism in dementia with Lewy bodies and Alzheimer's disease","container-title":"Neurology","page":"125-130","volume":"51","issue":"1","source":"PubMed","abstract":"OBJECTIVE: To delineate the features of regional cerebral metabolic rate of glucose (CMRglc) in dementia with Lewy bodies (DLB).\nMETHODS: We compared absolute CMRglc in 12 patients with a clinical diagnosis of DLB, 12 patients with a clinical diagnosis of Alzheimer's disease (AD), and 12 normal volunteers (NC), using 18F-fluorodeoxyglucose (FDG) and PET. The three groups were matched for age and sex, and there were no differences in disease duration or severity of cognitive disturbances between the DLB and AD groups.\nRESULTS: CMRglc was significantly lower in patients with DLB than in that of NC in most parts of the brain, except the sensorimotor cortices, basal ganglia, thalamus, and pons. Between the DLB and AD groups, there were significant regional CMRglc differences in the medial and lateral occipital lobes. In DLB and AD, the CMRglc reduction patterns were similar, though the global metabolic reduction was larger in DLB, and the occipital CMRglc reduction in DLB could differentiate DLB from AD. The relative occipital CMRglc (normalized to the sensorimotor CMRglc) was a useful measure for the differential diagnosis of DLB from AD. The sensitivity and the specificity were 92% when using the minimal value of the normalized occipital CMRglc in the NC group as the cut-off point.\nCONCLUSION: These different regional CMRglc reductions substantiate the pathologic, neurochemical, and clinical differences between DLB and AD.","ISSN":"0028-3878","note":"PMID: 9674790","journalAbbreviation":"Neurology","language":"eng","author":[{"family":"Ishii","given":"K."},{"family":"Imamura","given":"T."},{"family":"Sasaki","given":"M."},{"family":"Yamaji","given":"S."},{"family":"Sakamoto","given":"S."},{"family":"Kitagaki","given":"H."},{"family":"Hashimoto","given":"M."},{"family":"Hirono","given":"N."},{"family":"Shimomura","given":"T."},{"family":"Mori","given":"E."}],"issued":{"date-parts":[["1998",7]]},"PMID":"9674790"}}],"schema":"https://github.com/citation-style-language/schema/raw/master/csl-citation.json"} </w:instrText>
      </w:r>
      <w:r>
        <w:rPr>
          <w:rFonts w:ascii="Arial" w:hAnsi="Arial" w:cs="Arial"/>
          <w:color w:val="000000"/>
          <w:sz w:val="24"/>
          <w:lang w:val="en-US"/>
        </w:rPr>
        <w:fldChar w:fldCharType="separate"/>
      </w:r>
      <w:r>
        <w:rPr>
          <w:rFonts w:ascii="Arial" w:hAnsi="Arial" w:cs="Arial"/>
          <w:sz w:val="24"/>
          <w:lang w:val="en-US"/>
        </w:rPr>
        <w:t>(7)</w:t>
      </w:r>
      <w:r>
        <w:rPr>
          <w:rFonts w:ascii="Arial" w:hAnsi="Arial" w:cs="Arial"/>
          <w:color w:val="000000"/>
          <w:sz w:val="24"/>
          <w:lang w:val="en-US"/>
        </w:rPr>
        <w:fldChar w:fldCharType="end"/>
      </w:r>
      <w:r>
        <w:rPr>
          <w:rFonts w:ascii="Arial" w:hAnsi="Arial" w:cs="Arial"/>
          <w:color w:val="000000"/>
          <w:sz w:val="24"/>
          <w:lang w:val="en-US"/>
        </w:rPr>
        <w:t xml:space="preserve"> respectively, to control for between-subjects differences in tracer uptake using standard methods </w:t>
      </w:r>
      <w:r>
        <w:rPr>
          <w:rFonts w:ascii="Arial" w:hAnsi="Arial" w:cs="Arial"/>
          <w:color w:val="000000"/>
          <w:sz w:val="24"/>
          <w:lang w:val="en-US"/>
        </w:rPr>
        <w:fldChar w:fldCharType="begin"/>
      </w:r>
      <w:r>
        <w:rPr>
          <w:rFonts w:ascii="Arial" w:hAnsi="Arial" w:cs="Arial"/>
          <w:color w:val="000000"/>
          <w:sz w:val="24"/>
          <w:lang w:val="en-US"/>
        </w:rPr>
        <w:instrText xml:space="preserve"> ADDIN ZOTERO_ITEM CSL_CITATION {"citationID":"94032bmkh","properties":{"formattedCitation":"{\\rtf (4\\uc0\\u8211{}6,8)}","plainCitation":"(4–6,8)"},"citationItems":[{"id":240,"uris":["http://zotero.org/users/local/OEZVRuUK/items/KGVIC48R"],"uri":["http://zotero.org/users/local/OEZVRuUK/items/KGVIC48R"],"itemData":{"id":240,"type":"article-journal","title":"Clinical severity of Alzheimer's disease is associated with PIB uptake in PET","container-title":"Neurobiol Aging","page":"1902-9","volume":"30","issue":"12","archive_location":"18346821","abstract":"BACKGROUND: The positron emission tomography (PET) tracer [11C]-Pittsburgh Compound-B ([11C]PIB) allows the in vivo assessment of amyloid plaque burden in the brain. In a cross-sectional study we examined the association between the severity of dementia assessed using the Clinical Dementia Rating scale sum of boxes (CDR-SOB) and [11C]PIB-PET in patients with Alzheimer's disease (AD). METHODS: Patients with probable AD who had an AD-typical [18F]FDG-PET scan were included. Linear regression analysis in anatomically defined regions-of-interest (ROIs) and correlation analysis using statistical parametric mapping (SPM) were used to determine the association between CDR-SOB and [11C]PIB uptake. RESULTS: The linear regression analyses showed that the CDR-SOB explained approximately 11-22% of the variance of [11C]PIB uptake. The association attained statistical significance in both frontal, in both anterior cingulate cortices, and in both putamina. The SPM analysis showed a significant association in more widespread regions of the brain, with maxima located in similar areas as in the ROI-analysis. CONCLUSION: The CDR-SOB score is significantly associated with [11C]PIB uptake in patients with AD. Thus [11C]PIB is a potential surrogate marker of dementia severity.","DOI":"10.1016/j.neurobiolaging.2008.01.016","ISSN":"1558-1497 (Electronic) 0197-4580 (Linking)","shortTitle":"Clinical severity of Alzheimer's disease is associated with PIB uptake in PET","language":"eng","author":[{"family":"Grimmer","given":"T."},{"family":"Henriksen","given":"G."},{"family":"Wester","given":"H. J."},{"family":"Forstl","given":"H."},{"family":"Klunk","given":"W. E."},{"family":"Mathis","given":"C. A."},{"family":"Kurz","given":"A."},{"family":"Drzezga","given":"A."}],"issued":{"date-parts":[["2009",12]]}}},{"id":244,"uris":["http://zotero.org/users/local/OEZVRuUK/items/X6PKIFU4"],"uri":["http://zotero.org/users/local/OEZVRuUK/items/X6PKIFU4"],"itemData":{"id":244,"type":"article-journal","title":"Beta amyloid in Alzheimer's disease: increased deposition in brain is reflected in reduced concentration in cerebrospinal fluid","container-title":"Biol Psychiatry","page":"927-34","volume":"65","issue":"11","archive_location":"19268916","abstract":"BACKGROUND: A decreased concentration of beta amyloid (1-42) (Abeta42) has consistently been found in the cerebrospinal fluid (CSF) of patients with Alzheimer's disease (AD) and is considered a diagnostic biomarker. However, it is not clear to which extent CSF Abeta42 levels are reflective of cerebral pathology in AD. The aim of the study was to determine the association between cerebral amyloid plaque load, as measured by means of the positron emission tomography (PET) tracer carbon-11-labeled Pittsburgh Compound B ([11C]PiB) and CSF Abeta42 in AD. METHODS: A group of 30 patients with probable AD, as defined by established clinical criteria and by an AD-typical pattern of tracer uptake in fluorine-18-labeled fluorodeoxyglucose ([18F]FDG) PET, were included. In all patients, [11C]PiB PET and CSF analysis were performed. The association between amyloid load and CSF Abeta42 levels was examined in three different ways: by linear regression analysis using an overall [11C]PiB value for the entire cerebrum, by correlation analyses using [11C]PiB measurements in anatomically defined regions of interest, and by voxel-based regression analyses. RESULTS: All patients showed a positive [11C]PiB scan demonstrating amyloid deposition. Linear regression analysis revealed a significant inverse correlation between the overall [11C]PiB uptake and CSF Abeta42 levels. Voxel-based regression and regional correlation analyses did not attain statistical significance after correction for multiple comparisons. Numerically, correlation coefficients were higher in brain regions adjacent to CSF spaces. CONCLUSIONS: The study demonstrates a moderate linear negative association between cerebral amyloid plaque load and CSF Abeta42 levels in AD patients in vivo and suggests possible regional differences of the association.","DOI":"10.1016/j.biopsych.2009.01.027","ISSN":"1873-2402 (Electronic) 0006-3223 (Linking)","shortTitle":"Beta amyloid in Alzheimer's disease: increased deposition in brain is reflected in reduced concentration in cerebrospinal fluid","language":"eng","author":[{"family":"Grimmer","given":"T."},{"family":"Riemenschneider","given":"M."},{"family":"Forstl","given":"H."},{"family":"Henriksen","given":"G."},{"family":"Klunk","given":"W. E."},{"family":"Mathis","given":"C. A."},{"family":"Shiga","given":"T."},{"family":"Wester","given":"H. J."},{"family":"Kurz","given":"A."},{"family":"Drzezga","given":"A."}],"issued":{"date-parts":[["2009",6,1]]}}},{"id":248,"uris":["http://zotero.org/users/local/OEZVRuUK/items/V7PT9CER"],"uri":["http://zotero.org/users/local/OEZVRuUK/items/V7PT9CER"],"itemData":{"id":248,"type":"article-journal","title":"Progression of cerebral amyloid load is associated with the apolipoprotein E epsilon4 genotype in Alzheimer's disease","container-title":"Biol Psychiatry","page":"879-84","volume":"68","issue":"10","archive_location":"20598287","abstract":"BACKGROUND: Pittsburgh Compound B ([(1)(1)C] PiB) is a specific positron emission tomography (PET) marker of cerebral amyloid deposits. Only few data have been published on in vivo longitudinal changes of amyloid load in Alzheimer's disease (AD) patients, with conflicting results. Therefore, little is known about the factors that influence these changes. METHODS: A group of 24 patients with probable AD diagnosed by combining established clinical criteria with an AD-typical pattern in [(18)F] fluoro-deoxy-glucose PET underwent [(1)(1)C] PiB-PET examinations at baseline and after 24 months. The difference of amyloid load between the two examinations and the association with clinical and neurobiological variables was examined with a regions-of-interest approach and voxel-based analyses. RESULTS: Cerebral [(1)(1)C] PiB uptake ratio increased significantly by an annual rate of 3.92%. Although the increase occurred in all parts of the neocortex, no increase was detected in the archipallium. The increase was gene-dose-dependent (analysis of variance p = .012) to the number of apolipoprotein E epsilon4 alleles. Progression of dementia symptoms was correlated to the [(1)(1)C] PiB increase in numerous regions associated with cognition. CONCLUSIONS: The results of this study indicate that a significant increase of amyloid deposition occurs in patients with AD during a relatively short interval of its clinical course. The rate of amyloid aggregation rate is closely associated with the apolipoprotein E genotype, which might be important for the evaluation of antiamyloid drug treatment effects. The present study further emphasizes the value of amyloid-plaque imaging as a marker of disease progression and as a potential surrogate marker to be used in antiamyloid drug trials.","DOI":"10.1016/j.biopsych.2010.05.013","ISSN":"1873-2402 (Electronic) 0006-3223 (Linking)","shortTitle":"Progression of cerebral amyloid load is associated with the apolipoprotein E epsilon4 genotype in Alzheimer's disease","language":"eng","author":[{"family":"Grimmer","given":"T."},{"family":"Tholen","given":"S."},{"family":"Yousefi","given":"B. H."},{"family":"Alexopoulos","given":"P."},{"family":"Forschler","given":"A."},{"family":"Forstl","given":"H."},{"family":"Henriksen","given":"G."},{"family":"Klunk","given":"W. E."},{"family":"Mathis","given":"C. A."},{"family":"Perneczky","given":"R."},{"family":"Sorg","given":"C."},{"family":"Kurz","given":"A."},{"family":"Drzezga","given":"A."}],"issued":{"date-parts":[["2010",11,15]]}}},{"id":490,"uris":["http://zotero.org/users/local/OEZVRuUK/items/E2ZA34CR"],"uri":["http://zotero.org/users/local/OEZVRuUK/items/E2ZA34CR"],"itemData":{"id":490,"type":"article-journal","title":"Society of Nuclear Medicine Procedure Guideline for FDG PET Brain Imaging","container-title":"Procedure Guidline for FDG-PET Brain Imaging","page":"1-12","volume":"1.0","issue":"1","shortTitle":"Society of Nuclear Medicine Procedure Guideline for FDG PET Brain Imaging","author":[{"family":"Waxman","given":"A. D.; Herholz","suffix":"K.; Lewis, D. H.; Herscovitch, P.; Minoshima, S.; Ichise, M.; Drzezga, A. E., Devous, M. D.; Mountz, J. M."}],"issued":{"date-parts":[["2009"]],"season":"Society"}}}],"schema":"https://github.com/citation-style-language/schema/raw/master/csl-citation.json"} </w:instrText>
      </w:r>
      <w:r>
        <w:rPr>
          <w:rFonts w:ascii="Arial" w:hAnsi="Arial" w:cs="Arial"/>
          <w:color w:val="000000"/>
          <w:sz w:val="24"/>
          <w:lang w:val="en-US"/>
        </w:rPr>
        <w:fldChar w:fldCharType="separate"/>
      </w:r>
      <w:r>
        <w:rPr>
          <w:rFonts w:ascii="Arial" w:hAnsi="Arial" w:cs="Arial"/>
          <w:sz w:val="24"/>
          <w:szCs w:val="24"/>
          <w:lang w:val="en-US"/>
        </w:rPr>
        <w:t>(4–6,8)</w:t>
      </w:r>
      <w:r>
        <w:rPr>
          <w:rFonts w:ascii="Arial" w:hAnsi="Arial" w:cs="Arial"/>
          <w:color w:val="000000"/>
          <w:sz w:val="24"/>
          <w:lang w:val="en-US"/>
        </w:rPr>
        <w:fldChar w:fldCharType="end"/>
      </w:r>
      <w:r>
        <w:rPr>
          <w:rFonts w:ascii="Arial" w:hAnsi="Arial" w:cs="Arial"/>
          <w:color w:val="000000"/>
          <w:sz w:val="24"/>
          <w:lang w:val="en-US"/>
        </w:rPr>
        <w:t xml:space="preserve">. For regional analyses, PET images were normalized to the same reference regions </w:t>
      </w:r>
      <w:r>
        <w:rPr>
          <w:rFonts w:ascii="Arial" w:hAnsi="Arial" w:cs="Arial"/>
          <w:color w:val="000000"/>
          <w:sz w:val="24"/>
          <w:lang w:val="en-US"/>
        </w:rPr>
        <w:fldChar w:fldCharType="begin"/>
      </w:r>
      <w:r>
        <w:rPr>
          <w:rFonts w:ascii="Arial" w:hAnsi="Arial" w:cs="Arial"/>
          <w:color w:val="000000"/>
          <w:sz w:val="24"/>
          <w:lang w:val="en-US"/>
        </w:rPr>
        <w:instrText xml:space="preserve"> ADDIN ZOTERO_ITEM CSL_CITATION {"citationID":"vujfc7b1a","properties":{"formattedCitation":"(9)","plainCitation":"(9)"},"citationItems":[{"id":36,"uris":["http://zotero.org/users/3653309/items/J5X5U8Z7"],"uri":["http://zotero.org/users/3653309/items/J5X5U8Z7"],"itemData":{"id":36,"type":"article-journal","title":"LRP-1 polymorphism is associated with global and regional amyloid load in Alzheimer's Disease in humans in-vivo","container-title":"NeuroImage. Clinical","page":"411-416","volume":"4","source":"PubMed","abstract":"OBJECTIVE: Impaired amyloid clearance has been proposed to contribute to β-amyloid deposition in sporadic late-onset Alzheimer's disease (AD). Low density lipoprotein receptor-related protein 1 (LRP-1) is involved in the active outward transport of β-amyloid across the blood-brain barrier (BBB). The C667T polymorphism (rs1799986) of the LRP-1 gene has been inconsistently associated with AD in genetic studies. We aimed to elucidate the association of this polymorphism with in-vivo brain amyloid load of AD patients using amyloid PET with [(11)C]PiB.\nMATERIALS AND METHODS: 72 patients with very mild to moderate AD were examined with amyloid PET and C667T polymorphism was obtained using TaqMan PCR assays. The association of C667T polymorphism with global and regional amyloid load was calculated using linear regression and voxel based analysis, respectively. The effect of the previously identified modulator of amyloid uptake, the apolipoprotein E genotype, on this association was also determined.\nRESULTS: The regression analysis between amyloid load and C667T polymorphism was statistically significant (p = 0.046, β = 0.236). In an additional analysis ApoE genotype and gender were identified to explain further variability of amyloid load. Voxel based analysis revealed a significant (p &lt; 0.05) association between C667T polymorphism and amyloid uptake in the temporo-parietal cortex bilaterally. ApoE did not interact significantly with the LRP-1 polymorphism.\nDISCUSSION: In conclusion, C667T polymorphism of LRP-1 is moderately but significantly associated with global and regional amyloid deposition in AD. The relationship appears to be independent of the ApoE genotype. This finding is compatible with the hypothesis that impaired amyloid clearance contributes to amyloid deposition in late-onset sporadic AD.","DOI":"10.1016/j.nicl.2014.01.016","note":"PMID: 24596678\nPMCID: PMC3939495","journalAbbreviation":"Neuroimage Clin","language":"eng","author":[{"family":"Grimmer","given":"Timo"},{"family":"Goldhardt","given":"Oliver"},{"family":"Guo","given":"Liang-Hao"},{"family":"Yousefi","given":"Behrooz H."},{"family":"Förster","given":"Stefan"},{"family":"Drzezga","given":"Alexander"},{"family":"Sorg","given":"Christian"},{"family":"Alexopoulos","given":"Panagiotis"},{"family":"Förstl","given":"Hans"},{"family":"Kurz","given":"Alexander"},{"family":"Perneczky","given":"Robert"}],"issued":{"date-parts":[["2014"]]},"PMID":"24596678","PMCID":"PMC3939495"}}],"schema":"https://github.com/citation-style-language/schema/raw/master/csl-citation.json"} </w:instrText>
      </w:r>
      <w:r>
        <w:rPr>
          <w:rFonts w:ascii="Arial" w:hAnsi="Arial" w:cs="Arial"/>
          <w:color w:val="000000"/>
          <w:sz w:val="24"/>
          <w:lang w:val="en-US"/>
        </w:rPr>
        <w:fldChar w:fldCharType="separate"/>
      </w:r>
      <w:r>
        <w:rPr>
          <w:rFonts w:ascii="Arial" w:hAnsi="Arial" w:cs="Arial"/>
          <w:sz w:val="24"/>
          <w:lang w:val="en-US"/>
        </w:rPr>
        <w:t>(9)</w:t>
      </w:r>
      <w:r>
        <w:rPr>
          <w:rFonts w:ascii="Arial" w:hAnsi="Arial" w:cs="Arial"/>
          <w:color w:val="000000"/>
          <w:sz w:val="24"/>
          <w:lang w:val="en-US"/>
        </w:rPr>
        <w:fldChar w:fldCharType="end"/>
      </w:r>
      <w:r>
        <w:rPr>
          <w:rFonts w:ascii="Arial" w:hAnsi="Arial" w:cs="Arial"/>
          <w:color w:val="000000"/>
          <w:sz w:val="24"/>
          <w:lang w:val="en-US"/>
        </w:rPr>
        <w:t>.</w:t>
      </w:r>
    </w:p>
    <w:p w:rsidR="00E6100A" w:rsidRDefault="00E6100A">
      <w:pPr>
        <w:rPr>
          <w:rFonts w:ascii="Arial" w:hAnsi="Arial" w:cs="Arial"/>
          <w:sz w:val="24"/>
          <w:szCs w:val="24"/>
          <w:lang w:val="en-US"/>
        </w:rPr>
      </w:pPr>
    </w:p>
    <w:p w:rsidR="00E6100A" w:rsidRDefault="00E6100A">
      <w:pPr>
        <w:spacing w:after="0" w:line="480" w:lineRule="auto"/>
        <w:rPr>
          <w:rFonts w:ascii="Arial" w:hAnsi="Arial"/>
          <w:sz w:val="24"/>
          <w:lang w:val="en-US"/>
        </w:rPr>
      </w:pPr>
    </w:p>
    <w:p w:rsidR="00E6100A" w:rsidRDefault="0007747F">
      <w:pPr>
        <w:spacing w:after="0" w:line="480" w:lineRule="auto"/>
        <w:rPr>
          <w:rFonts w:ascii="Arial" w:hAnsi="Arial"/>
          <w:b/>
          <w:sz w:val="24"/>
          <w:lang w:val="en-US"/>
        </w:rPr>
      </w:pPr>
      <w:r>
        <w:rPr>
          <w:rFonts w:ascii="Arial" w:hAnsi="Arial"/>
          <w:b/>
          <w:sz w:val="24"/>
          <w:lang w:val="en-US"/>
        </w:rPr>
        <w:t>2. Supplementary analyses</w:t>
      </w:r>
    </w:p>
    <w:p w:rsidR="00E6100A" w:rsidRDefault="00E6100A">
      <w:pPr>
        <w:spacing w:after="0" w:line="480" w:lineRule="auto"/>
        <w:rPr>
          <w:rFonts w:ascii="Arial" w:hAnsi="Arial"/>
          <w:sz w:val="24"/>
          <w:lang w:val="en-US"/>
        </w:rPr>
      </w:pPr>
    </w:p>
    <w:p w:rsidR="00E6100A" w:rsidRDefault="0007747F">
      <w:pPr>
        <w:spacing w:after="0" w:line="480" w:lineRule="auto"/>
        <w:rPr>
          <w:rFonts w:ascii="Arial" w:hAnsi="Arial" w:cs="Arial"/>
          <w:color w:val="000000"/>
          <w:sz w:val="24"/>
          <w:lang w:val="en-US"/>
        </w:rPr>
      </w:pPr>
      <w:r>
        <w:rPr>
          <w:rFonts w:ascii="Arial" w:hAnsi="Arial" w:cs="Arial"/>
          <w:sz w:val="24"/>
          <w:szCs w:val="24"/>
          <w:lang w:val="en-US"/>
        </w:rPr>
        <w:t xml:space="preserve">Association of KLK2 with BBB integrity </w:t>
      </w:r>
      <w:r>
        <w:rPr>
          <w:rFonts w:ascii="Arial" w:hAnsi="Arial" w:cs="Arial"/>
          <w:color w:val="000000"/>
          <w:sz w:val="24"/>
          <w:lang w:val="en-US"/>
        </w:rPr>
        <w:t>(Exploratory analyses in original article)</w:t>
      </w:r>
    </w:p>
    <w:p w:rsidR="00E6100A" w:rsidRDefault="0007747F">
      <w:pPr>
        <w:pStyle w:val="ListParagraph"/>
        <w:spacing w:line="480" w:lineRule="auto"/>
        <w:ind w:left="0"/>
        <w:rPr>
          <w:lang w:val="en-US"/>
        </w:rPr>
      </w:pPr>
      <w:r>
        <w:rPr>
          <w:lang w:val="en-US"/>
        </w:rPr>
        <w:t xml:space="preserve">Additionally, plausibility analyses were performed to investigate whether KLK levels in the CSF are associated with an impaired blood-brain barrier (BBB). To examine, whether KLKs might originate from the CNS or from the periphery, linear regression </w:t>
      </w:r>
      <w:r>
        <w:rPr>
          <w:lang w:val="en-US"/>
        </w:rPr>
        <w:lastRenderedPageBreak/>
        <w:t xml:space="preserve">analyses were calculated with each KLK as dependent variable and </w:t>
      </w:r>
      <w:proofErr w:type="spellStart"/>
      <w:r>
        <w:rPr>
          <w:rFonts w:cs="Arial"/>
          <w:color w:val="000000"/>
          <w:lang w:val="en-US"/>
        </w:rPr>
        <w:t>R</w:t>
      </w:r>
      <w:r>
        <w:rPr>
          <w:rFonts w:cs="Arial"/>
          <w:color w:val="000000"/>
          <w:vertAlign w:val="subscript"/>
          <w:lang w:val="en-US"/>
        </w:rPr>
        <w:t>alb</w:t>
      </w:r>
      <w:proofErr w:type="spellEnd"/>
      <w:r>
        <w:rPr>
          <w:lang w:val="en-US"/>
        </w:rPr>
        <w:t xml:space="preserve"> (ratio of CSF to serum albumin), immunoglobulin G CSF to serum ratios or glucose in the CSF as independent variables, respectively.</w:t>
      </w:r>
    </w:p>
    <w:p w:rsidR="00E6100A" w:rsidRDefault="0007747F">
      <w:pPr>
        <w:pStyle w:val="ListParagraph"/>
        <w:spacing w:line="480" w:lineRule="auto"/>
        <w:ind w:left="0"/>
        <w:rPr>
          <w:lang w:val="en-US"/>
        </w:rPr>
      </w:pPr>
      <w:r>
        <w:rPr>
          <w:lang w:val="en-US"/>
        </w:rPr>
        <w:t xml:space="preserve">Because KLK8 and KLK10 were associated with </w:t>
      </w:r>
      <w:proofErr w:type="spellStart"/>
      <w:r>
        <w:rPr>
          <w:lang w:val="en-US"/>
        </w:rPr>
        <w:t>R</w:t>
      </w:r>
      <w:r>
        <w:rPr>
          <w:vertAlign w:val="subscript"/>
          <w:lang w:val="en-US"/>
        </w:rPr>
        <w:t>alb</w:t>
      </w:r>
      <w:proofErr w:type="spellEnd"/>
      <w:r>
        <w:rPr>
          <w:lang w:val="en-US"/>
        </w:rPr>
        <w:t xml:space="preserve"> as an indicator for BBB integrity of KLKs, </w:t>
      </w:r>
      <w:proofErr w:type="spellStart"/>
      <w:r>
        <w:rPr>
          <w:lang w:val="en-US"/>
        </w:rPr>
        <w:t>R</w:t>
      </w:r>
      <w:r>
        <w:rPr>
          <w:vertAlign w:val="subscript"/>
          <w:lang w:val="en-US"/>
        </w:rPr>
        <w:t>alb</w:t>
      </w:r>
      <w:proofErr w:type="spellEnd"/>
      <w:r>
        <w:rPr>
          <w:lang w:val="en-US"/>
        </w:rPr>
        <w:t xml:space="preserve"> was post-hoc included in the previous linear regression models (compare statistical analyses 5): CSF AD biomarker as dependent variables and KLKs as independent variables including all former covariates, and </w:t>
      </w:r>
      <w:proofErr w:type="spellStart"/>
      <w:r>
        <w:rPr>
          <w:lang w:val="en-US"/>
        </w:rPr>
        <w:t>R</w:t>
      </w:r>
      <w:r>
        <w:rPr>
          <w:vertAlign w:val="subscript"/>
          <w:lang w:val="en-US"/>
        </w:rPr>
        <w:t>alb</w:t>
      </w:r>
      <w:proofErr w:type="spellEnd"/>
      <w:r>
        <w:rPr>
          <w:vertAlign w:val="subscript"/>
          <w:lang w:val="en-US"/>
        </w:rPr>
        <w:t>,</w:t>
      </w:r>
      <w:r>
        <w:rPr>
          <w:lang w:val="en-US"/>
        </w:rPr>
        <w:t xml:space="preserve"> and an interaction variable </w:t>
      </w:r>
      <w:proofErr w:type="spellStart"/>
      <w:r>
        <w:rPr>
          <w:lang w:val="en-US"/>
        </w:rPr>
        <w:t>R</w:t>
      </w:r>
      <w:r>
        <w:rPr>
          <w:vertAlign w:val="subscript"/>
          <w:lang w:val="en-US"/>
        </w:rPr>
        <w:t>alb</w:t>
      </w:r>
      <w:proofErr w:type="spellEnd"/>
      <w:r>
        <w:rPr>
          <w:lang w:val="en-US"/>
        </w:rPr>
        <w:t xml:space="preserve"> x KLK8 or </w:t>
      </w:r>
      <w:proofErr w:type="spellStart"/>
      <w:r>
        <w:rPr>
          <w:lang w:val="en-US"/>
        </w:rPr>
        <w:t>R</w:t>
      </w:r>
      <w:r>
        <w:rPr>
          <w:vertAlign w:val="subscript"/>
          <w:lang w:val="en-US"/>
        </w:rPr>
        <w:t>alb</w:t>
      </w:r>
      <w:proofErr w:type="spellEnd"/>
      <w:r>
        <w:rPr>
          <w:lang w:val="en-US"/>
        </w:rPr>
        <w:t xml:space="preserve"> x KLK10, respectively.</w:t>
      </w:r>
    </w:p>
    <w:p w:rsidR="00E6100A" w:rsidRDefault="00E6100A">
      <w:pPr>
        <w:rPr>
          <w:rFonts w:ascii="Arial" w:hAnsi="Arial" w:cs="Arial"/>
          <w:sz w:val="24"/>
          <w:szCs w:val="24"/>
          <w:lang w:val="en-US"/>
        </w:rPr>
      </w:pPr>
    </w:p>
    <w:p w:rsidR="00E6100A" w:rsidRDefault="0007747F">
      <w:pPr>
        <w:rPr>
          <w:rFonts w:ascii="Arial" w:hAnsi="Arial" w:cs="Arial"/>
          <w:b/>
          <w:sz w:val="24"/>
          <w:szCs w:val="24"/>
          <w:lang w:val="en-US"/>
        </w:rPr>
      </w:pPr>
      <w:r>
        <w:rPr>
          <w:rFonts w:ascii="Arial" w:hAnsi="Arial" w:cs="Arial"/>
          <w:b/>
          <w:sz w:val="24"/>
          <w:szCs w:val="24"/>
          <w:lang w:val="en-US"/>
        </w:rPr>
        <w:t>3. Supplementary results</w:t>
      </w:r>
    </w:p>
    <w:p w:rsidR="00E6100A" w:rsidRDefault="00E6100A">
      <w:pPr>
        <w:rPr>
          <w:rFonts w:ascii="Arial" w:hAnsi="Arial" w:cs="Arial"/>
          <w:b/>
          <w:sz w:val="24"/>
          <w:szCs w:val="24"/>
          <w:lang w:val="en-US"/>
        </w:rPr>
      </w:pPr>
    </w:p>
    <w:p w:rsidR="00E6100A" w:rsidRDefault="0007747F">
      <w:pPr>
        <w:rPr>
          <w:rFonts w:ascii="Arial" w:hAnsi="Arial" w:cs="Arial"/>
          <w:color w:val="000000"/>
          <w:sz w:val="24"/>
          <w:lang w:val="en-US"/>
        </w:rPr>
      </w:pPr>
      <w:r>
        <w:rPr>
          <w:rFonts w:ascii="Arial" w:hAnsi="Arial"/>
          <w:sz w:val="24"/>
          <w:lang w:val="en-US"/>
        </w:rPr>
        <w:t>Associations of KLKs with the global PET signal (</w:t>
      </w:r>
      <w:r>
        <w:rPr>
          <w:rFonts w:ascii="Arial" w:hAnsi="Arial" w:cs="Arial"/>
          <w:color w:val="000000"/>
          <w:sz w:val="24"/>
          <w:lang w:val="en-US"/>
        </w:rPr>
        <w:t>Exploratory results in original article)</w:t>
      </w:r>
    </w:p>
    <w:p w:rsidR="0000061E" w:rsidRDefault="0000061E">
      <w:pPr>
        <w:spacing w:after="0" w:line="480" w:lineRule="auto"/>
        <w:contextualSpacing/>
        <w:rPr>
          <w:rFonts w:ascii="Arial" w:hAnsi="Arial"/>
          <w:strike/>
          <w:color w:val="0070C0"/>
          <w:sz w:val="24"/>
          <w:lang w:val="en-US"/>
        </w:rPr>
      </w:pPr>
    </w:p>
    <w:p w:rsidR="00E6100A" w:rsidRDefault="0007747F">
      <w:pPr>
        <w:spacing w:after="0" w:line="480" w:lineRule="auto"/>
        <w:contextualSpacing/>
        <w:rPr>
          <w:rFonts w:ascii="Arial" w:hAnsi="Arial"/>
          <w:sz w:val="24"/>
          <w:lang w:val="en-US"/>
        </w:rPr>
      </w:pPr>
      <w:r>
        <w:rPr>
          <w:rFonts w:ascii="Arial" w:hAnsi="Arial"/>
          <w:sz w:val="24"/>
          <w:lang w:val="en-US"/>
        </w:rPr>
        <w:t xml:space="preserve">In univariate analyses, FDG-PET signal or </w:t>
      </w:r>
      <w:proofErr w:type="spellStart"/>
      <w:r>
        <w:rPr>
          <w:rFonts w:ascii="Arial" w:hAnsi="Arial"/>
          <w:sz w:val="24"/>
          <w:lang w:val="en-US"/>
        </w:rPr>
        <w:t>PiB</w:t>
      </w:r>
      <w:proofErr w:type="spellEnd"/>
      <w:r>
        <w:rPr>
          <w:rFonts w:ascii="Arial" w:hAnsi="Arial"/>
          <w:sz w:val="24"/>
          <w:lang w:val="en-US"/>
        </w:rPr>
        <w:t xml:space="preserve">-PET signal, respectively, were not statistically significantly associated with KLK6, KLK8 or KLK10, respectively </w:t>
      </w:r>
      <w:r>
        <w:rPr>
          <w:rFonts w:ascii="Arial" w:hAnsi="Arial" w:cs="Arial"/>
          <w:sz w:val="24"/>
          <w:lang w:val="en-US"/>
        </w:rPr>
        <w:t xml:space="preserve">(see </w:t>
      </w:r>
      <w:r w:rsidR="00DB0ED8">
        <w:rPr>
          <w:rFonts w:ascii="Arial" w:hAnsi="Arial" w:cs="Arial"/>
          <w:sz w:val="24"/>
          <w:u w:val="single"/>
          <w:lang w:val="en-US"/>
        </w:rPr>
        <w:t>T</w:t>
      </w:r>
      <w:r>
        <w:rPr>
          <w:rFonts w:ascii="Arial" w:hAnsi="Arial" w:cs="Arial"/>
          <w:sz w:val="24"/>
          <w:u w:val="single"/>
          <w:lang w:val="en-US"/>
        </w:rPr>
        <w:t xml:space="preserve">able </w:t>
      </w:r>
      <w:r w:rsidR="00DB0ED8">
        <w:rPr>
          <w:rFonts w:ascii="Arial" w:hAnsi="Arial" w:cs="Arial"/>
          <w:sz w:val="24"/>
          <w:u w:val="single"/>
          <w:lang w:val="en-US"/>
        </w:rPr>
        <w:t>S</w:t>
      </w:r>
      <w:r>
        <w:rPr>
          <w:rFonts w:ascii="Arial" w:hAnsi="Arial" w:cs="Arial"/>
          <w:sz w:val="24"/>
          <w:u w:val="single"/>
          <w:lang w:val="en-US"/>
        </w:rPr>
        <w:t>2</w:t>
      </w:r>
      <w:r>
        <w:rPr>
          <w:rFonts w:ascii="Arial" w:hAnsi="Arial" w:cs="Arial"/>
          <w:sz w:val="24"/>
          <w:lang w:val="en-US"/>
        </w:rPr>
        <w:t>)</w:t>
      </w:r>
      <w:r>
        <w:rPr>
          <w:rFonts w:ascii="Arial" w:hAnsi="Arial"/>
          <w:sz w:val="24"/>
          <w:lang w:val="en-US"/>
        </w:rPr>
        <w:t>. In multivariate analyses, only the model with the dependent variable cerebrum to pons FDG-signal ratio and KLK10 as the independent variable was statistically significant, if clinical severity assessed by global CDR (adjusted R²=0.491 (</w:t>
      </w:r>
      <w:proofErr w:type="spellStart"/>
      <w:r>
        <w:rPr>
          <w:rFonts w:ascii="Arial" w:hAnsi="Arial"/>
          <w:sz w:val="24"/>
          <w:lang w:val="en-US"/>
        </w:rPr>
        <w:t>p</w:t>
      </w:r>
      <w:r>
        <w:rPr>
          <w:rFonts w:ascii="Arial" w:hAnsi="Arial"/>
          <w:sz w:val="24"/>
          <w:vertAlign w:val="subscript"/>
          <w:lang w:val="en-US"/>
        </w:rPr>
        <w:t>model</w:t>
      </w:r>
      <w:proofErr w:type="spellEnd"/>
      <w:r>
        <w:rPr>
          <w:rFonts w:ascii="Arial" w:hAnsi="Arial"/>
          <w:sz w:val="24"/>
          <w:lang w:val="en-US"/>
        </w:rPr>
        <w:t xml:space="preserve">= 0.010), </w:t>
      </w:r>
      <w:r>
        <w:rPr>
          <w:rFonts w:ascii="Arial" w:hAnsi="Arial" w:cs="Arial"/>
          <w:sz w:val="24"/>
          <w:lang w:val="en-US"/>
        </w:rPr>
        <w:t>β</w:t>
      </w:r>
      <w:r>
        <w:rPr>
          <w:rFonts w:ascii="Arial" w:hAnsi="Arial" w:cs="Arial"/>
          <w:sz w:val="24"/>
          <w:vertAlign w:val="subscript"/>
          <w:lang w:val="en-US"/>
        </w:rPr>
        <w:t>KLK10</w:t>
      </w:r>
      <w:r>
        <w:rPr>
          <w:rFonts w:ascii="Arial" w:hAnsi="Arial" w:cs="Arial"/>
          <w:sz w:val="24"/>
          <w:lang w:val="en-US"/>
        </w:rPr>
        <w:t>= -0.546 (p= 0.025), β</w:t>
      </w:r>
      <w:r>
        <w:rPr>
          <w:rFonts w:ascii="Arial" w:hAnsi="Arial" w:cs="Arial"/>
          <w:sz w:val="24"/>
          <w:vertAlign w:val="subscript"/>
          <w:lang w:val="en-US"/>
        </w:rPr>
        <w:t>CDR</w:t>
      </w:r>
      <w:r>
        <w:rPr>
          <w:rFonts w:ascii="Arial" w:hAnsi="Arial" w:cs="Arial"/>
          <w:sz w:val="24"/>
          <w:lang w:val="en-US"/>
        </w:rPr>
        <w:t>= -0.733 (p= 0.005</w:t>
      </w:r>
      <w:r>
        <w:rPr>
          <w:rFonts w:ascii="Arial" w:hAnsi="Arial"/>
          <w:sz w:val="24"/>
          <w:lang w:val="en-US"/>
        </w:rPr>
        <w:t>)) or MMSE score (adjusted R²= 0.407 (</w:t>
      </w:r>
      <w:proofErr w:type="spellStart"/>
      <w:r>
        <w:rPr>
          <w:rFonts w:ascii="Arial" w:hAnsi="Arial"/>
          <w:sz w:val="24"/>
          <w:lang w:val="en-US"/>
        </w:rPr>
        <w:t>p</w:t>
      </w:r>
      <w:r>
        <w:rPr>
          <w:rFonts w:ascii="Arial" w:hAnsi="Arial"/>
          <w:sz w:val="24"/>
          <w:vertAlign w:val="subscript"/>
          <w:lang w:val="en-US"/>
        </w:rPr>
        <w:t>model</w:t>
      </w:r>
      <w:proofErr w:type="spellEnd"/>
      <w:r>
        <w:rPr>
          <w:rFonts w:ascii="Arial" w:hAnsi="Arial"/>
          <w:sz w:val="24"/>
          <w:lang w:val="en-US"/>
        </w:rPr>
        <w:t xml:space="preserve">= 0.023), </w:t>
      </w:r>
      <w:r>
        <w:rPr>
          <w:rFonts w:ascii="Arial" w:hAnsi="Arial" w:cs="Arial"/>
          <w:sz w:val="24"/>
          <w:lang w:val="en-US"/>
        </w:rPr>
        <w:t>β</w:t>
      </w:r>
      <w:r>
        <w:rPr>
          <w:rFonts w:ascii="Arial" w:hAnsi="Arial" w:cs="Arial"/>
          <w:sz w:val="24"/>
          <w:vertAlign w:val="subscript"/>
          <w:lang w:val="en-US"/>
        </w:rPr>
        <w:t>KLK10</w:t>
      </w:r>
      <w:r>
        <w:rPr>
          <w:rFonts w:ascii="Arial" w:hAnsi="Arial" w:cs="Arial"/>
          <w:sz w:val="24"/>
          <w:lang w:val="en-US"/>
        </w:rPr>
        <w:t>= -0.463 (p= 0.060), β</w:t>
      </w:r>
      <w:r>
        <w:rPr>
          <w:rFonts w:ascii="Arial" w:hAnsi="Arial" w:cs="Arial"/>
          <w:sz w:val="24"/>
          <w:vertAlign w:val="subscript"/>
          <w:lang w:val="en-US"/>
        </w:rPr>
        <w:t>MMST</w:t>
      </w:r>
      <w:r>
        <w:rPr>
          <w:rFonts w:ascii="Arial" w:hAnsi="Arial" w:cs="Arial"/>
          <w:sz w:val="24"/>
          <w:lang w:val="en-US"/>
        </w:rPr>
        <w:t>= 0.658 (p= 0.012)</w:t>
      </w:r>
      <w:r>
        <w:rPr>
          <w:rFonts w:ascii="Arial" w:hAnsi="Arial"/>
          <w:sz w:val="24"/>
          <w:lang w:val="en-US"/>
        </w:rPr>
        <w:t>) were also included in the model. In both models, KLK10 was significantly inversely associated with the cerebrum to pons FDG-PET signal</w:t>
      </w:r>
      <w:r>
        <w:rPr>
          <w:rFonts w:ascii="Arial" w:hAnsi="Arial" w:cs="Arial"/>
          <w:sz w:val="24"/>
          <w:lang w:val="en-US"/>
        </w:rPr>
        <w:t>.</w:t>
      </w:r>
    </w:p>
    <w:p w:rsidR="00E6100A" w:rsidRDefault="00E6100A">
      <w:pPr>
        <w:spacing w:after="0" w:line="480" w:lineRule="auto"/>
        <w:rPr>
          <w:rFonts w:ascii="Arial" w:hAnsi="Arial" w:cs="Arial"/>
          <w:b/>
          <w:sz w:val="24"/>
          <w:szCs w:val="24"/>
          <w:lang w:val="en-US"/>
        </w:rPr>
      </w:pPr>
    </w:p>
    <w:p w:rsidR="00E6100A" w:rsidRDefault="0007747F">
      <w:pPr>
        <w:spacing w:after="0" w:line="480" w:lineRule="auto"/>
        <w:rPr>
          <w:rFonts w:ascii="Arial" w:hAnsi="Arial"/>
          <w:sz w:val="24"/>
          <w:lang w:val="en-US"/>
        </w:rPr>
      </w:pPr>
      <w:r>
        <w:rPr>
          <w:rFonts w:ascii="Arial" w:hAnsi="Arial"/>
          <w:sz w:val="24"/>
          <w:lang w:val="en-US"/>
        </w:rPr>
        <w:t>Correlations of KLKs with each other</w:t>
      </w:r>
    </w:p>
    <w:p w:rsidR="00E6100A" w:rsidRDefault="00E6100A">
      <w:pPr>
        <w:spacing w:after="0" w:line="480" w:lineRule="auto"/>
        <w:rPr>
          <w:rFonts w:ascii="Arial" w:hAnsi="Arial"/>
          <w:sz w:val="24"/>
          <w:lang w:val="en-US"/>
        </w:rPr>
      </w:pPr>
    </w:p>
    <w:p w:rsidR="00E6100A" w:rsidRDefault="0007747F">
      <w:pPr>
        <w:tabs>
          <w:tab w:val="left" w:pos="142"/>
        </w:tabs>
        <w:spacing w:line="480" w:lineRule="auto"/>
        <w:rPr>
          <w:rFonts w:ascii="Arial" w:hAnsi="Arial"/>
          <w:sz w:val="24"/>
          <w:lang w:val="en-US"/>
        </w:rPr>
      </w:pPr>
      <w:r>
        <w:rPr>
          <w:rFonts w:ascii="Arial" w:hAnsi="Arial"/>
          <w:sz w:val="24"/>
          <w:lang w:val="en-US"/>
        </w:rPr>
        <w:lastRenderedPageBreak/>
        <w:t>In AD, KLK6 and KLK8 (β= 0.218; p= 0.232), KLK6 and KLK10 (β= -0.042; p= 0.819) and KLK8 and KLK10 (β= 0.215; p= 0.238) levels were not significantly associated with each other. In NC, KLK6 and KLK10 (β= 0.436; p= 0.038) as well as KLK8 and KLK10 (β= 0.471; p= 0.023) were significantly and positively associated, but not KLK6 and KLK8 (β= 0.073; p= 0.741). None of the significant associations survived correction for multiple comparisons.</w:t>
      </w:r>
    </w:p>
    <w:p w:rsidR="00E6100A" w:rsidRDefault="00E6100A">
      <w:pPr>
        <w:spacing w:after="0" w:line="480" w:lineRule="auto"/>
        <w:rPr>
          <w:rFonts w:ascii="Arial" w:hAnsi="Arial" w:cs="Arial"/>
          <w:b/>
          <w:sz w:val="24"/>
          <w:szCs w:val="24"/>
          <w:lang w:val="en-US"/>
        </w:rPr>
      </w:pPr>
    </w:p>
    <w:p w:rsidR="00E6100A" w:rsidRDefault="00E6100A">
      <w:pPr>
        <w:rPr>
          <w:rFonts w:ascii="Arial" w:hAnsi="Arial" w:cs="Arial"/>
          <w:sz w:val="24"/>
          <w:szCs w:val="24"/>
          <w:lang w:val="en-US"/>
        </w:rPr>
      </w:pPr>
    </w:p>
    <w:p w:rsidR="00E6100A" w:rsidRDefault="0007747F">
      <w:pPr>
        <w:rPr>
          <w:rFonts w:ascii="Arial" w:hAnsi="Arial" w:cs="Arial"/>
          <w:color w:val="000000"/>
          <w:sz w:val="24"/>
          <w:lang w:val="en-US"/>
        </w:rPr>
      </w:pPr>
      <w:r>
        <w:rPr>
          <w:rFonts w:ascii="Arial" w:hAnsi="Arial"/>
          <w:sz w:val="24"/>
          <w:lang w:val="en-US"/>
        </w:rPr>
        <w:t>Associations of KLKs with BBB integrity (</w:t>
      </w:r>
      <w:r>
        <w:rPr>
          <w:rFonts w:ascii="Arial" w:hAnsi="Arial" w:cs="Arial"/>
          <w:color w:val="000000"/>
          <w:sz w:val="24"/>
          <w:lang w:val="en-US"/>
        </w:rPr>
        <w:t>Exploratory results in original article)</w:t>
      </w:r>
    </w:p>
    <w:p w:rsidR="00E6100A" w:rsidRDefault="00E6100A">
      <w:pPr>
        <w:rPr>
          <w:rFonts w:ascii="Arial" w:hAnsi="Arial" w:cs="Arial"/>
          <w:sz w:val="24"/>
          <w:szCs w:val="24"/>
          <w:lang w:val="en-US"/>
        </w:rPr>
      </w:pPr>
    </w:p>
    <w:p w:rsidR="00E6100A" w:rsidRDefault="0007747F">
      <w:pPr>
        <w:pStyle w:val="ListParagraph"/>
        <w:tabs>
          <w:tab w:val="left" w:pos="142"/>
          <w:tab w:val="left" w:pos="6379"/>
        </w:tabs>
        <w:spacing w:line="480" w:lineRule="auto"/>
        <w:ind w:left="0"/>
        <w:rPr>
          <w:lang w:val="en-US"/>
        </w:rPr>
      </w:pPr>
      <w:r>
        <w:rPr>
          <w:lang w:val="en-US"/>
        </w:rPr>
        <w:t xml:space="preserve">In AD, KLK8 (p= 0.007, β= 0.470) and KLK10 (p= 0.019, β= 0.413) were significantly associated with </w:t>
      </w:r>
      <w:proofErr w:type="spellStart"/>
      <w:r>
        <w:rPr>
          <w:lang w:val="en-US"/>
        </w:rPr>
        <w:t>R</w:t>
      </w:r>
      <w:r>
        <w:rPr>
          <w:vertAlign w:val="subscript"/>
          <w:lang w:val="en-US"/>
        </w:rPr>
        <w:t>alb</w:t>
      </w:r>
      <w:proofErr w:type="spellEnd"/>
      <w:r>
        <w:rPr>
          <w:lang w:val="en-US"/>
        </w:rPr>
        <w:t xml:space="preserve">, but not KLK6 (p= 0.917, β= 0.019). The same pattern was observed in NC: KLK6 (p= 0.904, β= 0.037), KLK8 (p= 0.020, β= 0.636) and KLK10 p= 0.029, β= 0.604). The </w:t>
      </w:r>
      <w:proofErr w:type="spellStart"/>
      <w:r>
        <w:rPr>
          <w:lang w:val="en-US"/>
        </w:rPr>
        <w:t>R</w:t>
      </w:r>
      <w:r>
        <w:rPr>
          <w:vertAlign w:val="subscript"/>
          <w:lang w:val="en-US"/>
        </w:rPr>
        <w:t>alb</w:t>
      </w:r>
      <w:proofErr w:type="spellEnd"/>
      <w:r>
        <w:rPr>
          <w:lang w:val="en-US"/>
        </w:rPr>
        <w:t xml:space="preserve"> were numerically slightly higher in NC (n= 13, mean= 8.92 x 10</w:t>
      </w:r>
      <w:r>
        <w:rPr>
          <w:vertAlign w:val="superscript"/>
          <w:lang w:val="en-US"/>
        </w:rPr>
        <w:t>-3</w:t>
      </w:r>
      <w:r>
        <w:rPr>
          <w:lang w:val="en-US"/>
        </w:rPr>
        <w:t>) than in AD (n= 32, mean 6.36 x 10</w:t>
      </w:r>
      <w:r>
        <w:rPr>
          <w:vertAlign w:val="superscript"/>
          <w:lang w:val="en-US"/>
        </w:rPr>
        <w:t>-3</w:t>
      </w:r>
      <w:r>
        <w:rPr>
          <w:lang w:val="en-US"/>
        </w:rPr>
        <w:t>) but not significantly different (Mann-Whitney-U test: p= 0.139). Four AD patients and zero NC showed values over the upper reference limit of &gt; 11 x 10</w:t>
      </w:r>
      <w:r>
        <w:rPr>
          <w:vertAlign w:val="superscript"/>
          <w:lang w:val="en-US"/>
        </w:rPr>
        <w:t>-3</w:t>
      </w:r>
      <w:r>
        <w:rPr>
          <w:lang w:val="en-US"/>
        </w:rPr>
        <w:t xml:space="preserve"> </w:t>
      </w:r>
      <w:r>
        <w:rPr>
          <w:lang w:val="en-US"/>
        </w:rPr>
        <w:fldChar w:fldCharType="begin"/>
      </w:r>
      <w:r>
        <w:rPr>
          <w:lang w:val="en-US"/>
        </w:rPr>
        <w:instrText xml:space="preserve"> ADDIN ZOTERO_ITEM CSL_CITATION {"citationID":"1rdn5j0f01","properties":{"formattedCitation":"(11)","plainCitation":"(11)"},"citationItems":[{"id":194,"uris":["http://zotero.org/users/3653309/items/PA37MS8M"],"uri":["http://zotero.org/users/3653309/items/PA37MS8M"],"itemData":{"id":194,"type":"article-journal","title":"Upper reference limits for cerebrospinal fluid total protein and albumin quotient based on a large cohort of control patients: implications for increased clinical specificity","container-title":"Clinical Chemistry and Laboratory Medicine","page":"285-292","volume":"54","issue":"2","source":"PubMed","abstract":"BACKGROUND: Determination of cerebrospinal fluid (CSF) total protein (TP) as well as of CSF/serum albumin quotient (Qalb) is part of the routine CSF work-up. However, currently used upper reference limits (URL) are not well validated leading to over-reporting of blood-CSF barrier dysfunction in approximately 15% of patients without neurological disease. The objective of this study was to determine age-related URL for CSF TP and Qalb in a cohort of control patients.\nMETHODS: A total of 332 paired CSF and serum samples of patients without objective clinical and paraclinical findings of a neurological disease were analyzed for CSF TP and Qalb. CSF TP was measured by spectrophotometry and albumin in CSF and serum by nephelometry.\nRESULTS: CSF TP concentration and Qalb significantly correlated with age. In subjects at the age of 18-70 years, median CSF TP ranged from 320 to 460 mg/L and URL defined as the 95th percentile were 530-690 mg/L. Median Qalb ranged from 4.1 to 6.1 and URL from 8.7 up to 11.0. For URL of Qalb we calculated the following formula: age/25+8.\nCONCLUSIONS: Age-dependent URL for CSF TP and Qalb are presented here in a large cohort of control patients. They are higher than those currently recommended and this probably explains why isolated blood-CSF barrier dysfunction has been apparently over-reported. These new URL might be considered in a future revision of CSF guidelines.","DOI":"10.1515/cclm-2015-0253","ISSN":"1437-4331","note":"PMID: 26079822","shortTitle":"Upper reference limits for cerebrospinal fluid total protein and albumin quotient based on a large cohort of control patients","journalAbbreviation":"Clin. Chem. Lab. Med.","language":"eng","author":[{"family":"Hegen","given":"Harald"},{"family":"Auer","given":"Michael"},{"family":"Zeileis","given":"Achim"},{"family":"Deisenhammer","given":"Florian"}],"issued":{"date-parts":[["2016",2]]},"PMID":"26079822"}}],"schema":"https://github.com/citation-style-language/schema/raw/master/csl-citation.json"} </w:instrText>
      </w:r>
      <w:r>
        <w:rPr>
          <w:lang w:val="en-US"/>
        </w:rPr>
        <w:fldChar w:fldCharType="separate"/>
      </w:r>
      <w:r>
        <w:rPr>
          <w:rFonts w:cs="Arial"/>
          <w:lang w:val="en-US"/>
        </w:rPr>
        <w:t>(11)</w:t>
      </w:r>
      <w:r>
        <w:rPr>
          <w:lang w:val="en-US"/>
        </w:rPr>
        <w:fldChar w:fldCharType="end"/>
      </w:r>
      <w:r>
        <w:rPr>
          <w:lang w:val="en-US"/>
        </w:rPr>
        <w:t>, the highest with 16.3 x 10</w:t>
      </w:r>
      <w:r>
        <w:rPr>
          <w:vertAlign w:val="superscript"/>
          <w:lang w:val="en-US"/>
        </w:rPr>
        <w:t>-3</w:t>
      </w:r>
      <w:r>
        <w:rPr>
          <w:lang w:val="en-US"/>
        </w:rPr>
        <w:t xml:space="preserve">. No KLK was significantly associated with glucose or lactate in AD or NC after correction for multiple comparisons, but KLK10 was significantly associated with CSF lactate in AD (adjust. R²= 0.319, p&lt; 0.001, </w:t>
      </w:r>
      <w:r>
        <w:rPr>
          <w:rFonts w:cs="Arial"/>
          <w:lang w:val="en-US"/>
        </w:rPr>
        <w:t>β</w:t>
      </w:r>
      <w:r>
        <w:rPr>
          <w:rFonts w:cs="Arial"/>
          <w:vertAlign w:val="subscript"/>
          <w:lang w:val="en-US"/>
        </w:rPr>
        <w:t>KLK</w:t>
      </w:r>
      <w:r>
        <w:rPr>
          <w:rFonts w:cs="Arial"/>
          <w:lang w:val="en-US"/>
        </w:rPr>
        <w:t>10= 0.584</w:t>
      </w:r>
      <w:r>
        <w:rPr>
          <w:lang w:val="en-US"/>
        </w:rPr>
        <w:t>).</w:t>
      </w:r>
    </w:p>
    <w:p w:rsidR="00E6100A" w:rsidRDefault="0007747F">
      <w:pPr>
        <w:pStyle w:val="ListParagraph"/>
        <w:tabs>
          <w:tab w:val="left" w:pos="142"/>
        </w:tabs>
        <w:spacing w:line="480" w:lineRule="auto"/>
        <w:ind w:left="0"/>
        <w:rPr>
          <w:lang w:val="en-US"/>
        </w:rPr>
      </w:pPr>
      <w:r>
        <w:rPr>
          <w:lang w:val="en-US"/>
        </w:rPr>
        <w:t>In AD, KLK8 (p=0.013, β= 0.435) and KLK10 (p= 0.036, β= 0.372) were significantly associated with immunoglobulin G (IgG) CSF to serum ratio (</w:t>
      </w:r>
      <w:proofErr w:type="spellStart"/>
      <w:r>
        <w:rPr>
          <w:lang w:val="en-US"/>
        </w:rPr>
        <w:t>R</w:t>
      </w:r>
      <w:r>
        <w:rPr>
          <w:vertAlign w:val="subscript"/>
          <w:lang w:val="en-US"/>
        </w:rPr>
        <w:t>IgG</w:t>
      </w:r>
      <w:proofErr w:type="spellEnd"/>
      <w:r>
        <w:rPr>
          <w:lang w:val="en-US"/>
        </w:rPr>
        <w:t xml:space="preserve">), but not KLK6 (p=0.942, β= 0.031). The same pattern was observed in NC: KLK6 (p= 0.755, β= 0.092), KLK8 (p= 0.033, β= 0.572) and KLK10 (p= 0.029, β= 0.582), respectively. No participant showed an autochthone intracranial IgG synthesis or </w:t>
      </w:r>
      <w:proofErr w:type="spellStart"/>
      <w:r>
        <w:rPr>
          <w:lang w:val="en-US"/>
        </w:rPr>
        <w:t>oligoclonal</w:t>
      </w:r>
      <w:proofErr w:type="spellEnd"/>
      <w:r>
        <w:rPr>
          <w:lang w:val="en-US"/>
        </w:rPr>
        <w:t xml:space="preserve"> bands. </w:t>
      </w:r>
      <w:proofErr w:type="spellStart"/>
      <w:r>
        <w:rPr>
          <w:lang w:val="en-US"/>
        </w:rPr>
        <w:lastRenderedPageBreak/>
        <w:t>R</w:t>
      </w:r>
      <w:r>
        <w:rPr>
          <w:vertAlign w:val="subscript"/>
          <w:lang w:val="en-US"/>
        </w:rPr>
        <w:t>albs</w:t>
      </w:r>
      <w:proofErr w:type="spellEnd"/>
      <w:r>
        <w:rPr>
          <w:vertAlign w:val="subscript"/>
          <w:lang w:val="en-US"/>
        </w:rPr>
        <w:t xml:space="preserve"> </w:t>
      </w:r>
      <w:r>
        <w:rPr>
          <w:lang w:val="en-US"/>
        </w:rPr>
        <w:t xml:space="preserve">and </w:t>
      </w:r>
      <w:proofErr w:type="spellStart"/>
      <w:r>
        <w:rPr>
          <w:lang w:val="en-US"/>
        </w:rPr>
        <w:t>R</w:t>
      </w:r>
      <w:r>
        <w:rPr>
          <w:vertAlign w:val="subscript"/>
          <w:lang w:val="en-US"/>
        </w:rPr>
        <w:t>IgG</w:t>
      </w:r>
      <w:proofErr w:type="spellEnd"/>
      <w:r>
        <w:rPr>
          <w:lang w:val="en-US"/>
        </w:rPr>
        <w:t xml:space="preserve"> were highly correlated with each other: in NC, a Spearman correlation coefficient of 0.997 (p=&lt; 0.001), and in AD, a correlation coefficient of 0.923 (p&lt; 0.001) were observed.</w:t>
      </w:r>
    </w:p>
    <w:p w:rsidR="00E6100A" w:rsidRDefault="0007747F">
      <w:pPr>
        <w:spacing w:line="480" w:lineRule="auto"/>
        <w:rPr>
          <w:rFonts w:ascii="Arial" w:hAnsi="Arial" w:cs="Arial"/>
          <w:sz w:val="24"/>
          <w:szCs w:val="24"/>
          <w:lang w:val="en-US"/>
        </w:rPr>
      </w:pPr>
      <w:r>
        <w:rPr>
          <w:rFonts w:ascii="Arial" w:hAnsi="Arial" w:cs="Arial"/>
          <w:sz w:val="24"/>
          <w:szCs w:val="24"/>
          <w:lang w:val="en-US"/>
        </w:rPr>
        <w:t xml:space="preserve">In NC, when adding the covariates </w:t>
      </w:r>
      <w:proofErr w:type="spellStart"/>
      <w:r>
        <w:rPr>
          <w:rFonts w:ascii="Arial" w:hAnsi="Arial" w:cs="Arial"/>
          <w:sz w:val="24"/>
          <w:szCs w:val="24"/>
          <w:lang w:val="en-US"/>
        </w:rPr>
        <w:t>R</w:t>
      </w:r>
      <w:r>
        <w:rPr>
          <w:rFonts w:ascii="Arial" w:hAnsi="Arial" w:cs="Arial"/>
          <w:sz w:val="24"/>
          <w:szCs w:val="24"/>
          <w:vertAlign w:val="subscript"/>
          <w:lang w:val="en-US"/>
        </w:rPr>
        <w:t>alb</w:t>
      </w:r>
      <w:proofErr w:type="spellEnd"/>
      <w:r>
        <w:rPr>
          <w:rFonts w:ascii="Arial" w:hAnsi="Arial" w:cs="Arial"/>
          <w:sz w:val="24"/>
          <w:szCs w:val="24"/>
          <w:lang w:val="en-US"/>
        </w:rPr>
        <w:t xml:space="preserve"> and the interaction variable </w:t>
      </w:r>
      <w:proofErr w:type="spellStart"/>
      <w:r>
        <w:rPr>
          <w:rFonts w:ascii="Arial" w:hAnsi="Arial" w:cs="Arial"/>
          <w:sz w:val="24"/>
          <w:szCs w:val="24"/>
          <w:lang w:val="en-US"/>
        </w:rPr>
        <w:t>R</w:t>
      </w:r>
      <w:r>
        <w:rPr>
          <w:rFonts w:ascii="Arial" w:hAnsi="Arial" w:cs="Arial"/>
          <w:sz w:val="24"/>
          <w:szCs w:val="24"/>
          <w:vertAlign w:val="subscript"/>
          <w:lang w:val="en-US"/>
        </w:rPr>
        <w:t>alb</w:t>
      </w:r>
      <w:proofErr w:type="spellEnd"/>
      <w:r>
        <w:rPr>
          <w:rFonts w:ascii="Arial" w:hAnsi="Arial" w:cs="Arial"/>
          <w:sz w:val="24"/>
          <w:szCs w:val="24"/>
          <w:lang w:val="en-US"/>
        </w:rPr>
        <w:t xml:space="preserve"> X KLK8 to the multivariate regression model with CSF Aβ</w:t>
      </w:r>
      <w:r>
        <w:rPr>
          <w:rFonts w:ascii="Arial" w:hAnsi="Arial" w:cs="Arial"/>
          <w:sz w:val="24"/>
          <w:szCs w:val="24"/>
          <w:vertAlign w:val="subscript"/>
          <w:lang w:val="en-US"/>
        </w:rPr>
        <w:t>42</w:t>
      </w:r>
      <w:r>
        <w:rPr>
          <w:rFonts w:ascii="Arial" w:hAnsi="Arial" w:cs="Arial"/>
          <w:sz w:val="24"/>
          <w:szCs w:val="24"/>
          <w:lang w:val="en-US"/>
        </w:rPr>
        <w:t xml:space="preserve"> as dependent variable and KLK8 as independent variable, with the covariates sex, age and the </w:t>
      </w:r>
      <w:proofErr w:type="spellStart"/>
      <w:r>
        <w:rPr>
          <w:rFonts w:ascii="Arial" w:hAnsi="Arial" w:cs="Arial"/>
          <w:sz w:val="24"/>
          <w:szCs w:val="24"/>
          <w:lang w:val="en-US"/>
        </w:rPr>
        <w:t>ApoE</w:t>
      </w:r>
      <w:proofErr w:type="spellEnd"/>
      <w:r>
        <w:rPr>
          <w:rFonts w:ascii="Arial" w:hAnsi="Arial" w:cs="Arial"/>
          <w:sz w:val="24"/>
          <w:szCs w:val="24"/>
          <w:lang w:val="en-US"/>
        </w:rPr>
        <w:t xml:space="preserve"> ε 4 allele frequency, the model resulted in an increased adjusted R² of 0.758 (p= 0.015) with β</w:t>
      </w:r>
      <w:r>
        <w:rPr>
          <w:rFonts w:ascii="Arial" w:hAnsi="Arial" w:cs="Arial"/>
          <w:sz w:val="24"/>
          <w:szCs w:val="24"/>
          <w:vertAlign w:val="subscript"/>
          <w:lang w:val="en-US"/>
        </w:rPr>
        <w:t>KLK8</w:t>
      </w:r>
      <w:r>
        <w:rPr>
          <w:rFonts w:ascii="Arial" w:hAnsi="Arial" w:cs="Arial"/>
          <w:sz w:val="24"/>
          <w:szCs w:val="24"/>
          <w:lang w:val="en-US"/>
        </w:rPr>
        <w:t>= -2.910 (p= 0.015), β</w:t>
      </w:r>
      <w:proofErr w:type="spellStart"/>
      <w:r>
        <w:rPr>
          <w:rFonts w:ascii="Arial" w:hAnsi="Arial" w:cs="Arial"/>
          <w:sz w:val="24"/>
          <w:szCs w:val="24"/>
          <w:vertAlign w:val="subscript"/>
          <w:lang w:val="en-US"/>
        </w:rPr>
        <w:t>Ralb</w:t>
      </w:r>
      <w:proofErr w:type="spellEnd"/>
      <w:r>
        <w:rPr>
          <w:rFonts w:ascii="Arial" w:hAnsi="Arial" w:cs="Arial"/>
          <w:sz w:val="24"/>
          <w:szCs w:val="24"/>
          <w:lang w:val="en-US"/>
        </w:rPr>
        <w:t>= -1,040 (p= 0.116), β</w:t>
      </w:r>
      <w:r>
        <w:rPr>
          <w:rFonts w:ascii="Arial" w:hAnsi="Arial" w:cs="Arial"/>
          <w:sz w:val="24"/>
          <w:szCs w:val="24"/>
          <w:vertAlign w:val="subscript"/>
          <w:lang w:val="en-US"/>
        </w:rPr>
        <w:t>IntKLK8xRalb</w:t>
      </w:r>
      <w:r>
        <w:rPr>
          <w:rFonts w:ascii="Arial" w:hAnsi="Arial" w:cs="Arial"/>
          <w:sz w:val="24"/>
          <w:szCs w:val="24"/>
          <w:lang w:val="en-US"/>
        </w:rPr>
        <w:t>= 2,933 (p= 0.058), β</w:t>
      </w:r>
      <w:proofErr w:type="spellStart"/>
      <w:r>
        <w:rPr>
          <w:rFonts w:ascii="Arial" w:hAnsi="Arial" w:cs="Arial"/>
          <w:sz w:val="24"/>
          <w:szCs w:val="24"/>
          <w:vertAlign w:val="subscript"/>
          <w:lang w:val="en-US"/>
        </w:rPr>
        <w:t>ApoE</w:t>
      </w:r>
      <w:proofErr w:type="spellEnd"/>
      <w:r>
        <w:rPr>
          <w:rFonts w:ascii="Arial" w:hAnsi="Arial" w:cs="Arial"/>
          <w:sz w:val="24"/>
          <w:szCs w:val="24"/>
          <w:lang w:val="en-US"/>
        </w:rPr>
        <w:t xml:space="preserve">= -0.520 (p= 0.015). In AD patients, the same regression model was not significant (adjust. R²= -0.197, p= 0.949). Including </w:t>
      </w:r>
      <w:proofErr w:type="spellStart"/>
      <w:r>
        <w:rPr>
          <w:rFonts w:ascii="Arial" w:hAnsi="Arial" w:cs="Arial"/>
          <w:sz w:val="24"/>
          <w:szCs w:val="24"/>
          <w:lang w:val="en-US"/>
        </w:rPr>
        <w:t>R</w:t>
      </w:r>
      <w:r>
        <w:rPr>
          <w:rFonts w:ascii="Arial" w:hAnsi="Arial" w:cs="Arial"/>
          <w:sz w:val="24"/>
          <w:szCs w:val="24"/>
          <w:vertAlign w:val="subscript"/>
          <w:lang w:val="en-US"/>
        </w:rPr>
        <w:t>alb</w:t>
      </w:r>
      <w:proofErr w:type="spellEnd"/>
      <w:r>
        <w:rPr>
          <w:rFonts w:ascii="Arial" w:hAnsi="Arial" w:cs="Arial"/>
          <w:sz w:val="24"/>
          <w:szCs w:val="24"/>
          <w:lang w:val="en-US"/>
        </w:rPr>
        <w:t xml:space="preserve"> X KLK10 instead of </w:t>
      </w:r>
      <w:proofErr w:type="spellStart"/>
      <w:r>
        <w:rPr>
          <w:rFonts w:ascii="Arial" w:hAnsi="Arial" w:cs="Arial"/>
          <w:sz w:val="24"/>
          <w:szCs w:val="24"/>
          <w:lang w:val="en-US"/>
        </w:rPr>
        <w:t>R</w:t>
      </w:r>
      <w:r>
        <w:rPr>
          <w:rFonts w:ascii="Arial" w:hAnsi="Arial" w:cs="Arial"/>
          <w:sz w:val="24"/>
          <w:szCs w:val="24"/>
          <w:vertAlign w:val="subscript"/>
          <w:lang w:val="en-US"/>
        </w:rPr>
        <w:t>alb</w:t>
      </w:r>
      <w:proofErr w:type="spellEnd"/>
      <w:r>
        <w:rPr>
          <w:rFonts w:ascii="Arial" w:hAnsi="Arial" w:cs="Arial"/>
          <w:sz w:val="24"/>
          <w:szCs w:val="24"/>
          <w:lang w:val="en-US"/>
        </w:rPr>
        <w:t xml:space="preserve"> X KLK8 did not result in a significant model neither in NC (p= 0.774) nor in AD (p= 0.686).</w:t>
      </w:r>
    </w:p>
    <w:p w:rsidR="00E6100A" w:rsidRDefault="00E6100A">
      <w:pPr>
        <w:rPr>
          <w:rFonts w:ascii="Arial" w:hAnsi="Arial" w:cs="Arial"/>
          <w:b/>
          <w:sz w:val="24"/>
          <w:szCs w:val="24"/>
          <w:lang w:val="en-US"/>
        </w:rPr>
      </w:pPr>
    </w:p>
    <w:p w:rsidR="00E6100A" w:rsidRDefault="0007747F">
      <w:pPr>
        <w:spacing w:line="480" w:lineRule="auto"/>
        <w:rPr>
          <w:rFonts w:ascii="Arial" w:hAnsi="Arial" w:cs="Arial"/>
          <w:b/>
          <w:sz w:val="24"/>
          <w:szCs w:val="24"/>
          <w:lang w:val="en-US"/>
        </w:rPr>
      </w:pPr>
      <w:r>
        <w:rPr>
          <w:rFonts w:ascii="Arial" w:hAnsi="Arial" w:cs="Arial"/>
          <w:b/>
          <w:sz w:val="24"/>
          <w:szCs w:val="24"/>
          <w:lang w:val="en-US"/>
        </w:rPr>
        <w:t>4. Supplementary tables</w:t>
      </w:r>
    </w:p>
    <w:p w:rsidR="00E6100A" w:rsidRPr="0000061E" w:rsidRDefault="00DB0ED8">
      <w:pPr>
        <w:spacing w:after="0" w:line="480" w:lineRule="auto"/>
        <w:rPr>
          <w:rFonts w:ascii="Arial" w:hAnsi="Arial" w:cs="Arial"/>
          <w:color w:val="000000" w:themeColor="text1"/>
          <w:sz w:val="24"/>
          <w:szCs w:val="24"/>
          <w:lang w:val="en-US"/>
        </w:rPr>
      </w:pPr>
      <w:bookmarkStart w:id="0" w:name="_Hlk4076136"/>
      <w:r w:rsidRPr="0000061E">
        <w:rPr>
          <w:rFonts w:ascii="Arial" w:hAnsi="Arial" w:cs="Arial"/>
          <w:color w:val="000000" w:themeColor="text1"/>
          <w:sz w:val="24"/>
          <w:szCs w:val="24"/>
          <w:lang w:val="en-US"/>
        </w:rPr>
        <w:t>T</w:t>
      </w:r>
      <w:r w:rsidR="0007747F" w:rsidRPr="0000061E">
        <w:rPr>
          <w:rFonts w:ascii="Arial" w:hAnsi="Arial" w:cs="Arial"/>
          <w:color w:val="000000" w:themeColor="text1"/>
          <w:sz w:val="24"/>
          <w:szCs w:val="24"/>
          <w:lang w:val="en-US"/>
        </w:rPr>
        <w:t xml:space="preserve">able </w:t>
      </w:r>
      <w:r>
        <w:rPr>
          <w:rFonts w:ascii="Arial" w:hAnsi="Arial" w:cs="Arial"/>
          <w:color w:val="000000" w:themeColor="text1"/>
          <w:sz w:val="24"/>
          <w:szCs w:val="24"/>
          <w:lang w:val="en-US"/>
        </w:rPr>
        <w:t>S</w:t>
      </w:r>
      <w:r w:rsidR="0007747F" w:rsidRPr="0000061E">
        <w:rPr>
          <w:rFonts w:ascii="Arial" w:hAnsi="Arial" w:cs="Arial"/>
          <w:color w:val="000000" w:themeColor="text1"/>
          <w:sz w:val="24"/>
          <w:szCs w:val="24"/>
          <w:lang w:val="en-US"/>
        </w:rPr>
        <w:t>1: Correlation of KLK6, KLK8 and KLK10 with AD biomarker in CSF in AD and NC</w:t>
      </w:r>
    </w:p>
    <w:p w:rsidR="00E6100A" w:rsidRPr="0000061E" w:rsidRDefault="00E6100A">
      <w:pPr>
        <w:spacing w:after="0" w:line="480" w:lineRule="auto"/>
        <w:rPr>
          <w:rFonts w:ascii="Arial" w:hAnsi="Arial" w:cs="Arial"/>
          <w:color w:val="000000" w:themeColor="text1"/>
          <w:sz w:val="24"/>
          <w:szCs w:val="24"/>
          <w:lang w:val="en-US"/>
        </w:rPr>
      </w:pPr>
    </w:p>
    <w:tbl>
      <w:tblPr>
        <w:tblStyle w:val="TableGrid"/>
        <w:tblW w:w="9776" w:type="dxa"/>
        <w:tblLook w:val="04A0" w:firstRow="1" w:lastRow="0" w:firstColumn="1" w:lastColumn="0" w:noHBand="0" w:noVBand="1"/>
      </w:tblPr>
      <w:tblGrid>
        <w:gridCol w:w="2265"/>
        <w:gridCol w:w="2503"/>
        <w:gridCol w:w="2504"/>
        <w:gridCol w:w="2504"/>
      </w:tblGrid>
      <w:tr w:rsidR="0000061E" w:rsidRPr="0000061E">
        <w:tc>
          <w:tcPr>
            <w:tcW w:w="2265"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t>AD (n= 32)</w:t>
            </w:r>
          </w:p>
        </w:tc>
        <w:tc>
          <w:tcPr>
            <w:tcW w:w="2503"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t>CSF-</w:t>
            </w:r>
            <w:proofErr w:type="spellStart"/>
            <w:r w:rsidRPr="0000061E">
              <w:rPr>
                <w:rFonts w:ascii="Arial" w:hAnsi="Arial" w:cs="Arial"/>
                <w:b/>
                <w:color w:val="000000" w:themeColor="text1"/>
                <w:sz w:val="24"/>
                <w:szCs w:val="24"/>
                <w:lang w:val="en-US"/>
              </w:rPr>
              <w:t>tTau</w:t>
            </w:r>
            <w:proofErr w:type="spellEnd"/>
          </w:p>
        </w:tc>
        <w:tc>
          <w:tcPr>
            <w:tcW w:w="2504"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t>CSF-</w:t>
            </w:r>
            <w:proofErr w:type="spellStart"/>
            <w:r w:rsidRPr="0000061E">
              <w:rPr>
                <w:rFonts w:ascii="Arial" w:hAnsi="Arial" w:cs="Arial"/>
                <w:b/>
                <w:color w:val="000000" w:themeColor="text1"/>
                <w:sz w:val="24"/>
                <w:szCs w:val="24"/>
                <w:lang w:val="en-US"/>
              </w:rPr>
              <w:t>pTau</w:t>
            </w:r>
            <w:proofErr w:type="spellEnd"/>
          </w:p>
        </w:tc>
        <w:tc>
          <w:tcPr>
            <w:tcW w:w="2504"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t>CSF-Aβ42</w:t>
            </w:r>
          </w:p>
        </w:tc>
      </w:tr>
      <w:tr w:rsidR="0000061E" w:rsidRPr="0000061E">
        <w:tc>
          <w:tcPr>
            <w:tcW w:w="2265" w:type="dxa"/>
            <w:vAlign w:val="center"/>
          </w:tcPr>
          <w:p w:rsidR="00E6100A" w:rsidRPr="0000061E" w:rsidRDefault="0007747F">
            <w:pPr>
              <w:spacing w:line="480" w:lineRule="auto"/>
              <w:jc w:val="center"/>
              <w:rPr>
                <w:rFonts w:ascii="Arial" w:hAnsi="Arial" w:cs="Arial"/>
                <w:b/>
                <w:color w:val="000000" w:themeColor="text1"/>
                <w:sz w:val="24"/>
                <w:szCs w:val="24"/>
                <w:lang w:val="en-US"/>
              </w:rPr>
            </w:pPr>
            <w:proofErr w:type="spellStart"/>
            <w:r w:rsidRPr="0000061E">
              <w:rPr>
                <w:rFonts w:ascii="Arial" w:hAnsi="Arial" w:cs="Arial"/>
                <w:b/>
                <w:color w:val="000000" w:themeColor="text1"/>
                <w:sz w:val="24"/>
                <w:szCs w:val="24"/>
                <w:lang w:val="en-US"/>
              </w:rPr>
              <w:t>Kolmogorow-Smirnow</w:t>
            </w:r>
            <w:proofErr w:type="spellEnd"/>
            <w:r w:rsidRPr="0000061E">
              <w:rPr>
                <w:rFonts w:ascii="Arial" w:hAnsi="Arial" w:cs="Arial"/>
                <w:b/>
                <w:color w:val="000000" w:themeColor="text1"/>
                <w:sz w:val="24"/>
                <w:szCs w:val="24"/>
                <w:lang w:val="en-US"/>
              </w:rPr>
              <w:t xml:space="preserve"> test</w:t>
            </w:r>
          </w:p>
          <w:p w:rsidR="00E6100A" w:rsidRPr="0000061E" w:rsidRDefault="00E6100A">
            <w:pPr>
              <w:spacing w:line="480" w:lineRule="auto"/>
              <w:jc w:val="center"/>
              <w:rPr>
                <w:rFonts w:ascii="Arial" w:hAnsi="Arial" w:cs="Arial"/>
                <w:b/>
                <w:color w:val="000000" w:themeColor="text1"/>
                <w:sz w:val="24"/>
                <w:szCs w:val="24"/>
                <w:lang w:val="en-US"/>
              </w:rPr>
            </w:pPr>
          </w:p>
        </w:tc>
        <w:tc>
          <w:tcPr>
            <w:tcW w:w="2503"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 0.042</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 0.020</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 0.200</w:t>
            </w:r>
          </w:p>
        </w:tc>
      </w:tr>
      <w:tr w:rsidR="0000061E" w:rsidRPr="0000061E">
        <w:tc>
          <w:tcPr>
            <w:tcW w:w="2265"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t>CSF-KLK6</w:t>
            </w:r>
          </w:p>
        </w:tc>
        <w:tc>
          <w:tcPr>
            <w:tcW w:w="2503"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Spearman-Rho r= 0.600, p&lt; 0.001</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Spearman-Rho r= 0.781, p&lt; 0.001</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Pearson r= 0.212, p= 0.244</w:t>
            </w:r>
          </w:p>
        </w:tc>
      </w:tr>
      <w:tr w:rsidR="0000061E" w:rsidRPr="0000061E">
        <w:tc>
          <w:tcPr>
            <w:tcW w:w="2265"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t>CSF-KLK8</w:t>
            </w:r>
          </w:p>
        </w:tc>
        <w:tc>
          <w:tcPr>
            <w:tcW w:w="2503"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Spearman-Rho r= 0.175, p= 0.339</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Spearman-Rho r= 0.187, p= 0.305</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Pearson r= 0.072, p= 0.696</w:t>
            </w:r>
          </w:p>
        </w:tc>
      </w:tr>
      <w:tr w:rsidR="00E6100A" w:rsidRPr="0000061E">
        <w:tc>
          <w:tcPr>
            <w:tcW w:w="2265"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lastRenderedPageBreak/>
              <w:t>CSF-KLK10</w:t>
            </w:r>
          </w:p>
        </w:tc>
        <w:tc>
          <w:tcPr>
            <w:tcW w:w="2503"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Spearman-Rho r= -0.095, p= 0.604</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Spearman-Rho r= -0.045, p= 0.807</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Pearson r= 0.337, p= 0.059</w:t>
            </w:r>
          </w:p>
        </w:tc>
      </w:tr>
    </w:tbl>
    <w:p w:rsidR="00E6100A" w:rsidRPr="0000061E" w:rsidRDefault="00E6100A">
      <w:pPr>
        <w:spacing w:after="0" w:line="480" w:lineRule="auto"/>
        <w:jc w:val="center"/>
        <w:rPr>
          <w:rFonts w:ascii="Arial" w:hAnsi="Arial" w:cs="Arial"/>
          <w:color w:val="000000" w:themeColor="text1"/>
          <w:sz w:val="24"/>
          <w:szCs w:val="24"/>
          <w:lang w:val="en-US"/>
        </w:rPr>
      </w:pPr>
    </w:p>
    <w:tbl>
      <w:tblPr>
        <w:tblStyle w:val="TableGrid"/>
        <w:tblW w:w="9776" w:type="dxa"/>
        <w:tblLook w:val="04A0" w:firstRow="1" w:lastRow="0" w:firstColumn="1" w:lastColumn="0" w:noHBand="0" w:noVBand="1"/>
      </w:tblPr>
      <w:tblGrid>
        <w:gridCol w:w="2265"/>
        <w:gridCol w:w="2503"/>
        <w:gridCol w:w="2504"/>
        <w:gridCol w:w="2504"/>
      </w:tblGrid>
      <w:tr w:rsidR="0000061E" w:rsidRPr="0000061E">
        <w:tc>
          <w:tcPr>
            <w:tcW w:w="2265"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t>NC (n= 23)</w:t>
            </w:r>
          </w:p>
        </w:tc>
        <w:tc>
          <w:tcPr>
            <w:tcW w:w="2503" w:type="dxa"/>
            <w:vAlign w:val="center"/>
          </w:tcPr>
          <w:p w:rsidR="00E6100A" w:rsidRPr="0000061E" w:rsidRDefault="0007747F">
            <w:pPr>
              <w:spacing w:line="480" w:lineRule="auto"/>
              <w:jc w:val="center"/>
              <w:rPr>
                <w:rFonts w:ascii="Arial" w:hAnsi="Arial" w:cs="Arial"/>
                <w:b/>
                <w:color w:val="000000" w:themeColor="text1"/>
                <w:sz w:val="24"/>
                <w:szCs w:val="24"/>
                <w:lang w:val="en-US"/>
              </w:rPr>
            </w:pPr>
            <w:proofErr w:type="spellStart"/>
            <w:r w:rsidRPr="0000061E">
              <w:rPr>
                <w:rFonts w:ascii="Arial" w:hAnsi="Arial" w:cs="Arial"/>
                <w:b/>
                <w:color w:val="000000" w:themeColor="text1"/>
                <w:sz w:val="24"/>
                <w:szCs w:val="24"/>
                <w:lang w:val="en-US"/>
              </w:rPr>
              <w:t>tTau</w:t>
            </w:r>
            <w:proofErr w:type="spellEnd"/>
          </w:p>
        </w:tc>
        <w:tc>
          <w:tcPr>
            <w:tcW w:w="2504" w:type="dxa"/>
            <w:vAlign w:val="center"/>
          </w:tcPr>
          <w:p w:rsidR="00E6100A" w:rsidRPr="0000061E" w:rsidRDefault="0007747F">
            <w:pPr>
              <w:spacing w:line="480" w:lineRule="auto"/>
              <w:jc w:val="center"/>
              <w:rPr>
                <w:rFonts w:ascii="Arial" w:hAnsi="Arial" w:cs="Arial"/>
                <w:b/>
                <w:color w:val="000000" w:themeColor="text1"/>
                <w:sz w:val="24"/>
                <w:szCs w:val="24"/>
                <w:lang w:val="en-US"/>
              </w:rPr>
            </w:pPr>
            <w:proofErr w:type="spellStart"/>
            <w:r w:rsidRPr="0000061E">
              <w:rPr>
                <w:rFonts w:ascii="Arial" w:hAnsi="Arial" w:cs="Arial"/>
                <w:b/>
                <w:color w:val="000000" w:themeColor="text1"/>
                <w:sz w:val="24"/>
                <w:szCs w:val="24"/>
                <w:lang w:val="en-US"/>
              </w:rPr>
              <w:t>pTau</w:t>
            </w:r>
            <w:proofErr w:type="spellEnd"/>
          </w:p>
        </w:tc>
        <w:tc>
          <w:tcPr>
            <w:tcW w:w="2504"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t>Aβ42</w:t>
            </w:r>
          </w:p>
        </w:tc>
      </w:tr>
      <w:tr w:rsidR="0000061E" w:rsidRPr="0000061E">
        <w:tc>
          <w:tcPr>
            <w:tcW w:w="2265" w:type="dxa"/>
            <w:vAlign w:val="center"/>
          </w:tcPr>
          <w:p w:rsidR="00E6100A" w:rsidRPr="0000061E" w:rsidRDefault="0007747F">
            <w:pPr>
              <w:spacing w:line="480" w:lineRule="auto"/>
              <w:jc w:val="center"/>
              <w:rPr>
                <w:rFonts w:ascii="Arial" w:hAnsi="Arial" w:cs="Arial"/>
                <w:b/>
                <w:color w:val="000000" w:themeColor="text1"/>
                <w:sz w:val="24"/>
                <w:szCs w:val="24"/>
                <w:lang w:val="en-US"/>
              </w:rPr>
            </w:pPr>
            <w:proofErr w:type="spellStart"/>
            <w:r w:rsidRPr="0000061E">
              <w:rPr>
                <w:rFonts w:ascii="Arial" w:hAnsi="Arial" w:cs="Arial"/>
                <w:b/>
                <w:color w:val="000000" w:themeColor="text1"/>
                <w:sz w:val="24"/>
                <w:szCs w:val="24"/>
                <w:lang w:val="en-US"/>
              </w:rPr>
              <w:t>Kolmogorow-Smirnow</w:t>
            </w:r>
            <w:proofErr w:type="spellEnd"/>
            <w:r w:rsidRPr="0000061E">
              <w:rPr>
                <w:rFonts w:ascii="Arial" w:hAnsi="Arial" w:cs="Arial"/>
                <w:b/>
                <w:color w:val="000000" w:themeColor="text1"/>
                <w:sz w:val="24"/>
                <w:szCs w:val="24"/>
                <w:lang w:val="en-US"/>
              </w:rPr>
              <w:t xml:space="preserve"> test</w:t>
            </w:r>
          </w:p>
        </w:tc>
        <w:tc>
          <w:tcPr>
            <w:tcW w:w="2503"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 0.096</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 0.009</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 0.200</w:t>
            </w:r>
          </w:p>
        </w:tc>
      </w:tr>
      <w:tr w:rsidR="0000061E" w:rsidRPr="0000061E">
        <w:tc>
          <w:tcPr>
            <w:tcW w:w="2265"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t>CSF-KLK6</w:t>
            </w:r>
          </w:p>
        </w:tc>
        <w:tc>
          <w:tcPr>
            <w:tcW w:w="2503"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Pearson r= 0.397, p= 0.061</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Spearman-Rho r= 0.393, p= 0.064</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Pearson r= 0.119, p= 0.588</w:t>
            </w:r>
          </w:p>
        </w:tc>
      </w:tr>
      <w:tr w:rsidR="0000061E" w:rsidRPr="0000061E">
        <w:tc>
          <w:tcPr>
            <w:tcW w:w="2265"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t>CSF-KLK8</w:t>
            </w:r>
          </w:p>
        </w:tc>
        <w:tc>
          <w:tcPr>
            <w:tcW w:w="2503"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Pearson r= 0.202, p= 0.355</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Spearman-Rho r&lt; 0.001, p= 0.998</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Pearson r= -0.478, p= 0.021</w:t>
            </w:r>
          </w:p>
        </w:tc>
      </w:tr>
      <w:tr w:rsidR="00E6100A" w:rsidRPr="0000061E">
        <w:tc>
          <w:tcPr>
            <w:tcW w:w="2265" w:type="dxa"/>
            <w:vAlign w:val="center"/>
          </w:tcPr>
          <w:p w:rsidR="00E6100A" w:rsidRPr="0000061E" w:rsidRDefault="0007747F">
            <w:pPr>
              <w:spacing w:line="480" w:lineRule="auto"/>
              <w:jc w:val="center"/>
              <w:rPr>
                <w:rFonts w:ascii="Arial" w:hAnsi="Arial" w:cs="Arial"/>
                <w:b/>
                <w:color w:val="000000" w:themeColor="text1"/>
                <w:sz w:val="24"/>
                <w:szCs w:val="24"/>
                <w:lang w:val="en-US"/>
              </w:rPr>
            </w:pPr>
            <w:r w:rsidRPr="0000061E">
              <w:rPr>
                <w:rFonts w:ascii="Arial" w:hAnsi="Arial" w:cs="Arial"/>
                <w:b/>
                <w:color w:val="000000" w:themeColor="text1"/>
                <w:sz w:val="24"/>
                <w:szCs w:val="24"/>
                <w:lang w:val="en-US"/>
              </w:rPr>
              <w:t>CSF-KLK10</w:t>
            </w:r>
          </w:p>
        </w:tc>
        <w:tc>
          <w:tcPr>
            <w:tcW w:w="2503"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Pearson r= -0.080, p= 0.715</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Spearman-Rho r= 0.229, p= 0.294</w:t>
            </w:r>
          </w:p>
        </w:tc>
        <w:tc>
          <w:tcPr>
            <w:tcW w:w="2504" w:type="dxa"/>
            <w:vAlign w:val="center"/>
          </w:tcPr>
          <w:p w:rsidR="00E6100A" w:rsidRPr="0000061E" w:rsidRDefault="0007747F">
            <w:pPr>
              <w:spacing w:line="480" w:lineRule="auto"/>
              <w:jc w:val="center"/>
              <w:rPr>
                <w:rFonts w:ascii="Arial" w:hAnsi="Arial" w:cs="Arial"/>
                <w:color w:val="000000" w:themeColor="text1"/>
                <w:sz w:val="24"/>
                <w:szCs w:val="24"/>
                <w:lang w:val="en-US"/>
              </w:rPr>
            </w:pPr>
            <w:r w:rsidRPr="0000061E">
              <w:rPr>
                <w:rFonts w:ascii="Arial" w:hAnsi="Arial" w:cs="Arial"/>
                <w:color w:val="000000" w:themeColor="text1"/>
                <w:sz w:val="24"/>
                <w:szCs w:val="24"/>
                <w:lang w:val="en-US"/>
              </w:rPr>
              <w:t>Pearson r= -0.062, p= 0.779</w:t>
            </w:r>
          </w:p>
        </w:tc>
      </w:tr>
    </w:tbl>
    <w:p w:rsidR="00E6100A" w:rsidRPr="0000061E" w:rsidRDefault="00E6100A">
      <w:pPr>
        <w:spacing w:after="0" w:line="480" w:lineRule="auto"/>
        <w:rPr>
          <w:rFonts w:ascii="Arial" w:hAnsi="Arial" w:cs="Arial"/>
          <w:b/>
          <w:color w:val="000000" w:themeColor="text1"/>
          <w:sz w:val="24"/>
          <w:szCs w:val="24"/>
          <w:lang w:val="en-US"/>
        </w:rPr>
      </w:pPr>
    </w:p>
    <w:p w:rsidR="00E6100A" w:rsidRPr="0000061E" w:rsidRDefault="00E6100A">
      <w:pPr>
        <w:spacing w:after="0" w:line="480" w:lineRule="auto"/>
        <w:rPr>
          <w:rFonts w:ascii="Arial" w:hAnsi="Arial" w:cs="Arial"/>
          <w:color w:val="000000" w:themeColor="text1"/>
          <w:sz w:val="24"/>
          <w:szCs w:val="24"/>
          <w:lang w:val="en-US"/>
        </w:rPr>
      </w:pPr>
    </w:p>
    <w:p w:rsidR="00E6100A" w:rsidRPr="0000061E" w:rsidRDefault="0007747F">
      <w:pPr>
        <w:spacing w:after="0" w:line="480" w:lineRule="auto"/>
        <w:rPr>
          <w:rFonts w:ascii="Arial" w:hAnsi="Arial" w:cs="Arial"/>
          <w:color w:val="000000" w:themeColor="text1"/>
          <w:sz w:val="24"/>
          <w:szCs w:val="24"/>
          <w:lang w:val="en-US"/>
        </w:rPr>
      </w:pPr>
      <w:r w:rsidRPr="0000061E">
        <w:rPr>
          <w:rFonts w:ascii="Arial" w:hAnsi="Arial" w:cs="Arial"/>
          <w:color w:val="000000" w:themeColor="text1"/>
          <w:sz w:val="24"/>
          <w:szCs w:val="24"/>
          <w:lang w:val="en-US"/>
        </w:rPr>
        <w:t xml:space="preserve">Legend to </w:t>
      </w:r>
      <w:r w:rsidR="00DB0ED8" w:rsidRPr="0000061E">
        <w:rPr>
          <w:rFonts w:ascii="Arial" w:hAnsi="Arial" w:cs="Arial"/>
          <w:color w:val="000000" w:themeColor="text1"/>
          <w:sz w:val="24"/>
          <w:szCs w:val="24"/>
          <w:lang w:val="en-US"/>
        </w:rPr>
        <w:t>T</w:t>
      </w:r>
      <w:r w:rsidRPr="0000061E">
        <w:rPr>
          <w:rFonts w:ascii="Arial" w:hAnsi="Arial" w:cs="Arial"/>
          <w:color w:val="000000" w:themeColor="text1"/>
          <w:sz w:val="24"/>
          <w:szCs w:val="24"/>
          <w:lang w:val="en-US"/>
        </w:rPr>
        <w:t xml:space="preserve">able </w:t>
      </w:r>
      <w:r w:rsidR="00DB0ED8">
        <w:rPr>
          <w:rFonts w:ascii="Arial" w:hAnsi="Arial" w:cs="Arial"/>
          <w:color w:val="000000" w:themeColor="text1"/>
          <w:sz w:val="24"/>
          <w:szCs w:val="24"/>
          <w:lang w:val="en-US"/>
        </w:rPr>
        <w:t>S</w:t>
      </w:r>
      <w:r w:rsidRPr="0000061E">
        <w:rPr>
          <w:rFonts w:ascii="Arial" w:hAnsi="Arial" w:cs="Arial"/>
          <w:color w:val="000000" w:themeColor="text1"/>
          <w:sz w:val="24"/>
          <w:szCs w:val="24"/>
          <w:lang w:val="en-US"/>
        </w:rPr>
        <w:t>1: Pearson correlation coefficients were described if variables were normally distributed (Whitney-U test &gt; 0.05), otherwise Spearman-Rho was used. NC: cognitively normal controls, AD: patients with Alzheimer’s disease, CSF: cerebrospinal fluid.</w:t>
      </w:r>
    </w:p>
    <w:bookmarkEnd w:id="0"/>
    <w:p w:rsidR="00E6100A" w:rsidRPr="0000061E" w:rsidRDefault="00E6100A">
      <w:pPr>
        <w:spacing w:line="480" w:lineRule="auto"/>
        <w:rPr>
          <w:rFonts w:ascii="Arial" w:hAnsi="Arial" w:cs="Arial"/>
          <w:color w:val="000000" w:themeColor="text1"/>
          <w:sz w:val="24"/>
          <w:szCs w:val="24"/>
          <w:u w:val="single"/>
          <w:lang w:val="en-US"/>
        </w:rPr>
      </w:pPr>
    </w:p>
    <w:p w:rsidR="00E6100A" w:rsidRPr="0000061E" w:rsidRDefault="00DB0ED8">
      <w:pPr>
        <w:spacing w:line="480" w:lineRule="auto"/>
        <w:rPr>
          <w:rFonts w:ascii="Arial" w:hAnsi="Arial" w:cs="Arial"/>
          <w:color w:val="000000" w:themeColor="text1"/>
          <w:sz w:val="24"/>
          <w:szCs w:val="24"/>
          <w:u w:val="single"/>
          <w:lang w:val="en-US"/>
        </w:rPr>
      </w:pPr>
      <w:r w:rsidRPr="0000061E">
        <w:rPr>
          <w:rFonts w:ascii="Arial" w:hAnsi="Arial" w:cs="Arial"/>
          <w:color w:val="000000" w:themeColor="text1"/>
          <w:sz w:val="24"/>
          <w:szCs w:val="24"/>
          <w:u w:val="single"/>
          <w:lang w:val="en-US"/>
        </w:rPr>
        <w:t>T</w:t>
      </w:r>
      <w:r w:rsidR="0007747F" w:rsidRPr="0000061E">
        <w:rPr>
          <w:rFonts w:ascii="Arial" w:hAnsi="Arial" w:cs="Arial"/>
          <w:color w:val="000000" w:themeColor="text1"/>
          <w:sz w:val="24"/>
          <w:szCs w:val="24"/>
          <w:u w:val="single"/>
          <w:lang w:val="en-US"/>
        </w:rPr>
        <w:t xml:space="preserve">able </w:t>
      </w:r>
      <w:r>
        <w:rPr>
          <w:rFonts w:ascii="Arial" w:hAnsi="Arial" w:cs="Arial"/>
          <w:color w:val="000000" w:themeColor="text1"/>
          <w:sz w:val="24"/>
          <w:szCs w:val="24"/>
          <w:u w:val="single"/>
          <w:lang w:val="en-US"/>
        </w:rPr>
        <w:t>S</w:t>
      </w:r>
      <w:r w:rsidR="0007747F" w:rsidRPr="0000061E">
        <w:rPr>
          <w:rFonts w:ascii="Arial" w:hAnsi="Arial" w:cs="Arial"/>
          <w:color w:val="000000" w:themeColor="text1"/>
          <w:sz w:val="24"/>
          <w:szCs w:val="24"/>
          <w:u w:val="single"/>
          <w:lang w:val="en-US"/>
        </w:rPr>
        <w:t>2</w:t>
      </w:r>
    </w:p>
    <w:p w:rsidR="00E6100A" w:rsidRDefault="0007747F">
      <w:pPr>
        <w:spacing w:line="480" w:lineRule="auto"/>
        <w:rPr>
          <w:rFonts w:ascii="Arial" w:hAnsi="Arial" w:cs="Arial"/>
          <w:sz w:val="24"/>
          <w:szCs w:val="24"/>
          <w:lang w:val="en-US"/>
        </w:rPr>
      </w:pPr>
      <w:r>
        <w:rPr>
          <w:rFonts w:ascii="Arial" w:hAnsi="Arial" w:cs="Arial"/>
          <w:sz w:val="24"/>
          <w:szCs w:val="24"/>
          <w:lang w:val="en-US"/>
        </w:rPr>
        <w:t>Associations of KLKs and clinical severity</w:t>
      </w:r>
    </w:p>
    <w:tbl>
      <w:tblPr>
        <w:tblStyle w:val="TableGrid"/>
        <w:tblpPr w:leftFromText="141" w:rightFromText="141" w:vertAnchor="text" w:tblpY="1"/>
        <w:tblOverlap w:val="never"/>
        <w:tblW w:w="0" w:type="auto"/>
        <w:tblLayout w:type="fixed"/>
        <w:tblLook w:val="04A0" w:firstRow="1" w:lastRow="0" w:firstColumn="1" w:lastColumn="0" w:noHBand="0" w:noVBand="1"/>
      </w:tblPr>
      <w:tblGrid>
        <w:gridCol w:w="2365"/>
        <w:gridCol w:w="2365"/>
        <w:gridCol w:w="1474"/>
        <w:gridCol w:w="1559"/>
        <w:gridCol w:w="1276"/>
      </w:tblGrid>
      <w:tr w:rsidR="00E6100A">
        <w:tc>
          <w:tcPr>
            <w:tcW w:w="2365" w:type="dxa"/>
          </w:tcPr>
          <w:p w:rsidR="00E6100A" w:rsidRDefault="0007747F">
            <w:pPr>
              <w:pStyle w:val="ListParagraph"/>
              <w:spacing w:line="480" w:lineRule="auto"/>
              <w:ind w:left="0"/>
              <w:jc w:val="center"/>
              <w:rPr>
                <w:lang w:val="en-US"/>
              </w:rPr>
            </w:pPr>
            <w:r>
              <w:rPr>
                <w:lang w:val="en-US"/>
              </w:rPr>
              <w:t>Group</w:t>
            </w:r>
          </w:p>
        </w:tc>
        <w:tc>
          <w:tcPr>
            <w:tcW w:w="2365" w:type="dxa"/>
            <w:vAlign w:val="center"/>
          </w:tcPr>
          <w:p w:rsidR="00E6100A" w:rsidRDefault="0007747F">
            <w:pPr>
              <w:pStyle w:val="ListParagraph"/>
              <w:spacing w:line="480" w:lineRule="auto"/>
              <w:ind w:left="0"/>
              <w:jc w:val="center"/>
              <w:rPr>
                <w:lang w:val="en-US"/>
              </w:rPr>
            </w:pPr>
            <w:r>
              <w:rPr>
                <w:lang w:val="en-US"/>
              </w:rPr>
              <w:t>Parameter</w:t>
            </w:r>
          </w:p>
        </w:tc>
        <w:tc>
          <w:tcPr>
            <w:tcW w:w="1474" w:type="dxa"/>
            <w:vAlign w:val="center"/>
          </w:tcPr>
          <w:p w:rsidR="00E6100A" w:rsidRDefault="0007747F">
            <w:pPr>
              <w:pStyle w:val="ListParagraph"/>
              <w:spacing w:line="480" w:lineRule="auto"/>
              <w:ind w:left="0"/>
              <w:jc w:val="center"/>
              <w:rPr>
                <w:lang w:val="en-US"/>
              </w:rPr>
            </w:pPr>
            <w:r>
              <w:rPr>
                <w:lang w:val="en-US"/>
              </w:rPr>
              <w:t>KLK6</w:t>
            </w:r>
          </w:p>
        </w:tc>
        <w:tc>
          <w:tcPr>
            <w:tcW w:w="1559" w:type="dxa"/>
            <w:vAlign w:val="center"/>
          </w:tcPr>
          <w:p w:rsidR="00E6100A" w:rsidRDefault="0007747F">
            <w:pPr>
              <w:pStyle w:val="ListParagraph"/>
              <w:spacing w:line="480" w:lineRule="auto"/>
              <w:ind w:left="0"/>
              <w:jc w:val="center"/>
              <w:rPr>
                <w:lang w:val="en-US"/>
              </w:rPr>
            </w:pPr>
            <w:r>
              <w:rPr>
                <w:lang w:val="en-US"/>
              </w:rPr>
              <w:t>KLK8</w:t>
            </w:r>
          </w:p>
        </w:tc>
        <w:tc>
          <w:tcPr>
            <w:tcW w:w="1276" w:type="dxa"/>
            <w:vAlign w:val="center"/>
          </w:tcPr>
          <w:p w:rsidR="00E6100A" w:rsidRDefault="0007747F">
            <w:pPr>
              <w:pStyle w:val="ListParagraph"/>
              <w:spacing w:line="480" w:lineRule="auto"/>
              <w:ind w:left="0"/>
              <w:jc w:val="center"/>
              <w:rPr>
                <w:lang w:val="en-US"/>
              </w:rPr>
            </w:pPr>
            <w:r>
              <w:rPr>
                <w:lang w:val="en-US"/>
              </w:rPr>
              <w:t>KLK10</w:t>
            </w:r>
          </w:p>
        </w:tc>
      </w:tr>
      <w:tr w:rsidR="00E6100A">
        <w:tc>
          <w:tcPr>
            <w:tcW w:w="2365" w:type="dxa"/>
          </w:tcPr>
          <w:p w:rsidR="00E6100A" w:rsidRDefault="0007747F">
            <w:pPr>
              <w:pStyle w:val="ListParagraph"/>
              <w:spacing w:line="480" w:lineRule="auto"/>
              <w:ind w:left="0"/>
              <w:jc w:val="center"/>
              <w:rPr>
                <w:lang w:val="en-US"/>
              </w:rPr>
            </w:pPr>
            <w:r>
              <w:rPr>
                <w:lang w:val="en-US"/>
              </w:rPr>
              <w:t>AD</w:t>
            </w:r>
          </w:p>
        </w:tc>
        <w:tc>
          <w:tcPr>
            <w:tcW w:w="2365" w:type="dxa"/>
            <w:vAlign w:val="center"/>
          </w:tcPr>
          <w:p w:rsidR="00E6100A" w:rsidRDefault="0007747F">
            <w:pPr>
              <w:pStyle w:val="ListParagraph"/>
              <w:spacing w:line="480" w:lineRule="auto"/>
              <w:ind w:left="0"/>
              <w:jc w:val="center"/>
              <w:rPr>
                <w:lang w:val="en-US"/>
              </w:rPr>
            </w:pPr>
            <w:r>
              <w:rPr>
                <w:lang w:val="en-US"/>
              </w:rPr>
              <w:t>MMSE</w:t>
            </w:r>
          </w:p>
        </w:tc>
        <w:tc>
          <w:tcPr>
            <w:tcW w:w="1474" w:type="dxa"/>
            <w:vAlign w:val="center"/>
          </w:tcPr>
          <w:p w:rsidR="00E6100A" w:rsidRDefault="0007747F">
            <w:pPr>
              <w:pStyle w:val="ListParagraph"/>
              <w:spacing w:line="480" w:lineRule="auto"/>
              <w:ind w:left="0"/>
              <w:jc w:val="center"/>
              <w:rPr>
                <w:rFonts w:cs="Arial"/>
                <w:szCs w:val="12"/>
                <w:lang w:val="en-US"/>
              </w:rPr>
            </w:pPr>
            <w:r>
              <w:rPr>
                <w:szCs w:val="12"/>
                <w:lang w:val="en-US"/>
              </w:rPr>
              <w:t>r</w:t>
            </w:r>
            <w:r>
              <w:rPr>
                <w:rFonts w:cs="Arial"/>
                <w:szCs w:val="12"/>
                <w:lang w:val="en-US"/>
              </w:rPr>
              <w:t>= -0.072</w:t>
            </w:r>
          </w:p>
          <w:p w:rsidR="00E6100A" w:rsidRDefault="0007747F">
            <w:pPr>
              <w:pStyle w:val="ListParagraph"/>
              <w:spacing w:line="480" w:lineRule="auto"/>
              <w:ind w:left="0"/>
              <w:jc w:val="center"/>
              <w:rPr>
                <w:rFonts w:cs="Arial"/>
                <w:szCs w:val="12"/>
                <w:lang w:val="en-US"/>
              </w:rPr>
            </w:pPr>
            <w:r>
              <w:rPr>
                <w:rFonts w:cs="Arial"/>
                <w:szCs w:val="12"/>
                <w:lang w:val="en-US"/>
              </w:rPr>
              <w:t>p= 0.702</w:t>
            </w:r>
          </w:p>
        </w:tc>
        <w:tc>
          <w:tcPr>
            <w:tcW w:w="1559" w:type="dxa"/>
            <w:vAlign w:val="center"/>
          </w:tcPr>
          <w:p w:rsidR="00E6100A" w:rsidRDefault="0007747F">
            <w:pPr>
              <w:pStyle w:val="ListParagraph"/>
              <w:spacing w:line="480" w:lineRule="auto"/>
              <w:ind w:left="0"/>
              <w:jc w:val="center"/>
              <w:rPr>
                <w:rFonts w:cs="Arial"/>
                <w:szCs w:val="12"/>
                <w:lang w:val="en-US"/>
              </w:rPr>
            </w:pPr>
            <w:r>
              <w:rPr>
                <w:szCs w:val="12"/>
                <w:lang w:val="en-US"/>
              </w:rPr>
              <w:t>r</w:t>
            </w:r>
            <w:r>
              <w:rPr>
                <w:rFonts w:cs="Arial"/>
                <w:szCs w:val="12"/>
                <w:lang w:val="en-US"/>
              </w:rPr>
              <w:t>=0.178</w:t>
            </w:r>
          </w:p>
          <w:p w:rsidR="00E6100A" w:rsidRDefault="0007747F">
            <w:pPr>
              <w:pStyle w:val="ListParagraph"/>
              <w:spacing w:line="480" w:lineRule="auto"/>
              <w:ind w:left="0"/>
              <w:jc w:val="center"/>
              <w:rPr>
                <w:szCs w:val="12"/>
                <w:lang w:val="en-US"/>
              </w:rPr>
            </w:pPr>
            <w:r>
              <w:rPr>
                <w:rFonts w:cs="Arial"/>
                <w:szCs w:val="12"/>
                <w:lang w:val="en-US"/>
              </w:rPr>
              <w:t>p= 0.339</w:t>
            </w:r>
          </w:p>
        </w:tc>
        <w:tc>
          <w:tcPr>
            <w:tcW w:w="1276" w:type="dxa"/>
            <w:vAlign w:val="center"/>
          </w:tcPr>
          <w:p w:rsidR="00E6100A" w:rsidRDefault="0007747F">
            <w:pPr>
              <w:pStyle w:val="ListParagraph"/>
              <w:spacing w:line="480" w:lineRule="auto"/>
              <w:ind w:left="0"/>
              <w:jc w:val="center"/>
              <w:rPr>
                <w:szCs w:val="12"/>
                <w:lang w:val="en-US"/>
              </w:rPr>
            </w:pPr>
            <w:r>
              <w:rPr>
                <w:szCs w:val="12"/>
                <w:lang w:val="en-US"/>
              </w:rPr>
              <w:t>r</w:t>
            </w:r>
            <w:r>
              <w:rPr>
                <w:rFonts w:cs="Arial"/>
                <w:szCs w:val="12"/>
                <w:lang w:val="en-US"/>
              </w:rPr>
              <w:t xml:space="preserve">= </w:t>
            </w:r>
            <w:r>
              <w:rPr>
                <w:szCs w:val="12"/>
                <w:lang w:val="en-US"/>
              </w:rPr>
              <w:t>0.292</w:t>
            </w:r>
          </w:p>
          <w:p w:rsidR="00E6100A" w:rsidRDefault="0007747F">
            <w:pPr>
              <w:pStyle w:val="ListParagraph"/>
              <w:spacing w:line="480" w:lineRule="auto"/>
              <w:ind w:left="0"/>
              <w:jc w:val="center"/>
              <w:rPr>
                <w:szCs w:val="12"/>
                <w:lang w:val="en-US"/>
              </w:rPr>
            </w:pPr>
            <w:r>
              <w:rPr>
                <w:rFonts w:cs="Arial"/>
                <w:szCs w:val="12"/>
                <w:lang w:val="en-US"/>
              </w:rPr>
              <w:t xml:space="preserve">p= </w:t>
            </w:r>
            <w:r>
              <w:rPr>
                <w:szCs w:val="12"/>
                <w:lang w:val="en-US"/>
              </w:rPr>
              <w:t>0.110</w:t>
            </w:r>
          </w:p>
        </w:tc>
      </w:tr>
      <w:tr w:rsidR="00E6100A">
        <w:tc>
          <w:tcPr>
            <w:tcW w:w="2365" w:type="dxa"/>
          </w:tcPr>
          <w:p w:rsidR="00E6100A" w:rsidRDefault="0007747F">
            <w:pPr>
              <w:pStyle w:val="ListParagraph"/>
              <w:spacing w:line="480" w:lineRule="auto"/>
              <w:ind w:left="0"/>
              <w:jc w:val="center"/>
              <w:rPr>
                <w:lang w:val="en-US"/>
              </w:rPr>
            </w:pPr>
            <w:r>
              <w:rPr>
                <w:lang w:val="en-US"/>
              </w:rPr>
              <w:lastRenderedPageBreak/>
              <w:t>AD</w:t>
            </w:r>
          </w:p>
        </w:tc>
        <w:tc>
          <w:tcPr>
            <w:tcW w:w="2365" w:type="dxa"/>
            <w:vAlign w:val="center"/>
          </w:tcPr>
          <w:p w:rsidR="00E6100A" w:rsidRDefault="0007747F">
            <w:pPr>
              <w:pStyle w:val="ListParagraph"/>
              <w:spacing w:line="480" w:lineRule="auto"/>
              <w:ind w:left="0"/>
              <w:jc w:val="center"/>
              <w:rPr>
                <w:lang w:val="en-US"/>
              </w:rPr>
            </w:pPr>
            <w:r>
              <w:rPr>
                <w:lang w:val="en-US"/>
              </w:rPr>
              <w:t>global CDR</w:t>
            </w:r>
          </w:p>
        </w:tc>
        <w:tc>
          <w:tcPr>
            <w:tcW w:w="1474" w:type="dxa"/>
            <w:vAlign w:val="center"/>
          </w:tcPr>
          <w:p w:rsidR="00E6100A" w:rsidRDefault="0007747F">
            <w:pPr>
              <w:pStyle w:val="ListParagraph"/>
              <w:spacing w:line="480" w:lineRule="auto"/>
              <w:ind w:left="0"/>
              <w:jc w:val="center"/>
              <w:rPr>
                <w:szCs w:val="12"/>
                <w:lang w:val="en-US"/>
              </w:rPr>
            </w:pPr>
            <w:r>
              <w:rPr>
                <w:szCs w:val="12"/>
                <w:lang w:val="en-US"/>
              </w:rPr>
              <w:t>r</w:t>
            </w:r>
            <w:r>
              <w:rPr>
                <w:rFonts w:cs="Arial"/>
                <w:szCs w:val="12"/>
                <w:lang w:val="en-US"/>
              </w:rPr>
              <w:t xml:space="preserve">= </w:t>
            </w:r>
            <w:r>
              <w:rPr>
                <w:szCs w:val="12"/>
                <w:lang w:val="en-US"/>
              </w:rPr>
              <w:t>-0.239</w:t>
            </w:r>
          </w:p>
          <w:p w:rsidR="00E6100A" w:rsidRDefault="0007747F">
            <w:pPr>
              <w:pStyle w:val="ListParagraph"/>
              <w:spacing w:line="480" w:lineRule="auto"/>
              <w:ind w:left="0"/>
              <w:jc w:val="center"/>
              <w:rPr>
                <w:szCs w:val="12"/>
                <w:lang w:val="en-US"/>
              </w:rPr>
            </w:pPr>
            <w:r>
              <w:rPr>
                <w:rFonts w:cs="Arial"/>
                <w:szCs w:val="12"/>
                <w:lang w:val="en-US"/>
              </w:rPr>
              <w:t xml:space="preserve">p= </w:t>
            </w:r>
            <w:r>
              <w:rPr>
                <w:szCs w:val="12"/>
                <w:lang w:val="en-US"/>
              </w:rPr>
              <w:t>0.187</w:t>
            </w:r>
          </w:p>
        </w:tc>
        <w:tc>
          <w:tcPr>
            <w:tcW w:w="1559" w:type="dxa"/>
            <w:vAlign w:val="center"/>
          </w:tcPr>
          <w:p w:rsidR="00E6100A" w:rsidRDefault="0007747F">
            <w:pPr>
              <w:pStyle w:val="ListParagraph"/>
              <w:spacing w:line="480" w:lineRule="auto"/>
              <w:ind w:left="0"/>
              <w:jc w:val="center"/>
              <w:rPr>
                <w:szCs w:val="12"/>
                <w:lang w:val="en-US"/>
              </w:rPr>
            </w:pPr>
            <w:r>
              <w:rPr>
                <w:szCs w:val="12"/>
                <w:lang w:val="en-US"/>
              </w:rPr>
              <w:t>r</w:t>
            </w:r>
            <w:r>
              <w:rPr>
                <w:rFonts w:cs="Arial"/>
                <w:szCs w:val="12"/>
                <w:lang w:val="en-US"/>
              </w:rPr>
              <w:t xml:space="preserve">= </w:t>
            </w:r>
            <w:r>
              <w:rPr>
                <w:szCs w:val="12"/>
                <w:lang w:val="en-US"/>
              </w:rPr>
              <w:t>-0.051</w:t>
            </w:r>
          </w:p>
          <w:p w:rsidR="00E6100A" w:rsidRDefault="0007747F">
            <w:pPr>
              <w:pStyle w:val="ListParagraph"/>
              <w:spacing w:line="480" w:lineRule="auto"/>
              <w:ind w:left="0"/>
              <w:jc w:val="center"/>
              <w:rPr>
                <w:szCs w:val="12"/>
                <w:lang w:val="en-US"/>
              </w:rPr>
            </w:pPr>
            <w:r>
              <w:rPr>
                <w:rFonts w:cs="Arial"/>
                <w:szCs w:val="12"/>
                <w:lang w:val="en-US"/>
              </w:rPr>
              <w:t xml:space="preserve">p= </w:t>
            </w:r>
            <w:r>
              <w:rPr>
                <w:szCs w:val="12"/>
                <w:lang w:val="en-US"/>
              </w:rPr>
              <w:t>0.782</w:t>
            </w:r>
          </w:p>
        </w:tc>
        <w:tc>
          <w:tcPr>
            <w:tcW w:w="1276" w:type="dxa"/>
            <w:vAlign w:val="center"/>
          </w:tcPr>
          <w:p w:rsidR="00E6100A" w:rsidRDefault="0007747F">
            <w:pPr>
              <w:pStyle w:val="ListParagraph"/>
              <w:spacing w:line="480" w:lineRule="auto"/>
              <w:ind w:left="0"/>
              <w:jc w:val="center"/>
              <w:rPr>
                <w:szCs w:val="12"/>
                <w:lang w:val="en-US"/>
              </w:rPr>
            </w:pPr>
            <w:r>
              <w:rPr>
                <w:rFonts w:cs="Arial"/>
                <w:szCs w:val="12"/>
                <w:lang w:val="en-US"/>
              </w:rPr>
              <w:t xml:space="preserve">r </w:t>
            </w:r>
            <w:r>
              <w:rPr>
                <w:szCs w:val="12"/>
                <w:lang w:val="en-US"/>
              </w:rPr>
              <w:t>-0.232</w:t>
            </w:r>
          </w:p>
          <w:p w:rsidR="00E6100A" w:rsidRDefault="0007747F">
            <w:pPr>
              <w:pStyle w:val="ListParagraph"/>
              <w:spacing w:line="480" w:lineRule="auto"/>
              <w:ind w:left="0"/>
              <w:jc w:val="center"/>
              <w:rPr>
                <w:szCs w:val="12"/>
                <w:lang w:val="en-US"/>
              </w:rPr>
            </w:pPr>
            <w:r>
              <w:rPr>
                <w:rFonts w:cs="Arial"/>
                <w:szCs w:val="12"/>
                <w:lang w:val="en-US"/>
              </w:rPr>
              <w:t xml:space="preserve">p= </w:t>
            </w:r>
            <w:r>
              <w:rPr>
                <w:szCs w:val="12"/>
                <w:lang w:val="en-US"/>
              </w:rPr>
              <w:t>0.202</w:t>
            </w:r>
          </w:p>
        </w:tc>
      </w:tr>
      <w:tr w:rsidR="00E6100A">
        <w:tc>
          <w:tcPr>
            <w:tcW w:w="2365" w:type="dxa"/>
          </w:tcPr>
          <w:p w:rsidR="00E6100A" w:rsidRDefault="0007747F">
            <w:pPr>
              <w:pStyle w:val="ListParagraph"/>
              <w:spacing w:line="480" w:lineRule="auto"/>
              <w:ind w:left="0"/>
              <w:jc w:val="center"/>
              <w:rPr>
                <w:lang w:val="en-US"/>
              </w:rPr>
            </w:pPr>
            <w:r>
              <w:rPr>
                <w:lang w:val="en-US"/>
              </w:rPr>
              <w:t>NC</w:t>
            </w:r>
          </w:p>
        </w:tc>
        <w:tc>
          <w:tcPr>
            <w:tcW w:w="2365" w:type="dxa"/>
            <w:vAlign w:val="center"/>
          </w:tcPr>
          <w:p w:rsidR="00E6100A" w:rsidRDefault="0007747F">
            <w:pPr>
              <w:pStyle w:val="ListParagraph"/>
              <w:spacing w:line="480" w:lineRule="auto"/>
              <w:ind w:left="0"/>
              <w:jc w:val="center"/>
              <w:rPr>
                <w:lang w:val="en-US"/>
              </w:rPr>
            </w:pPr>
            <w:r>
              <w:rPr>
                <w:lang w:val="en-US"/>
              </w:rPr>
              <w:t>MMSE</w:t>
            </w:r>
          </w:p>
        </w:tc>
        <w:tc>
          <w:tcPr>
            <w:tcW w:w="1474" w:type="dxa"/>
            <w:vAlign w:val="center"/>
          </w:tcPr>
          <w:p w:rsidR="00E6100A" w:rsidRDefault="0007747F">
            <w:pPr>
              <w:pStyle w:val="ListParagraph"/>
              <w:spacing w:line="480" w:lineRule="auto"/>
              <w:ind w:left="0"/>
              <w:jc w:val="center"/>
              <w:rPr>
                <w:szCs w:val="12"/>
                <w:lang w:val="en-US"/>
              </w:rPr>
            </w:pPr>
            <w:r>
              <w:rPr>
                <w:szCs w:val="12"/>
                <w:lang w:val="en-US"/>
              </w:rPr>
              <w:t>r= -0.096</w:t>
            </w:r>
          </w:p>
          <w:p w:rsidR="00E6100A" w:rsidRDefault="0007747F">
            <w:pPr>
              <w:pStyle w:val="ListParagraph"/>
              <w:spacing w:line="480" w:lineRule="auto"/>
              <w:ind w:left="0"/>
              <w:jc w:val="center"/>
              <w:rPr>
                <w:szCs w:val="12"/>
                <w:lang w:val="en-US"/>
              </w:rPr>
            </w:pPr>
            <w:r>
              <w:rPr>
                <w:rFonts w:cs="Arial"/>
                <w:szCs w:val="12"/>
                <w:lang w:val="en-US"/>
              </w:rPr>
              <w:t xml:space="preserve">p= </w:t>
            </w:r>
            <w:r>
              <w:rPr>
                <w:szCs w:val="12"/>
                <w:lang w:val="en-US"/>
              </w:rPr>
              <w:t>0.663</w:t>
            </w:r>
          </w:p>
        </w:tc>
        <w:tc>
          <w:tcPr>
            <w:tcW w:w="1559" w:type="dxa"/>
            <w:vAlign w:val="center"/>
          </w:tcPr>
          <w:p w:rsidR="00E6100A" w:rsidRDefault="0007747F">
            <w:pPr>
              <w:pStyle w:val="ListParagraph"/>
              <w:spacing w:line="480" w:lineRule="auto"/>
              <w:ind w:left="0"/>
              <w:jc w:val="center"/>
              <w:rPr>
                <w:szCs w:val="12"/>
                <w:lang w:val="en-US"/>
              </w:rPr>
            </w:pPr>
            <w:r>
              <w:rPr>
                <w:szCs w:val="12"/>
                <w:lang w:val="en-US"/>
              </w:rPr>
              <w:t>r</w:t>
            </w:r>
            <w:r>
              <w:rPr>
                <w:rFonts w:cs="Arial"/>
                <w:szCs w:val="12"/>
                <w:lang w:val="en-US"/>
              </w:rPr>
              <w:t xml:space="preserve">= </w:t>
            </w:r>
            <w:r>
              <w:rPr>
                <w:szCs w:val="12"/>
                <w:lang w:val="en-US"/>
              </w:rPr>
              <w:t>0.214</w:t>
            </w:r>
          </w:p>
          <w:p w:rsidR="00E6100A" w:rsidRDefault="0007747F">
            <w:pPr>
              <w:pStyle w:val="ListParagraph"/>
              <w:spacing w:line="480" w:lineRule="auto"/>
              <w:ind w:left="0"/>
              <w:jc w:val="center"/>
              <w:rPr>
                <w:szCs w:val="12"/>
                <w:lang w:val="en-US"/>
              </w:rPr>
            </w:pPr>
            <w:r>
              <w:rPr>
                <w:rFonts w:cs="Arial"/>
                <w:szCs w:val="12"/>
                <w:lang w:val="en-US"/>
              </w:rPr>
              <w:t xml:space="preserve">p= </w:t>
            </w:r>
            <w:r>
              <w:rPr>
                <w:szCs w:val="12"/>
                <w:lang w:val="en-US"/>
              </w:rPr>
              <w:t>0.327</w:t>
            </w:r>
          </w:p>
        </w:tc>
        <w:tc>
          <w:tcPr>
            <w:tcW w:w="1276" w:type="dxa"/>
            <w:vAlign w:val="center"/>
          </w:tcPr>
          <w:p w:rsidR="00E6100A" w:rsidRDefault="0007747F">
            <w:pPr>
              <w:pStyle w:val="ListParagraph"/>
              <w:spacing w:line="480" w:lineRule="auto"/>
              <w:ind w:left="0"/>
              <w:jc w:val="center"/>
              <w:rPr>
                <w:szCs w:val="12"/>
                <w:lang w:val="en-US"/>
              </w:rPr>
            </w:pPr>
            <w:r>
              <w:rPr>
                <w:szCs w:val="12"/>
                <w:lang w:val="en-US"/>
              </w:rPr>
              <w:t>r</w:t>
            </w:r>
            <w:r>
              <w:rPr>
                <w:rFonts w:cs="Arial"/>
                <w:szCs w:val="12"/>
                <w:lang w:val="en-US"/>
              </w:rPr>
              <w:t xml:space="preserve">= </w:t>
            </w:r>
            <w:r>
              <w:rPr>
                <w:szCs w:val="12"/>
                <w:lang w:val="en-US"/>
              </w:rPr>
              <w:t>0.038</w:t>
            </w:r>
          </w:p>
          <w:p w:rsidR="00E6100A" w:rsidRDefault="0007747F">
            <w:pPr>
              <w:pStyle w:val="ListParagraph"/>
              <w:spacing w:line="480" w:lineRule="auto"/>
              <w:ind w:left="0"/>
              <w:jc w:val="center"/>
              <w:rPr>
                <w:szCs w:val="12"/>
                <w:lang w:val="en-US"/>
              </w:rPr>
            </w:pPr>
            <w:r>
              <w:rPr>
                <w:rFonts w:cs="Arial"/>
                <w:szCs w:val="12"/>
                <w:lang w:val="en-US"/>
              </w:rPr>
              <w:t xml:space="preserve">p= </w:t>
            </w:r>
            <w:r>
              <w:rPr>
                <w:szCs w:val="12"/>
                <w:lang w:val="en-US"/>
              </w:rPr>
              <w:t>0.864</w:t>
            </w:r>
          </w:p>
        </w:tc>
      </w:tr>
    </w:tbl>
    <w:p w:rsidR="00E6100A" w:rsidRDefault="0007747F">
      <w:pPr>
        <w:pStyle w:val="ListParagraph"/>
        <w:spacing w:line="480" w:lineRule="auto"/>
        <w:ind w:left="0"/>
        <w:rPr>
          <w:rFonts w:cs="Arial"/>
          <w:szCs w:val="24"/>
          <w:lang w:val="en-US"/>
        </w:rPr>
      </w:pPr>
      <w:r>
        <w:rPr>
          <w:lang w:val="en-US"/>
        </w:rPr>
        <w:br w:type="textWrapping" w:clear="all"/>
      </w:r>
      <w:r>
        <w:rPr>
          <w:rFonts w:cs="Arial"/>
          <w:szCs w:val="24"/>
          <w:lang w:val="en-US"/>
        </w:rPr>
        <w:t xml:space="preserve">Legend to </w:t>
      </w:r>
      <w:r w:rsidR="00DB0ED8" w:rsidRPr="0000061E">
        <w:rPr>
          <w:rFonts w:cs="Arial"/>
          <w:color w:val="000000" w:themeColor="text1"/>
          <w:szCs w:val="24"/>
          <w:lang w:val="en-US"/>
        </w:rPr>
        <w:t>T</w:t>
      </w:r>
      <w:r w:rsidRPr="0000061E">
        <w:rPr>
          <w:rFonts w:cs="Arial"/>
          <w:color w:val="000000" w:themeColor="text1"/>
          <w:szCs w:val="24"/>
          <w:lang w:val="en-US"/>
        </w:rPr>
        <w:t xml:space="preserve">able </w:t>
      </w:r>
      <w:r w:rsidR="00DB0ED8">
        <w:rPr>
          <w:rFonts w:cs="Arial"/>
          <w:color w:val="000000" w:themeColor="text1"/>
          <w:szCs w:val="24"/>
          <w:lang w:val="en-US"/>
        </w:rPr>
        <w:t>S</w:t>
      </w:r>
      <w:r w:rsidRPr="0000061E">
        <w:rPr>
          <w:rFonts w:cs="Arial"/>
          <w:color w:val="000000" w:themeColor="text1"/>
          <w:szCs w:val="24"/>
          <w:lang w:val="en-US"/>
        </w:rPr>
        <w:t xml:space="preserve">2: Spearman correlations among concentrations of KLK6, KLK8 and KLK10 in CSF with MMSE, global CDR in all patients (n= 32, n=31 for MMSE) or the NC (n=23). NC: cognitively normal </w:t>
      </w:r>
      <w:r>
        <w:rPr>
          <w:rFonts w:cs="Arial"/>
          <w:szCs w:val="24"/>
          <w:lang w:val="en-US"/>
        </w:rPr>
        <w:t xml:space="preserve">controls; CDR: clinical dementia rating scale; MMSE: Mini-Mental state examination, KLK: </w:t>
      </w:r>
      <w:proofErr w:type="spellStart"/>
      <w:r>
        <w:rPr>
          <w:rFonts w:cs="Arial"/>
          <w:szCs w:val="24"/>
          <w:lang w:val="en-US"/>
        </w:rPr>
        <w:t>kallikrein</w:t>
      </w:r>
      <w:proofErr w:type="spellEnd"/>
      <w:r>
        <w:rPr>
          <w:rFonts w:cs="Arial"/>
          <w:szCs w:val="24"/>
          <w:lang w:val="en-US"/>
        </w:rPr>
        <w:t xml:space="preserve"> related peptidase, r: correlation coefficient.</w:t>
      </w:r>
    </w:p>
    <w:p w:rsidR="00E6100A" w:rsidRDefault="00E6100A">
      <w:pPr>
        <w:rPr>
          <w:lang w:val="en-US"/>
        </w:rPr>
      </w:pPr>
    </w:p>
    <w:p w:rsidR="00E6100A" w:rsidRPr="0000061E" w:rsidRDefault="00DB0ED8">
      <w:pPr>
        <w:spacing w:line="480" w:lineRule="auto"/>
        <w:rPr>
          <w:rFonts w:ascii="Arial" w:hAnsi="Arial" w:cs="Arial"/>
          <w:color w:val="000000" w:themeColor="text1"/>
          <w:sz w:val="24"/>
          <w:szCs w:val="24"/>
          <w:u w:val="single"/>
          <w:lang w:val="en-US"/>
        </w:rPr>
      </w:pPr>
      <w:r w:rsidRPr="0000061E">
        <w:rPr>
          <w:rFonts w:ascii="Arial" w:hAnsi="Arial" w:cs="Arial"/>
          <w:color w:val="000000" w:themeColor="text1"/>
          <w:sz w:val="24"/>
          <w:szCs w:val="24"/>
          <w:u w:val="single"/>
          <w:lang w:val="en-US"/>
        </w:rPr>
        <w:t>T</w:t>
      </w:r>
      <w:r w:rsidR="0007747F" w:rsidRPr="0000061E">
        <w:rPr>
          <w:rFonts w:ascii="Arial" w:hAnsi="Arial" w:cs="Arial"/>
          <w:color w:val="000000" w:themeColor="text1"/>
          <w:sz w:val="24"/>
          <w:szCs w:val="24"/>
          <w:u w:val="single"/>
          <w:lang w:val="en-US"/>
        </w:rPr>
        <w:t xml:space="preserve">able </w:t>
      </w:r>
      <w:r>
        <w:rPr>
          <w:rFonts w:ascii="Arial" w:hAnsi="Arial" w:cs="Arial"/>
          <w:color w:val="000000" w:themeColor="text1"/>
          <w:sz w:val="24"/>
          <w:szCs w:val="24"/>
          <w:u w:val="single"/>
          <w:lang w:val="en-US"/>
        </w:rPr>
        <w:t>S</w:t>
      </w:r>
      <w:r w:rsidR="0007747F" w:rsidRPr="0000061E">
        <w:rPr>
          <w:rFonts w:ascii="Arial" w:hAnsi="Arial" w:cs="Arial"/>
          <w:color w:val="000000" w:themeColor="text1"/>
          <w:sz w:val="24"/>
          <w:szCs w:val="24"/>
          <w:u w:val="single"/>
          <w:lang w:val="en-US"/>
        </w:rPr>
        <w:t>3</w:t>
      </w:r>
    </w:p>
    <w:p w:rsidR="00E6100A" w:rsidRDefault="0007747F">
      <w:pPr>
        <w:spacing w:line="480" w:lineRule="auto"/>
        <w:rPr>
          <w:rFonts w:ascii="Arial" w:hAnsi="Arial" w:cs="Arial"/>
          <w:sz w:val="24"/>
          <w:szCs w:val="24"/>
          <w:lang w:val="en-US"/>
        </w:rPr>
      </w:pPr>
      <w:r>
        <w:rPr>
          <w:rFonts w:ascii="Arial" w:hAnsi="Arial" w:cs="Arial"/>
          <w:sz w:val="24"/>
          <w:szCs w:val="24"/>
          <w:lang w:val="en-US"/>
        </w:rPr>
        <w:t>Univariate linear regression models with associations of PET-AD-biomarkers with KLK6, KLK8 and KLK10 in a sub cohort of 14 AD patients</w:t>
      </w:r>
    </w:p>
    <w:p w:rsidR="00E6100A" w:rsidRDefault="00E6100A">
      <w:pPr>
        <w:rPr>
          <w:rFonts w:ascii="Arial" w:hAnsi="Arial" w:cs="Arial"/>
          <w:sz w:val="24"/>
          <w:szCs w:val="24"/>
          <w:lang w:val="en-US"/>
        </w:rPr>
      </w:pPr>
    </w:p>
    <w:tbl>
      <w:tblPr>
        <w:tblStyle w:val="TableGrid"/>
        <w:tblW w:w="8222" w:type="dxa"/>
        <w:tblInd w:w="-147" w:type="dxa"/>
        <w:tblLayout w:type="fixed"/>
        <w:tblLook w:val="04A0" w:firstRow="1" w:lastRow="0" w:firstColumn="1" w:lastColumn="0" w:noHBand="0" w:noVBand="1"/>
      </w:tblPr>
      <w:tblGrid>
        <w:gridCol w:w="2552"/>
        <w:gridCol w:w="1985"/>
        <w:gridCol w:w="1842"/>
        <w:gridCol w:w="1843"/>
      </w:tblGrid>
      <w:tr w:rsidR="00E6100A" w:rsidRPr="0000061E">
        <w:trPr>
          <w:trHeight w:val="920"/>
        </w:trPr>
        <w:tc>
          <w:tcPr>
            <w:tcW w:w="2552" w:type="dxa"/>
          </w:tcPr>
          <w:p w:rsidR="00E6100A" w:rsidRDefault="0007747F">
            <w:pPr>
              <w:pStyle w:val="ListParagraph"/>
              <w:spacing w:line="480" w:lineRule="auto"/>
              <w:ind w:left="0"/>
              <w:jc w:val="center"/>
              <w:rPr>
                <w:b/>
                <w:sz w:val="20"/>
                <w:lang w:val="en-US"/>
              </w:rPr>
            </w:pPr>
            <w:r>
              <w:rPr>
                <w:b/>
                <w:sz w:val="20"/>
                <w:lang w:val="en-US"/>
              </w:rPr>
              <w:t>Global PET signal ratios</w:t>
            </w:r>
          </w:p>
        </w:tc>
        <w:tc>
          <w:tcPr>
            <w:tcW w:w="1985" w:type="dxa"/>
            <w:vAlign w:val="center"/>
          </w:tcPr>
          <w:p w:rsidR="00E6100A" w:rsidRDefault="0007747F">
            <w:pPr>
              <w:pStyle w:val="ListParagraph"/>
              <w:spacing w:line="480" w:lineRule="auto"/>
              <w:ind w:left="0"/>
              <w:jc w:val="center"/>
              <w:rPr>
                <w:b/>
                <w:sz w:val="20"/>
                <w:lang w:val="en-US"/>
              </w:rPr>
            </w:pPr>
            <w:r>
              <w:rPr>
                <w:b/>
                <w:sz w:val="20"/>
                <w:lang w:val="en-US"/>
              </w:rPr>
              <w:t>CSF-KLK6</w:t>
            </w:r>
          </w:p>
          <w:p w:rsidR="00E6100A" w:rsidRDefault="0007747F">
            <w:pPr>
              <w:pStyle w:val="ListParagraph"/>
              <w:spacing w:line="480" w:lineRule="auto"/>
              <w:ind w:left="0"/>
              <w:jc w:val="center"/>
              <w:rPr>
                <w:b/>
                <w:sz w:val="20"/>
                <w:lang w:val="en-US"/>
              </w:rPr>
            </w:pPr>
            <w:r>
              <w:rPr>
                <w:b/>
                <w:sz w:val="20"/>
                <w:lang w:val="en-US"/>
              </w:rPr>
              <w:t>model statistics</w:t>
            </w:r>
          </w:p>
          <w:p w:rsidR="00E6100A" w:rsidRDefault="0007747F">
            <w:pPr>
              <w:pStyle w:val="ListParagraph"/>
              <w:spacing w:line="480" w:lineRule="auto"/>
              <w:ind w:left="0"/>
              <w:jc w:val="center"/>
              <w:rPr>
                <w:b/>
                <w:sz w:val="20"/>
                <w:lang w:val="en-US"/>
              </w:rPr>
            </w:pPr>
            <w:r>
              <w:rPr>
                <w:b/>
                <w:sz w:val="14"/>
                <w:lang w:val="en-US"/>
              </w:rPr>
              <w:t>(</w:t>
            </w:r>
            <w:proofErr w:type="spellStart"/>
            <w:r>
              <w:rPr>
                <w:b/>
                <w:sz w:val="14"/>
                <w:lang w:val="en-US"/>
              </w:rPr>
              <w:t>p</w:t>
            </w:r>
            <w:r>
              <w:rPr>
                <w:b/>
                <w:sz w:val="14"/>
                <w:vertAlign w:val="subscript"/>
                <w:lang w:val="en-US"/>
              </w:rPr>
              <w:t>model</w:t>
            </w:r>
            <w:proofErr w:type="spellEnd"/>
            <w:r>
              <w:rPr>
                <w:b/>
                <w:sz w:val="14"/>
                <w:vertAlign w:val="subscript"/>
                <w:lang w:val="en-US"/>
              </w:rPr>
              <w:t>,</w:t>
            </w:r>
            <w:r>
              <w:rPr>
                <w:b/>
                <w:sz w:val="14"/>
                <w:lang w:val="en-US"/>
              </w:rPr>
              <w:t xml:space="preserve"> adjusted R²)</w:t>
            </w:r>
          </w:p>
        </w:tc>
        <w:tc>
          <w:tcPr>
            <w:tcW w:w="1842" w:type="dxa"/>
            <w:vAlign w:val="center"/>
          </w:tcPr>
          <w:p w:rsidR="00E6100A" w:rsidRDefault="0007747F">
            <w:pPr>
              <w:pStyle w:val="ListParagraph"/>
              <w:spacing w:line="480" w:lineRule="auto"/>
              <w:ind w:left="0"/>
              <w:jc w:val="center"/>
              <w:rPr>
                <w:b/>
                <w:sz w:val="20"/>
                <w:lang w:val="en-US"/>
              </w:rPr>
            </w:pPr>
            <w:r>
              <w:rPr>
                <w:b/>
                <w:sz w:val="20"/>
                <w:lang w:val="en-US"/>
              </w:rPr>
              <w:t>CSF-KLK8</w:t>
            </w:r>
          </w:p>
          <w:p w:rsidR="00E6100A" w:rsidRDefault="0007747F">
            <w:pPr>
              <w:pStyle w:val="ListParagraph"/>
              <w:spacing w:line="480" w:lineRule="auto"/>
              <w:ind w:left="0"/>
              <w:jc w:val="center"/>
              <w:rPr>
                <w:b/>
                <w:sz w:val="20"/>
                <w:lang w:val="en-US"/>
              </w:rPr>
            </w:pPr>
            <w:r>
              <w:rPr>
                <w:b/>
                <w:sz w:val="20"/>
                <w:lang w:val="en-US"/>
              </w:rPr>
              <w:t>model statistics</w:t>
            </w:r>
          </w:p>
          <w:p w:rsidR="00E6100A" w:rsidRDefault="0007747F">
            <w:pPr>
              <w:pStyle w:val="ListParagraph"/>
              <w:spacing w:line="480" w:lineRule="auto"/>
              <w:ind w:left="0"/>
              <w:jc w:val="center"/>
              <w:rPr>
                <w:b/>
                <w:sz w:val="20"/>
                <w:lang w:val="en-US"/>
              </w:rPr>
            </w:pPr>
            <w:r>
              <w:rPr>
                <w:b/>
                <w:sz w:val="14"/>
                <w:lang w:val="en-US"/>
              </w:rPr>
              <w:t>(</w:t>
            </w:r>
            <w:proofErr w:type="spellStart"/>
            <w:r>
              <w:rPr>
                <w:b/>
                <w:sz w:val="14"/>
                <w:lang w:val="en-US"/>
              </w:rPr>
              <w:t>p</w:t>
            </w:r>
            <w:r>
              <w:rPr>
                <w:b/>
                <w:sz w:val="14"/>
                <w:vertAlign w:val="subscript"/>
                <w:lang w:val="en-US"/>
              </w:rPr>
              <w:t>model</w:t>
            </w:r>
            <w:proofErr w:type="spellEnd"/>
            <w:r>
              <w:rPr>
                <w:b/>
                <w:sz w:val="14"/>
                <w:lang w:val="en-US"/>
              </w:rPr>
              <w:t>, adjusted R²)</w:t>
            </w:r>
          </w:p>
        </w:tc>
        <w:tc>
          <w:tcPr>
            <w:tcW w:w="1843" w:type="dxa"/>
            <w:vAlign w:val="center"/>
          </w:tcPr>
          <w:p w:rsidR="00E6100A" w:rsidRDefault="0007747F">
            <w:pPr>
              <w:pStyle w:val="ListParagraph"/>
              <w:spacing w:line="480" w:lineRule="auto"/>
              <w:ind w:left="0"/>
              <w:jc w:val="center"/>
              <w:rPr>
                <w:b/>
                <w:sz w:val="20"/>
                <w:lang w:val="en-US"/>
              </w:rPr>
            </w:pPr>
            <w:r>
              <w:rPr>
                <w:b/>
                <w:sz w:val="20"/>
                <w:lang w:val="en-US"/>
              </w:rPr>
              <w:t>CSF-KLK10</w:t>
            </w:r>
          </w:p>
          <w:p w:rsidR="00E6100A" w:rsidRDefault="0007747F">
            <w:pPr>
              <w:pStyle w:val="ListParagraph"/>
              <w:spacing w:line="480" w:lineRule="auto"/>
              <w:ind w:left="0"/>
              <w:jc w:val="center"/>
              <w:rPr>
                <w:b/>
                <w:sz w:val="20"/>
                <w:lang w:val="en-US"/>
              </w:rPr>
            </w:pPr>
            <w:r>
              <w:rPr>
                <w:b/>
                <w:sz w:val="20"/>
                <w:lang w:val="en-US"/>
              </w:rPr>
              <w:t>model statistics</w:t>
            </w:r>
          </w:p>
          <w:p w:rsidR="00E6100A" w:rsidRDefault="0007747F">
            <w:pPr>
              <w:pStyle w:val="ListParagraph"/>
              <w:spacing w:line="480" w:lineRule="auto"/>
              <w:ind w:left="0"/>
              <w:jc w:val="center"/>
              <w:rPr>
                <w:b/>
                <w:sz w:val="20"/>
                <w:lang w:val="en-US"/>
              </w:rPr>
            </w:pPr>
            <w:r>
              <w:rPr>
                <w:b/>
                <w:sz w:val="14"/>
                <w:lang w:val="en-US"/>
              </w:rPr>
              <w:t>(</w:t>
            </w:r>
            <w:proofErr w:type="spellStart"/>
            <w:r>
              <w:rPr>
                <w:b/>
                <w:sz w:val="14"/>
                <w:lang w:val="en-US"/>
              </w:rPr>
              <w:t>p</w:t>
            </w:r>
            <w:r>
              <w:rPr>
                <w:b/>
                <w:sz w:val="14"/>
                <w:vertAlign w:val="subscript"/>
                <w:lang w:val="en-US"/>
              </w:rPr>
              <w:t>model</w:t>
            </w:r>
            <w:proofErr w:type="spellEnd"/>
            <w:r>
              <w:rPr>
                <w:b/>
                <w:sz w:val="14"/>
                <w:vertAlign w:val="subscript"/>
                <w:lang w:val="en-US"/>
              </w:rPr>
              <w:t>,</w:t>
            </w:r>
            <w:r>
              <w:rPr>
                <w:b/>
                <w:sz w:val="14"/>
                <w:lang w:val="en-US"/>
              </w:rPr>
              <w:t xml:space="preserve"> adjusted R²)</w:t>
            </w:r>
          </w:p>
        </w:tc>
      </w:tr>
      <w:tr w:rsidR="00E6100A">
        <w:trPr>
          <w:trHeight w:val="920"/>
        </w:trPr>
        <w:tc>
          <w:tcPr>
            <w:tcW w:w="2552" w:type="dxa"/>
            <w:vAlign w:val="center"/>
          </w:tcPr>
          <w:p w:rsidR="00E6100A" w:rsidRDefault="0007747F">
            <w:pPr>
              <w:pStyle w:val="ListParagraph"/>
              <w:spacing w:line="480" w:lineRule="auto"/>
              <w:ind w:left="0"/>
              <w:jc w:val="center"/>
              <w:rPr>
                <w:rFonts w:cs="Arial"/>
                <w:bCs/>
                <w:color w:val="000000"/>
                <w:sz w:val="20"/>
                <w:vertAlign w:val="superscript"/>
                <w:lang w:val="en-US"/>
              </w:rPr>
            </w:pPr>
            <w:r>
              <w:rPr>
                <w:sz w:val="20"/>
                <w:lang w:val="en-US"/>
              </w:rPr>
              <w:t>C/cerebellum-</w:t>
            </w:r>
          </w:p>
          <w:p w:rsidR="00E6100A" w:rsidRDefault="0007747F">
            <w:pPr>
              <w:pStyle w:val="ListParagraph"/>
              <w:spacing w:line="480" w:lineRule="auto"/>
              <w:ind w:left="0"/>
              <w:jc w:val="center"/>
              <w:rPr>
                <w:sz w:val="20"/>
                <w:lang w:val="en-US"/>
              </w:rPr>
            </w:pPr>
            <w:r>
              <w:rPr>
                <w:rFonts w:cs="Arial"/>
                <w:bCs/>
                <w:color w:val="000000"/>
                <w:sz w:val="20"/>
                <w:lang w:val="en-US"/>
              </w:rPr>
              <w:t>[</w:t>
            </w:r>
            <w:r>
              <w:rPr>
                <w:rFonts w:cs="Arial"/>
                <w:bCs/>
                <w:color w:val="000000"/>
                <w:sz w:val="20"/>
                <w:vertAlign w:val="superscript"/>
                <w:lang w:val="en-US"/>
              </w:rPr>
              <w:t>18</w:t>
            </w:r>
            <w:r>
              <w:rPr>
                <w:rFonts w:cs="Arial"/>
                <w:bCs/>
                <w:color w:val="000000"/>
                <w:sz w:val="20"/>
                <w:lang w:val="en-US"/>
              </w:rPr>
              <w:t>F]</w:t>
            </w:r>
            <w:r>
              <w:rPr>
                <w:sz w:val="20"/>
                <w:lang w:val="en-US"/>
              </w:rPr>
              <w:t>FDG-PET signal</w:t>
            </w:r>
          </w:p>
        </w:tc>
        <w:tc>
          <w:tcPr>
            <w:tcW w:w="1985" w:type="dxa"/>
            <w:vAlign w:val="center"/>
          </w:tcPr>
          <w:p w:rsidR="00E6100A" w:rsidRDefault="0007747F">
            <w:pPr>
              <w:spacing w:line="480" w:lineRule="auto"/>
              <w:jc w:val="center"/>
              <w:rPr>
                <w:lang w:val="en-US"/>
              </w:rPr>
            </w:pPr>
            <w:r>
              <w:rPr>
                <w:lang w:val="en-US"/>
              </w:rPr>
              <w:t>p=0.638</w:t>
            </w:r>
          </w:p>
          <w:p w:rsidR="00E6100A" w:rsidRDefault="0007747F">
            <w:pPr>
              <w:spacing w:line="480" w:lineRule="auto"/>
              <w:jc w:val="center"/>
              <w:rPr>
                <w:lang w:val="en-US"/>
              </w:rPr>
            </w:pPr>
            <w:r>
              <w:rPr>
                <w:lang w:val="en-US"/>
              </w:rPr>
              <w:t>adj. R²=-0.063</w:t>
            </w:r>
          </w:p>
        </w:tc>
        <w:tc>
          <w:tcPr>
            <w:tcW w:w="1842" w:type="dxa"/>
            <w:vAlign w:val="center"/>
          </w:tcPr>
          <w:p w:rsidR="00E6100A" w:rsidRDefault="0007747F">
            <w:pPr>
              <w:spacing w:line="480" w:lineRule="auto"/>
              <w:jc w:val="center"/>
              <w:rPr>
                <w:lang w:val="en-US"/>
              </w:rPr>
            </w:pPr>
            <w:r>
              <w:rPr>
                <w:lang w:val="en-US"/>
              </w:rPr>
              <w:t>p=0.550</w:t>
            </w:r>
          </w:p>
          <w:p w:rsidR="00E6100A" w:rsidRDefault="0007747F">
            <w:pPr>
              <w:spacing w:line="480" w:lineRule="auto"/>
              <w:jc w:val="center"/>
              <w:rPr>
                <w:lang w:val="en-US"/>
              </w:rPr>
            </w:pPr>
            <w:r>
              <w:rPr>
                <w:lang w:val="en-US"/>
              </w:rPr>
              <w:t>adj. R²=-0.050</w:t>
            </w:r>
          </w:p>
        </w:tc>
        <w:tc>
          <w:tcPr>
            <w:tcW w:w="1843" w:type="dxa"/>
            <w:vAlign w:val="center"/>
          </w:tcPr>
          <w:p w:rsidR="00E6100A" w:rsidRDefault="0007747F">
            <w:pPr>
              <w:spacing w:line="480" w:lineRule="auto"/>
              <w:jc w:val="center"/>
              <w:rPr>
                <w:lang w:val="en-US"/>
              </w:rPr>
            </w:pPr>
            <w:r>
              <w:rPr>
                <w:lang w:val="en-US"/>
              </w:rPr>
              <w:t>p=0.639</w:t>
            </w:r>
          </w:p>
          <w:p w:rsidR="00E6100A" w:rsidRDefault="0007747F">
            <w:pPr>
              <w:spacing w:line="480" w:lineRule="auto"/>
              <w:jc w:val="center"/>
              <w:rPr>
                <w:lang w:val="en-US"/>
              </w:rPr>
            </w:pPr>
            <w:r>
              <w:rPr>
                <w:lang w:val="en-US"/>
              </w:rPr>
              <w:t>adj. R²=-0.063</w:t>
            </w:r>
          </w:p>
        </w:tc>
      </w:tr>
      <w:tr w:rsidR="00E6100A">
        <w:trPr>
          <w:trHeight w:val="920"/>
        </w:trPr>
        <w:tc>
          <w:tcPr>
            <w:tcW w:w="2552" w:type="dxa"/>
            <w:vAlign w:val="center"/>
          </w:tcPr>
          <w:p w:rsidR="00E6100A" w:rsidRDefault="0007747F">
            <w:pPr>
              <w:pStyle w:val="ListParagraph"/>
              <w:spacing w:line="480" w:lineRule="auto"/>
              <w:ind w:left="0"/>
              <w:jc w:val="center"/>
              <w:rPr>
                <w:sz w:val="20"/>
                <w:lang w:val="en-US"/>
              </w:rPr>
            </w:pPr>
            <w:r>
              <w:rPr>
                <w:sz w:val="20"/>
                <w:lang w:val="en-US"/>
              </w:rPr>
              <w:t>C/thalamus-</w:t>
            </w:r>
          </w:p>
          <w:p w:rsidR="00E6100A" w:rsidRDefault="0007747F">
            <w:pPr>
              <w:pStyle w:val="ListParagraph"/>
              <w:spacing w:line="480" w:lineRule="auto"/>
              <w:ind w:left="0"/>
              <w:jc w:val="center"/>
              <w:rPr>
                <w:sz w:val="20"/>
                <w:lang w:val="en-US"/>
              </w:rPr>
            </w:pPr>
            <w:r>
              <w:rPr>
                <w:rFonts w:cs="Arial"/>
                <w:bCs/>
                <w:color w:val="000000"/>
                <w:sz w:val="20"/>
                <w:lang w:val="en-US"/>
              </w:rPr>
              <w:t>[</w:t>
            </w:r>
            <w:r>
              <w:rPr>
                <w:rFonts w:cs="Arial"/>
                <w:bCs/>
                <w:color w:val="000000"/>
                <w:sz w:val="20"/>
                <w:vertAlign w:val="superscript"/>
                <w:lang w:val="en-US"/>
              </w:rPr>
              <w:t>18</w:t>
            </w:r>
            <w:r>
              <w:rPr>
                <w:rFonts w:cs="Arial"/>
                <w:bCs/>
                <w:color w:val="000000"/>
                <w:sz w:val="20"/>
                <w:lang w:val="en-US"/>
              </w:rPr>
              <w:t>F]</w:t>
            </w:r>
            <w:r>
              <w:rPr>
                <w:sz w:val="20"/>
                <w:lang w:val="en-US"/>
              </w:rPr>
              <w:t>FDG-PET signal</w:t>
            </w:r>
          </w:p>
        </w:tc>
        <w:tc>
          <w:tcPr>
            <w:tcW w:w="1985" w:type="dxa"/>
            <w:vAlign w:val="center"/>
          </w:tcPr>
          <w:p w:rsidR="00E6100A" w:rsidRDefault="0007747F">
            <w:pPr>
              <w:spacing w:line="480" w:lineRule="auto"/>
              <w:jc w:val="center"/>
              <w:rPr>
                <w:lang w:val="en-US"/>
              </w:rPr>
            </w:pPr>
            <w:r>
              <w:rPr>
                <w:lang w:val="en-US"/>
              </w:rPr>
              <w:t>p=0.534</w:t>
            </w:r>
          </w:p>
          <w:p w:rsidR="00E6100A" w:rsidRDefault="0007747F">
            <w:pPr>
              <w:spacing w:line="480" w:lineRule="auto"/>
              <w:jc w:val="center"/>
              <w:rPr>
                <w:lang w:val="en-US"/>
              </w:rPr>
            </w:pPr>
            <w:r>
              <w:rPr>
                <w:lang w:val="en-US"/>
              </w:rPr>
              <w:t>adj. R²=-0.048</w:t>
            </w:r>
          </w:p>
        </w:tc>
        <w:tc>
          <w:tcPr>
            <w:tcW w:w="1842" w:type="dxa"/>
            <w:vAlign w:val="center"/>
          </w:tcPr>
          <w:p w:rsidR="00E6100A" w:rsidRDefault="0007747F">
            <w:pPr>
              <w:spacing w:line="480" w:lineRule="auto"/>
              <w:jc w:val="center"/>
              <w:rPr>
                <w:lang w:val="en-US"/>
              </w:rPr>
            </w:pPr>
            <w:r>
              <w:rPr>
                <w:lang w:val="en-US"/>
              </w:rPr>
              <w:t>p=0.632</w:t>
            </w:r>
          </w:p>
          <w:p w:rsidR="00E6100A" w:rsidRDefault="0007747F">
            <w:pPr>
              <w:spacing w:line="480" w:lineRule="auto"/>
              <w:jc w:val="center"/>
              <w:rPr>
                <w:lang w:val="en-US"/>
              </w:rPr>
            </w:pPr>
            <w:r>
              <w:rPr>
                <w:lang w:val="en-US"/>
              </w:rPr>
              <w:t>adj. R²=-0.062</w:t>
            </w:r>
          </w:p>
        </w:tc>
        <w:tc>
          <w:tcPr>
            <w:tcW w:w="1843" w:type="dxa"/>
            <w:vAlign w:val="center"/>
          </w:tcPr>
          <w:p w:rsidR="00E6100A" w:rsidRDefault="00E6100A">
            <w:pPr>
              <w:spacing w:line="480" w:lineRule="auto"/>
              <w:jc w:val="center"/>
              <w:rPr>
                <w:lang w:val="en-US"/>
              </w:rPr>
            </w:pPr>
          </w:p>
          <w:p w:rsidR="00E6100A" w:rsidRDefault="0007747F">
            <w:pPr>
              <w:spacing w:line="480" w:lineRule="auto"/>
              <w:jc w:val="center"/>
              <w:rPr>
                <w:lang w:val="en-US"/>
              </w:rPr>
            </w:pPr>
            <w:r>
              <w:rPr>
                <w:lang w:val="en-US"/>
              </w:rPr>
              <w:t>p=0.069</w:t>
            </w:r>
          </w:p>
          <w:p w:rsidR="00E6100A" w:rsidRDefault="0007747F">
            <w:pPr>
              <w:spacing w:line="480" w:lineRule="auto"/>
              <w:jc w:val="center"/>
              <w:rPr>
                <w:lang w:val="en-US"/>
              </w:rPr>
            </w:pPr>
            <w:r>
              <w:rPr>
                <w:lang w:val="en-US"/>
              </w:rPr>
              <w:t>adj. R²=0.187</w:t>
            </w:r>
          </w:p>
        </w:tc>
      </w:tr>
      <w:tr w:rsidR="00E6100A">
        <w:trPr>
          <w:trHeight w:val="920"/>
        </w:trPr>
        <w:tc>
          <w:tcPr>
            <w:tcW w:w="2552" w:type="dxa"/>
            <w:vAlign w:val="center"/>
          </w:tcPr>
          <w:p w:rsidR="00E6100A" w:rsidRDefault="0007747F">
            <w:pPr>
              <w:pStyle w:val="ListParagraph"/>
              <w:spacing w:line="480" w:lineRule="auto"/>
              <w:ind w:left="0"/>
              <w:jc w:val="center"/>
              <w:rPr>
                <w:sz w:val="20"/>
                <w:lang w:val="en-US"/>
              </w:rPr>
            </w:pPr>
            <w:r>
              <w:rPr>
                <w:sz w:val="20"/>
                <w:lang w:val="en-US"/>
              </w:rPr>
              <w:t>C/pons-</w:t>
            </w:r>
          </w:p>
          <w:p w:rsidR="00E6100A" w:rsidRDefault="0007747F">
            <w:pPr>
              <w:pStyle w:val="ListParagraph"/>
              <w:spacing w:line="480" w:lineRule="auto"/>
              <w:ind w:left="0"/>
              <w:jc w:val="center"/>
              <w:rPr>
                <w:sz w:val="20"/>
                <w:lang w:val="en-US"/>
              </w:rPr>
            </w:pPr>
            <w:r>
              <w:rPr>
                <w:rFonts w:cs="Arial"/>
                <w:bCs/>
                <w:color w:val="000000"/>
                <w:sz w:val="20"/>
                <w:lang w:val="en-US"/>
              </w:rPr>
              <w:t>[</w:t>
            </w:r>
            <w:r>
              <w:rPr>
                <w:rFonts w:cs="Arial"/>
                <w:bCs/>
                <w:color w:val="000000"/>
                <w:sz w:val="20"/>
                <w:vertAlign w:val="superscript"/>
                <w:lang w:val="en-US"/>
              </w:rPr>
              <w:t>18</w:t>
            </w:r>
            <w:r>
              <w:rPr>
                <w:rFonts w:cs="Arial"/>
                <w:bCs/>
                <w:color w:val="000000"/>
                <w:sz w:val="20"/>
                <w:lang w:val="en-US"/>
              </w:rPr>
              <w:t>F</w:t>
            </w:r>
            <w:r>
              <w:rPr>
                <w:rFonts w:cs="Arial"/>
                <w:bCs/>
                <w:color w:val="000000"/>
                <w:sz w:val="20"/>
                <w:vertAlign w:val="superscript"/>
                <w:lang w:val="en-US"/>
              </w:rPr>
              <w:t>]</w:t>
            </w:r>
            <w:r>
              <w:rPr>
                <w:sz w:val="20"/>
                <w:lang w:val="en-US"/>
              </w:rPr>
              <w:t>FDG-PET signal</w:t>
            </w:r>
          </w:p>
        </w:tc>
        <w:tc>
          <w:tcPr>
            <w:tcW w:w="1985" w:type="dxa"/>
            <w:vAlign w:val="center"/>
          </w:tcPr>
          <w:p w:rsidR="00E6100A" w:rsidRDefault="0007747F">
            <w:pPr>
              <w:spacing w:line="480" w:lineRule="auto"/>
              <w:jc w:val="center"/>
              <w:rPr>
                <w:lang w:val="en-US"/>
              </w:rPr>
            </w:pPr>
            <w:r>
              <w:rPr>
                <w:lang w:val="en-US"/>
              </w:rPr>
              <w:t>p=0.167</w:t>
            </w:r>
          </w:p>
          <w:p w:rsidR="00E6100A" w:rsidRDefault="0007747F">
            <w:pPr>
              <w:spacing w:line="480" w:lineRule="auto"/>
              <w:jc w:val="center"/>
              <w:rPr>
                <w:lang w:val="en-US"/>
              </w:rPr>
            </w:pPr>
            <w:r>
              <w:rPr>
                <w:lang w:val="en-US"/>
              </w:rPr>
              <w:t>adj. R²=0.187</w:t>
            </w:r>
          </w:p>
        </w:tc>
        <w:tc>
          <w:tcPr>
            <w:tcW w:w="1842" w:type="dxa"/>
            <w:vAlign w:val="center"/>
          </w:tcPr>
          <w:p w:rsidR="00E6100A" w:rsidRDefault="0007747F">
            <w:pPr>
              <w:spacing w:line="480" w:lineRule="auto"/>
              <w:jc w:val="center"/>
              <w:rPr>
                <w:lang w:val="en-US"/>
              </w:rPr>
            </w:pPr>
            <w:r>
              <w:rPr>
                <w:lang w:val="en-US"/>
              </w:rPr>
              <w:t>p=0.574</w:t>
            </w:r>
          </w:p>
          <w:p w:rsidR="00E6100A" w:rsidRDefault="0007747F">
            <w:pPr>
              <w:spacing w:line="480" w:lineRule="auto"/>
              <w:jc w:val="center"/>
              <w:rPr>
                <w:lang w:val="en-US"/>
              </w:rPr>
            </w:pPr>
            <w:r>
              <w:rPr>
                <w:lang w:val="en-US"/>
              </w:rPr>
              <w:t>adj. R²=-0.054</w:t>
            </w:r>
          </w:p>
        </w:tc>
        <w:tc>
          <w:tcPr>
            <w:tcW w:w="1843" w:type="dxa"/>
            <w:vAlign w:val="center"/>
          </w:tcPr>
          <w:p w:rsidR="00E6100A" w:rsidRDefault="0007747F">
            <w:pPr>
              <w:spacing w:line="480" w:lineRule="auto"/>
              <w:jc w:val="center"/>
              <w:rPr>
                <w:lang w:val="en-US"/>
              </w:rPr>
            </w:pPr>
            <w:r>
              <w:rPr>
                <w:lang w:val="en-US"/>
              </w:rPr>
              <w:t>p=0.294</w:t>
            </w:r>
          </w:p>
          <w:p w:rsidR="00E6100A" w:rsidRDefault="0007747F">
            <w:pPr>
              <w:spacing w:line="480" w:lineRule="auto"/>
              <w:jc w:val="center"/>
              <w:rPr>
                <w:lang w:val="en-US"/>
              </w:rPr>
            </w:pPr>
            <w:r>
              <w:rPr>
                <w:lang w:val="en-US"/>
              </w:rPr>
              <w:t>adj. R²=0.015</w:t>
            </w:r>
          </w:p>
        </w:tc>
      </w:tr>
      <w:tr w:rsidR="00E6100A">
        <w:trPr>
          <w:trHeight w:val="920"/>
        </w:trPr>
        <w:tc>
          <w:tcPr>
            <w:tcW w:w="2552" w:type="dxa"/>
            <w:vAlign w:val="center"/>
          </w:tcPr>
          <w:p w:rsidR="00E6100A" w:rsidRDefault="0007747F">
            <w:pPr>
              <w:pStyle w:val="ListParagraph"/>
              <w:spacing w:line="480" w:lineRule="auto"/>
              <w:ind w:left="0"/>
              <w:jc w:val="center"/>
              <w:rPr>
                <w:sz w:val="20"/>
                <w:lang w:val="en-US"/>
              </w:rPr>
            </w:pPr>
            <w:r>
              <w:rPr>
                <w:sz w:val="20"/>
                <w:lang w:val="en-US"/>
              </w:rPr>
              <w:t>C/vermis-</w:t>
            </w:r>
          </w:p>
          <w:p w:rsidR="00E6100A" w:rsidRDefault="0007747F">
            <w:pPr>
              <w:pStyle w:val="ListParagraph"/>
              <w:spacing w:line="480" w:lineRule="auto"/>
              <w:ind w:left="0"/>
              <w:jc w:val="center"/>
              <w:rPr>
                <w:sz w:val="20"/>
                <w:lang w:val="en-US"/>
              </w:rPr>
            </w:pPr>
            <w:r>
              <w:rPr>
                <w:rFonts w:cs="Arial"/>
                <w:sz w:val="20"/>
                <w:lang w:val="en-US"/>
              </w:rPr>
              <w:t>[</w:t>
            </w:r>
            <w:r>
              <w:rPr>
                <w:rFonts w:cs="Arial"/>
                <w:sz w:val="20"/>
                <w:vertAlign w:val="superscript"/>
                <w:lang w:val="en-US"/>
              </w:rPr>
              <w:t>11</w:t>
            </w:r>
            <w:r>
              <w:rPr>
                <w:rFonts w:cs="Arial"/>
                <w:sz w:val="20"/>
                <w:lang w:val="en-US"/>
              </w:rPr>
              <w:t>C]</w:t>
            </w:r>
            <w:proofErr w:type="spellStart"/>
            <w:r>
              <w:rPr>
                <w:sz w:val="20"/>
                <w:lang w:val="en-US"/>
              </w:rPr>
              <w:t>PiB</w:t>
            </w:r>
            <w:proofErr w:type="spellEnd"/>
            <w:r>
              <w:rPr>
                <w:sz w:val="20"/>
                <w:lang w:val="en-US"/>
              </w:rPr>
              <w:t>-PET signal</w:t>
            </w:r>
          </w:p>
        </w:tc>
        <w:tc>
          <w:tcPr>
            <w:tcW w:w="1985" w:type="dxa"/>
            <w:vAlign w:val="center"/>
          </w:tcPr>
          <w:p w:rsidR="00E6100A" w:rsidRDefault="0007747F">
            <w:pPr>
              <w:spacing w:line="480" w:lineRule="auto"/>
              <w:jc w:val="center"/>
              <w:rPr>
                <w:lang w:val="en-US"/>
              </w:rPr>
            </w:pPr>
            <w:r>
              <w:rPr>
                <w:lang w:val="en-US"/>
              </w:rPr>
              <w:t>p=0.573</w:t>
            </w:r>
          </w:p>
          <w:p w:rsidR="00E6100A" w:rsidRDefault="0007747F">
            <w:pPr>
              <w:spacing w:line="480" w:lineRule="auto"/>
              <w:jc w:val="center"/>
              <w:rPr>
                <w:lang w:val="en-US"/>
              </w:rPr>
            </w:pPr>
            <w:r>
              <w:rPr>
                <w:lang w:val="en-US"/>
              </w:rPr>
              <w:t>adj. R²=-0.048</w:t>
            </w:r>
          </w:p>
        </w:tc>
        <w:tc>
          <w:tcPr>
            <w:tcW w:w="1842" w:type="dxa"/>
            <w:vAlign w:val="center"/>
          </w:tcPr>
          <w:p w:rsidR="00E6100A" w:rsidRDefault="0007747F">
            <w:pPr>
              <w:spacing w:line="480" w:lineRule="auto"/>
              <w:jc w:val="center"/>
              <w:rPr>
                <w:lang w:val="en-US"/>
              </w:rPr>
            </w:pPr>
            <w:r>
              <w:rPr>
                <w:lang w:val="en-US"/>
              </w:rPr>
              <w:t>p=0.508</w:t>
            </w:r>
          </w:p>
          <w:p w:rsidR="00E6100A" w:rsidRDefault="0007747F">
            <w:pPr>
              <w:spacing w:line="480" w:lineRule="auto"/>
              <w:jc w:val="center"/>
              <w:rPr>
                <w:lang w:val="en-US"/>
              </w:rPr>
            </w:pPr>
            <w:r>
              <w:rPr>
                <w:lang w:val="en-US"/>
              </w:rPr>
              <w:t>adj. R²= -0.043</w:t>
            </w:r>
          </w:p>
        </w:tc>
        <w:tc>
          <w:tcPr>
            <w:tcW w:w="1843" w:type="dxa"/>
            <w:vAlign w:val="center"/>
          </w:tcPr>
          <w:p w:rsidR="00E6100A" w:rsidRDefault="0007747F">
            <w:pPr>
              <w:spacing w:line="480" w:lineRule="auto"/>
              <w:jc w:val="center"/>
              <w:rPr>
                <w:lang w:val="en-US"/>
              </w:rPr>
            </w:pPr>
            <w:r>
              <w:rPr>
                <w:lang w:val="en-US"/>
              </w:rPr>
              <w:t>p=0.678</w:t>
            </w:r>
          </w:p>
          <w:p w:rsidR="00E6100A" w:rsidRDefault="0007747F">
            <w:pPr>
              <w:spacing w:line="480" w:lineRule="auto"/>
              <w:jc w:val="center"/>
              <w:rPr>
                <w:lang w:val="en-US"/>
              </w:rPr>
            </w:pPr>
            <w:r>
              <w:rPr>
                <w:lang w:val="en-US"/>
              </w:rPr>
              <w:t>adj. R²=-0.067</w:t>
            </w:r>
          </w:p>
        </w:tc>
      </w:tr>
    </w:tbl>
    <w:p w:rsidR="00E6100A" w:rsidRDefault="00E6100A">
      <w:pPr>
        <w:spacing w:line="480" w:lineRule="auto"/>
        <w:rPr>
          <w:lang w:val="en-US"/>
        </w:rPr>
      </w:pPr>
    </w:p>
    <w:p w:rsidR="00E6100A" w:rsidRDefault="0007747F">
      <w:pPr>
        <w:spacing w:line="480" w:lineRule="auto"/>
        <w:rPr>
          <w:rFonts w:ascii="Arial" w:hAnsi="Arial" w:cs="Arial"/>
          <w:sz w:val="24"/>
          <w:szCs w:val="24"/>
          <w:lang w:val="en-US"/>
        </w:rPr>
      </w:pPr>
      <w:r>
        <w:rPr>
          <w:rFonts w:ascii="Arial" w:hAnsi="Arial" w:cs="Arial"/>
          <w:sz w:val="24"/>
          <w:szCs w:val="24"/>
          <w:lang w:val="en-US"/>
        </w:rPr>
        <w:t xml:space="preserve">Legend to </w:t>
      </w:r>
      <w:r w:rsidR="00DB0ED8" w:rsidRPr="0000061E">
        <w:rPr>
          <w:rFonts w:ascii="Arial" w:hAnsi="Arial" w:cs="Arial"/>
          <w:color w:val="000000" w:themeColor="text1"/>
          <w:sz w:val="24"/>
          <w:szCs w:val="24"/>
          <w:lang w:val="en-US"/>
        </w:rPr>
        <w:t>T</w:t>
      </w:r>
      <w:r w:rsidRPr="0000061E">
        <w:rPr>
          <w:rFonts w:ascii="Arial" w:hAnsi="Arial" w:cs="Arial"/>
          <w:color w:val="000000" w:themeColor="text1"/>
          <w:sz w:val="24"/>
          <w:szCs w:val="24"/>
          <w:lang w:val="en-US"/>
        </w:rPr>
        <w:t xml:space="preserve">able </w:t>
      </w:r>
      <w:r w:rsidR="00DB0ED8">
        <w:rPr>
          <w:rFonts w:ascii="Arial" w:hAnsi="Arial" w:cs="Arial"/>
          <w:color w:val="000000" w:themeColor="text1"/>
          <w:sz w:val="24"/>
          <w:szCs w:val="24"/>
          <w:lang w:val="en-US"/>
        </w:rPr>
        <w:t>S</w:t>
      </w:r>
      <w:r w:rsidRPr="0000061E">
        <w:rPr>
          <w:rFonts w:ascii="Arial" w:hAnsi="Arial" w:cs="Arial"/>
          <w:color w:val="000000" w:themeColor="text1"/>
          <w:sz w:val="24"/>
          <w:szCs w:val="24"/>
          <w:lang w:val="en-US"/>
        </w:rPr>
        <w:t xml:space="preserve">3: linear regression models of different normalized global PET uptake signals as depended variable and </w:t>
      </w:r>
      <w:r>
        <w:rPr>
          <w:rFonts w:ascii="Arial" w:hAnsi="Arial" w:cs="Arial"/>
          <w:sz w:val="24"/>
          <w:szCs w:val="24"/>
          <w:lang w:val="en-US"/>
        </w:rPr>
        <w:t xml:space="preserve">each </w:t>
      </w:r>
      <w:proofErr w:type="gramStart"/>
      <w:r>
        <w:rPr>
          <w:rFonts w:ascii="Arial" w:hAnsi="Arial" w:cs="Arial"/>
          <w:sz w:val="24"/>
          <w:szCs w:val="24"/>
          <w:lang w:val="en-US"/>
        </w:rPr>
        <w:t>KLKs</w:t>
      </w:r>
      <w:proofErr w:type="gramEnd"/>
      <w:r>
        <w:rPr>
          <w:rFonts w:ascii="Arial" w:hAnsi="Arial" w:cs="Arial"/>
          <w:sz w:val="24"/>
          <w:szCs w:val="24"/>
          <w:lang w:val="en-US"/>
        </w:rPr>
        <w:t xml:space="preserve"> each as independent variable without </w:t>
      </w:r>
      <w:proofErr w:type="spellStart"/>
      <w:r>
        <w:rPr>
          <w:rFonts w:ascii="Arial" w:hAnsi="Arial" w:cs="Arial"/>
          <w:sz w:val="24"/>
          <w:szCs w:val="24"/>
          <w:lang w:val="en-US"/>
        </w:rPr>
        <w:t>covariables</w:t>
      </w:r>
      <w:proofErr w:type="spellEnd"/>
      <w:r>
        <w:rPr>
          <w:rFonts w:ascii="Arial" w:hAnsi="Arial" w:cs="Arial"/>
          <w:sz w:val="24"/>
          <w:szCs w:val="24"/>
          <w:lang w:val="en-US"/>
        </w:rPr>
        <w:t xml:space="preserve"> included. None of these analyses reached statistical significance (p&lt; 0.05).</w:t>
      </w:r>
    </w:p>
    <w:p w:rsidR="00E6100A" w:rsidRDefault="00E6100A">
      <w:pPr>
        <w:spacing w:line="480" w:lineRule="auto"/>
        <w:rPr>
          <w:rFonts w:cs="Arial"/>
          <w:color w:val="000000"/>
          <w:lang w:val="en-US"/>
        </w:rPr>
      </w:pPr>
    </w:p>
    <w:p w:rsidR="00E6100A" w:rsidRDefault="00DB0ED8">
      <w:pPr>
        <w:rPr>
          <w:rFonts w:ascii="Arial" w:hAnsi="Arial" w:cs="Arial"/>
          <w:sz w:val="24"/>
          <w:szCs w:val="24"/>
          <w:u w:val="single"/>
          <w:lang w:val="en-US"/>
        </w:rPr>
      </w:pPr>
      <w:r>
        <w:rPr>
          <w:rFonts w:ascii="Arial" w:hAnsi="Arial" w:cs="Arial"/>
          <w:sz w:val="24"/>
          <w:szCs w:val="24"/>
          <w:u w:val="single"/>
          <w:lang w:val="en-US"/>
        </w:rPr>
        <w:t>T</w:t>
      </w:r>
      <w:r w:rsidR="0007747F">
        <w:rPr>
          <w:rFonts w:ascii="Arial" w:hAnsi="Arial" w:cs="Arial"/>
          <w:sz w:val="24"/>
          <w:szCs w:val="24"/>
          <w:u w:val="single"/>
          <w:lang w:val="en-US"/>
        </w:rPr>
        <w:t xml:space="preserve">able </w:t>
      </w:r>
      <w:r>
        <w:rPr>
          <w:rFonts w:ascii="Arial" w:hAnsi="Arial" w:cs="Arial"/>
          <w:sz w:val="24"/>
          <w:szCs w:val="24"/>
          <w:u w:val="single"/>
          <w:lang w:val="en-US"/>
        </w:rPr>
        <w:t>S</w:t>
      </w:r>
      <w:r w:rsidR="0007747F">
        <w:rPr>
          <w:rFonts w:ascii="Arial" w:hAnsi="Arial" w:cs="Arial"/>
          <w:sz w:val="24"/>
          <w:szCs w:val="24"/>
          <w:u w:val="single"/>
          <w:lang w:val="en-US"/>
        </w:rPr>
        <w:t>4</w:t>
      </w:r>
    </w:p>
    <w:p w:rsidR="00E6100A" w:rsidRDefault="0007747F">
      <w:pPr>
        <w:pStyle w:val="ListParagraph"/>
        <w:numPr>
          <w:ilvl w:val="0"/>
          <w:numId w:val="1"/>
        </w:numPr>
        <w:spacing w:line="480" w:lineRule="auto"/>
        <w:ind w:left="0"/>
        <w:rPr>
          <w:lang w:val="en-US"/>
        </w:rPr>
      </w:pPr>
      <w:r>
        <w:rPr>
          <w:lang w:val="en-US"/>
        </w:rPr>
        <w:t xml:space="preserve">Cluster distribution of the association of CSF-KLK6 with the cerebral amyloid controlled for </w:t>
      </w:r>
      <w:proofErr w:type="spellStart"/>
      <w:r>
        <w:rPr>
          <w:lang w:val="en-US"/>
        </w:rPr>
        <w:t>ApoE</w:t>
      </w:r>
      <w:proofErr w:type="spellEnd"/>
      <w:r>
        <w:rPr>
          <w:lang w:val="en-US"/>
        </w:rPr>
        <w:t xml:space="preserve"> </w:t>
      </w:r>
      <w:r>
        <w:rPr>
          <w:rFonts w:cs="Arial"/>
          <w:lang w:val="en-US"/>
        </w:rPr>
        <w:t>ε</w:t>
      </w:r>
      <w:r>
        <w:rPr>
          <w:lang w:val="en-US"/>
        </w:rPr>
        <w:t>4 allele frequency</w:t>
      </w:r>
    </w:p>
    <w:tbl>
      <w:tblPr>
        <w:tblStyle w:val="TableGrid"/>
        <w:tblW w:w="8359" w:type="dxa"/>
        <w:tblLayout w:type="fixed"/>
        <w:tblLook w:val="04A0" w:firstRow="1" w:lastRow="0" w:firstColumn="1" w:lastColumn="0" w:noHBand="0" w:noVBand="1"/>
      </w:tblPr>
      <w:tblGrid>
        <w:gridCol w:w="3256"/>
        <w:gridCol w:w="1701"/>
        <w:gridCol w:w="1701"/>
        <w:gridCol w:w="1701"/>
      </w:tblGrid>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Cluster of 52321 voxels</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 Cluster</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 Label</w:t>
            </w:r>
          </w:p>
        </w:tc>
        <w:tc>
          <w:tcPr>
            <w:tcW w:w="1701" w:type="dxa"/>
          </w:tcPr>
          <w:p w:rsidR="00E6100A" w:rsidRDefault="0007747F">
            <w:pPr>
              <w:spacing w:line="480" w:lineRule="auto"/>
              <w:jc w:val="center"/>
              <w:rPr>
                <w:rFonts w:ascii="Arial" w:hAnsi="Arial" w:cs="Arial"/>
                <w:sz w:val="24"/>
                <w:szCs w:val="24"/>
                <w:lang w:val="en-US"/>
              </w:rPr>
            </w:pPr>
            <w:proofErr w:type="spellStart"/>
            <w:r>
              <w:rPr>
                <w:rFonts w:ascii="Arial" w:hAnsi="Arial" w:cs="Arial"/>
                <w:sz w:val="24"/>
                <w:szCs w:val="24"/>
                <w:lang w:val="en-US"/>
              </w:rPr>
              <w:t>Nb</w:t>
            </w:r>
            <w:proofErr w:type="spellEnd"/>
            <w:r>
              <w:rPr>
                <w:rFonts w:ascii="Arial" w:hAnsi="Arial" w:cs="Arial"/>
                <w:sz w:val="24"/>
                <w:szCs w:val="24"/>
                <w:lang w:val="en-US"/>
              </w:rPr>
              <w:t xml:space="preserve"> </w:t>
            </w:r>
            <w:proofErr w:type="spellStart"/>
            <w:r>
              <w:rPr>
                <w:rFonts w:ascii="Arial" w:hAnsi="Arial" w:cs="Arial"/>
                <w:sz w:val="24"/>
                <w:szCs w:val="24"/>
                <w:lang w:val="en-US"/>
              </w:rPr>
              <w:t>Vx</w:t>
            </w:r>
            <w:proofErr w:type="spellEnd"/>
            <w:r>
              <w:rPr>
                <w:rFonts w:ascii="Arial" w:hAnsi="Arial" w:cs="Arial"/>
                <w:sz w:val="24"/>
                <w:szCs w:val="24"/>
                <w:lang w:val="en-US"/>
              </w:rPr>
              <w:t xml:space="preserve"> Label</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Temporal, right inferior</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4.67</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68.71</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3557</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Occipital, mid left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3.46</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55.35</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3270</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Temporal, mid left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3.36</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35.35</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4942</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Precentral, left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3.34</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49.63</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3526</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Temporal, mid right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3.19</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37.90</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4409</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Occipital, mid right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2.77</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69.11</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2098</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Parietal, sup left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2.66</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67.41</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2065</w:t>
            </w:r>
          </w:p>
        </w:tc>
      </w:tr>
      <w:tr w:rsidR="00E6100A">
        <w:tc>
          <w:tcPr>
            <w:tcW w:w="3256" w:type="dxa"/>
          </w:tcPr>
          <w:p w:rsidR="00E6100A" w:rsidRDefault="0007747F">
            <w:pPr>
              <w:spacing w:line="480" w:lineRule="auto"/>
              <w:rPr>
                <w:rFonts w:ascii="Arial" w:hAnsi="Arial" w:cs="Arial"/>
                <w:sz w:val="24"/>
                <w:szCs w:val="24"/>
                <w:lang w:val="en-US"/>
              </w:rPr>
            </w:pPr>
            <w:proofErr w:type="spellStart"/>
            <w:r>
              <w:rPr>
                <w:rFonts w:ascii="Arial" w:hAnsi="Arial" w:cs="Arial"/>
                <w:sz w:val="24"/>
                <w:szCs w:val="24"/>
                <w:lang w:val="en-US"/>
              </w:rPr>
              <w:t>Cerebelum</w:t>
            </w:r>
            <w:proofErr w:type="spellEnd"/>
            <w:r>
              <w:rPr>
                <w:rFonts w:ascii="Arial" w:hAnsi="Arial" w:cs="Arial"/>
                <w:sz w:val="24"/>
                <w:szCs w:val="24"/>
                <w:lang w:val="en-US"/>
              </w:rPr>
              <w:t xml:space="preserve"> Crus, left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2.39</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48.10</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2603</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Precentral, left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3.34</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49.63</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3526</w:t>
            </w:r>
          </w:p>
        </w:tc>
      </w:tr>
      <w:tr w:rsidR="00E6100A">
        <w:tc>
          <w:tcPr>
            <w:tcW w:w="3256" w:type="dxa"/>
          </w:tcPr>
          <w:p w:rsidR="00E6100A" w:rsidRDefault="0007747F">
            <w:pPr>
              <w:spacing w:line="480" w:lineRule="auto"/>
              <w:rPr>
                <w:rFonts w:ascii="Arial" w:hAnsi="Arial" w:cs="Arial"/>
                <w:sz w:val="24"/>
                <w:szCs w:val="24"/>
                <w:lang w:val="en-US"/>
              </w:rPr>
            </w:pPr>
            <w:proofErr w:type="spellStart"/>
            <w:r>
              <w:rPr>
                <w:rFonts w:ascii="Arial" w:hAnsi="Arial" w:cs="Arial"/>
                <w:sz w:val="24"/>
                <w:szCs w:val="24"/>
                <w:lang w:val="en-US"/>
              </w:rPr>
              <w:t>Precuneus</w:t>
            </w:r>
            <w:proofErr w:type="spellEnd"/>
            <w:r>
              <w:rPr>
                <w:rFonts w:ascii="Arial" w:hAnsi="Arial" w:cs="Arial"/>
                <w:sz w:val="24"/>
                <w:szCs w:val="24"/>
                <w:lang w:val="en-US"/>
              </w:rPr>
              <w:t>, left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2.33</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36.92</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3381</w:t>
            </w:r>
          </w:p>
        </w:tc>
      </w:tr>
      <w:tr w:rsidR="00E6100A">
        <w:tc>
          <w:tcPr>
            <w:tcW w:w="3256" w:type="dxa"/>
          </w:tcPr>
          <w:p w:rsidR="00E6100A" w:rsidRDefault="0007747F">
            <w:pPr>
              <w:spacing w:line="480" w:lineRule="auto"/>
              <w:rPr>
                <w:rFonts w:ascii="Arial" w:hAnsi="Arial" w:cs="Arial"/>
                <w:sz w:val="24"/>
                <w:szCs w:val="24"/>
                <w:lang w:val="en-US"/>
              </w:rPr>
            </w:pPr>
            <w:proofErr w:type="spellStart"/>
            <w:r>
              <w:rPr>
                <w:rFonts w:ascii="Arial" w:hAnsi="Arial" w:cs="Arial"/>
                <w:sz w:val="24"/>
                <w:szCs w:val="24"/>
                <w:lang w:val="en-US"/>
              </w:rPr>
              <w:t>Calcarine</w:t>
            </w:r>
            <w:proofErr w:type="spellEnd"/>
            <w:r>
              <w:rPr>
                <w:rFonts w:ascii="Arial" w:hAnsi="Arial" w:cs="Arial"/>
                <w:sz w:val="24"/>
                <w:szCs w:val="24"/>
                <w:lang w:val="en-US"/>
              </w:rPr>
              <w:t>, left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2.33</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50.74</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2300</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Precentral, right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2.33</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36.02</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3381</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Lingual, right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2.23</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50.74</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2300</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Parietal superior, right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2.17</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51.13</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2222</w:t>
            </w:r>
          </w:p>
        </w:tc>
      </w:tr>
      <w:tr w:rsidR="00E6100A">
        <w:tc>
          <w:tcPr>
            <w:tcW w:w="3256" w:type="dxa"/>
          </w:tcPr>
          <w:p w:rsidR="00E6100A" w:rsidRDefault="0007747F">
            <w:pPr>
              <w:spacing w:line="480" w:lineRule="auto"/>
              <w:rPr>
                <w:rFonts w:ascii="Arial" w:hAnsi="Arial" w:cs="Arial"/>
                <w:sz w:val="24"/>
                <w:szCs w:val="24"/>
                <w:lang w:val="en-US"/>
              </w:rPr>
            </w:pPr>
            <w:proofErr w:type="spellStart"/>
            <w:r>
              <w:rPr>
                <w:rFonts w:ascii="Arial" w:hAnsi="Arial" w:cs="Arial"/>
                <w:sz w:val="24"/>
                <w:szCs w:val="24"/>
                <w:lang w:val="en-US"/>
              </w:rPr>
              <w:lastRenderedPageBreak/>
              <w:t>Calcarine</w:t>
            </w:r>
            <w:proofErr w:type="spellEnd"/>
            <w:r>
              <w:rPr>
                <w:rFonts w:ascii="Arial" w:hAnsi="Arial" w:cs="Arial"/>
                <w:sz w:val="24"/>
                <w:szCs w:val="24"/>
                <w:lang w:val="en-US"/>
              </w:rPr>
              <w:t>, right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2.14</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60.24</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1861</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Frontal, mid right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2.09</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22.51</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4860</w:t>
            </w:r>
          </w:p>
        </w:tc>
      </w:tr>
      <w:tr w:rsidR="00E6100A">
        <w:tc>
          <w:tcPr>
            <w:tcW w:w="3256"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Temporal, inferior left</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1.94</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39.91</w:t>
            </w:r>
          </w:p>
        </w:tc>
        <w:tc>
          <w:tcPr>
            <w:tcW w:w="1701"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2518</w:t>
            </w:r>
          </w:p>
        </w:tc>
      </w:tr>
    </w:tbl>
    <w:p w:rsidR="00E6100A" w:rsidRDefault="00E6100A">
      <w:pPr>
        <w:spacing w:line="480" w:lineRule="auto"/>
        <w:rPr>
          <w:lang w:val="en-US"/>
        </w:rPr>
      </w:pPr>
    </w:p>
    <w:p w:rsidR="00E6100A" w:rsidRDefault="0007747F">
      <w:pPr>
        <w:pStyle w:val="ListParagraph"/>
        <w:numPr>
          <w:ilvl w:val="0"/>
          <w:numId w:val="1"/>
        </w:numPr>
        <w:spacing w:line="480" w:lineRule="auto"/>
        <w:ind w:left="0"/>
        <w:rPr>
          <w:lang w:val="en-US"/>
        </w:rPr>
      </w:pPr>
      <w:r>
        <w:rPr>
          <w:lang w:val="en-US"/>
        </w:rPr>
        <w:t>Cluster distribution of the association of CSF-KLK6 with the cerebral glucose metabolism</w:t>
      </w:r>
    </w:p>
    <w:tbl>
      <w:tblPr>
        <w:tblStyle w:val="TableGrid"/>
        <w:tblW w:w="8359" w:type="dxa"/>
        <w:tblLayout w:type="fixed"/>
        <w:tblLook w:val="04A0" w:firstRow="1" w:lastRow="0" w:firstColumn="1" w:lastColumn="0" w:noHBand="0" w:noVBand="1"/>
      </w:tblPr>
      <w:tblGrid>
        <w:gridCol w:w="3231"/>
        <w:gridCol w:w="1710"/>
        <w:gridCol w:w="1708"/>
        <w:gridCol w:w="1710"/>
      </w:tblGrid>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Cluster of 20840 voxels</w:t>
            </w:r>
          </w:p>
        </w:tc>
        <w:tc>
          <w:tcPr>
            <w:tcW w:w="1710" w:type="dxa"/>
          </w:tcPr>
          <w:p w:rsidR="00E6100A" w:rsidRDefault="0007747F">
            <w:pPr>
              <w:jc w:val="center"/>
              <w:rPr>
                <w:rFonts w:ascii="Arial" w:hAnsi="Arial" w:cs="Arial"/>
                <w:sz w:val="24"/>
                <w:szCs w:val="24"/>
                <w:lang w:val="en-US"/>
              </w:rPr>
            </w:pPr>
            <w:r>
              <w:rPr>
                <w:rFonts w:ascii="Arial" w:hAnsi="Arial" w:cs="Arial"/>
                <w:sz w:val="24"/>
                <w:szCs w:val="24"/>
                <w:lang w:val="en-US"/>
              </w:rPr>
              <w:t>% Cluster</w:t>
            </w:r>
          </w:p>
        </w:tc>
        <w:tc>
          <w:tcPr>
            <w:tcW w:w="1708" w:type="dxa"/>
          </w:tcPr>
          <w:p w:rsidR="00E6100A" w:rsidRDefault="0007747F">
            <w:pPr>
              <w:jc w:val="center"/>
              <w:rPr>
                <w:rFonts w:ascii="Arial" w:hAnsi="Arial" w:cs="Arial"/>
                <w:sz w:val="24"/>
                <w:szCs w:val="24"/>
                <w:lang w:val="en-US"/>
              </w:rPr>
            </w:pPr>
            <w:r>
              <w:rPr>
                <w:rFonts w:ascii="Arial" w:hAnsi="Arial" w:cs="Arial"/>
                <w:sz w:val="24"/>
                <w:szCs w:val="24"/>
                <w:lang w:val="en-US"/>
              </w:rPr>
              <w:t>% Label</w:t>
            </w:r>
          </w:p>
        </w:tc>
        <w:tc>
          <w:tcPr>
            <w:tcW w:w="1710" w:type="dxa"/>
          </w:tcPr>
          <w:p w:rsidR="00E6100A" w:rsidRDefault="0007747F">
            <w:pPr>
              <w:jc w:val="center"/>
              <w:rPr>
                <w:rFonts w:ascii="Arial" w:hAnsi="Arial" w:cs="Arial"/>
                <w:sz w:val="24"/>
                <w:szCs w:val="24"/>
                <w:lang w:val="en-US"/>
              </w:rPr>
            </w:pPr>
            <w:proofErr w:type="spellStart"/>
            <w:r>
              <w:rPr>
                <w:rFonts w:ascii="Arial" w:hAnsi="Arial" w:cs="Arial"/>
                <w:sz w:val="24"/>
                <w:szCs w:val="24"/>
                <w:lang w:val="en-US"/>
              </w:rPr>
              <w:t>Nb</w:t>
            </w:r>
            <w:proofErr w:type="spellEnd"/>
            <w:r>
              <w:rPr>
                <w:rFonts w:ascii="Arial" w:hAnsi="Arial" w:cs="Arial"/>
                <w:sz w:val="24"/>
                <w:szCs w:val="24"/>
                <w:lang w:val="en-US"/>
              </w:rPr>
              <w:t xml:space="preserve"> </w:t>
            </w:r>
            <w:proofErr w:type="spellStart"/>
            <w:r>
              <w:rPr>
                <w:rFonts w:ascii="Arial" w:hAnsi="Arial" w:cs="Arial"/>
                <w:sz w:val="24"/>
                <w:szCs w:val="24"/>
                <w:lang w:val="en-US"/>
              </w:rPr>
              <w:t>Vx</w:t>
            </w:r>
            <w:proofErr w:type="spellEnd"/>
            <w:r>
              <w:rPr>
                <w:rFonts w:ascii="Arial" w:hAnsi="Arial" w:cs="Arial"/>
                <w:sz w:val="24"/>
                <w:szCs w:val="24"/>
                <w:lang w:val="en-US"/>
              </w:rPr>
              <w:t xml:space="preserve"> Label</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Occipital, mid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12.52</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79.82</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3270</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Temporal, mid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12.22</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51.54</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4942</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 xml:space="preserve">Temporal, </w:t>
            </w:r>
            <w:proofErr w:type="spellStart"/>
            <w:r>
              <w:rPr>
                <w:rFonts w:ascii="Arial" w:hAnsi="Arial" w:cs="Arial"/>
                <w:sz w:val="24"/>
                <w:szCs w:val="24"/>
                <w:lang w:val="en-US"/>
              </w:rPr>
              <w:t>inf</w:t>
            </w:r>
            <w:proofErr w:type="spellEnd"/>
            <w:r>
              <w:rPr>
                <w:rFonts w:ascii="Arial" w:hAnsi="Arial" w:cs="Arial"/>
                <w:sz w:val="24"/>
                <w:szCs w:val="24"/>
                <w:lang w:val="en-US"/>
              </w:rPr>
              <w:t xml:space="preserve">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7.21</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46.94</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3200</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Fusiform,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7.03</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63.42</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2310</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Lingual,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5.18</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51.50</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2095</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Temporal, sup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4.44</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40.29</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2296</w:t>
            </w:r>
          </w:p>
        </w:tc>
      </w:tr>
      <w:tr w:rsidR="00E6100A">
        <w:tc>
          <w:tcPr>
            <w:tcW w:w="3231" w:type="dxa"/>
          </w:tcPr>
          <w:p w:rsidR="00E6100A" w:rsidRDefault="0007747F">
            <w:pPr>
              <w:spacing w:line="480" w:lineRule="auto"/>
              <w:rPr>
                <w:rFonts w:ascii="Arial" w:hAnsi="Arial" w:cs="Arial"/>
                <w:sz w:val="24"/>
                <w:szCs w:val="24"/>
                <w:lang w:val="en-US"/>
              </w:rPr>
            </w:pPr>
            <w:proofErr w:type="spellStart"/>
            <w:r>
              <w:rPr>
                <w:rFonts w:ascii="Arial" w:hAnsi="Arial" w:cs="Arial"/>
                <w:sz w:val="24"/>
                <w:szCs w:val="24"/>
                <w:lang w:val="en-US"/>
              </w:rPr>
              <w:t>Calcarine</w:t>
            </w:r>
            <w:proofErr w:type="spellEnd"/>
            <w:r>
              <w:rPr>
                <w:rFonts w:ascii="Arial" w:hAnsi="Arial" w:cs="Arial"/>
                <w:sz w:val="24"/>
                <w:szCs w:val="24"/>
                <w:lang w:val="en-US"/>
              </w:rPr>
              <w:t>,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4.40</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40.57</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2258</w:t>
            </w:r>
          </w:p>
        </w:tc>
      </w:tr>
      <w:tr w:rsidR="00E6100A">
        <w:tc>
          <w:tcPr>
            <w:tcW w:w="3231" w:type="dxa"/>
          </w:tcPr>
          <w:p w:rsidR="00E6100A" w:rsidRDefault="0007747F">
            <w:pPr>
              <w:spacing w:line="480" w:lineRule="auto"/>
              <w:rPr>
                <w:rFonts w:ascii="Arial" w:hAnsi="Arial" w:cs="Arial"/>
                <w:sz w:val="24"/>
                <w:szCs w:val="24"/>
                <w:lang w:val="en-US"/>
              </w:rPr>
            </w:pPr>
            <w:proofErr w:type="spellStart"/>
            <w:r>
              <w:rPr>
                <w:rFonts w:ascii="Arial" w:hAnsi="Arial" w:cs="Arial"/>
                <w:sz w:val="24"/>
                <w:szCs w:val="24"/>
                <w:lang w:val="en-US"/>
              </w:rPr>
              <w:t>Precuneus</w:t>
            </w:r>
            <w:proofErr w:type="spellEnd"/>
            <w:r>
              <w:rPr>
                <w:rFonts w:ascii="Arial" w:hAnsi="Arial" w:cs="Arial"/>
                <w:sz w:val="24"/>
                <w:szCs w:val="24"/>
                <w:lang w:val="en-US"/>
              </w:rPr>
              <w:t>,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4.27</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25.23</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3528</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 xml:space="preserve">Occipital, </w:t>
            </w:r>
            <w:proofErr w:type="spellStart"/>
            <w:r>
              <w:rPr>
                <w:rFonts w:ascii="Arial" w:hAnsi="Arial" w:cs="Arial"/>
                <w:sz w:val="24"/>
                <w:szCs w:val="24"/>
                <w:lang w:val="en-US"/>
              </w:rPr>
              <w:t>inf</w:t>
            </w:r>
            <w:proofErr w:type="spellEnd"/>
            <w:r>
              <w:rPr>
                <w:rFonts w:ascii="Arial" w:hAnsi="Arial" w:cs="Arial"/>
                <w:sz w:val="24"/>
                <w:szCs w:val="24"/>
                <w:lang w:val="en-US"/>
              </w:rPr>
              <w:t xml:space="preserve">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4.02</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89.05</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941</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Angular,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3.61</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64.19</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1173</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Occipital, sup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3.22</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49.19</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1366</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Cuneus,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3.05</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41.68</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1526</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 xml:space="preserve">Parietal, </w:t>
            </w:r>
            <w:proofErr w:type="spellStart"/>
            <w:r>
              <w:rPr>
                <w:rFonts w:ascii="Arial" w:hAnsi="Arial" w:cs="Arial"/>
                <w:sz w:val="24"/>
                <w:szCs w:val="24"/>
                <w:lang w:val="en-US"/>
              </w:rPr>
              <w:t>inf</w:t>
            </w:r>
            <w:proofErr w:type="spellEnd"/>
            <w:r>
              <w:rPr>
                <w:rFonts w:ascii="Arial" w:hAnsi="Arial" w:cs="Arial"/>
                <w:sz w:val="24"/>
                <w:szCs w:val="24"/>
                <w:lang w:val="en-US"/>
              </w:rPr>
              <w:t xml:space="preserve"> left</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2.62</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22.27</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2447</w:t>
            </w:r>
          </w:p>
        </w:tc>
      </w:tr>
      <w:tr w:rsidR="00E6100A">
        <w:tc>
          <w:tcPr>
            <w:tcW w:w="3231"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 xml:space="preserve">Parietal, </w:t>
            </w:r>
            <w:proofErr w:type="spellStart"/>
            <w:r>
              <w:rPr>
                <w:rFonts w:ascii="Arial" w:hAnsi="Arial" w:cs="Arial"/>
                <w:sz w:val="24"/>
                <w:szCs w:val="24"/>
                <w:lang w:val="en-US"/>
              </w:rPr>
              <w:t>supleft</w:t>
            </w:r>
            <w:proofErr w:type="spellEnd"/>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1.94</w:t>
            </w:r>
          </w:p>
        </w:tc>
        <w:tc>
          <w:tcPr>
            <w:tcW w:w="1708"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19.61</w:t>
            </w:r>
          </w:p>
        </w:tc>
        <w:tc>
          <w:tcPr>
            <w:tcW w:w="1710"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2065</w:t>
            </w:r>
          </w:p>
        </w:tc>
      </w:tr>
    </w:tbl>
    <w:p w:rsidR="00E6100A" w:rsidRDefault="00E6100A">
      <w:pPr>
        <w:spacing w:line="480" w:lineRule="auto"/>
        <w:rPr>
          <w:lang w:val="en-US"/>
        </w:rPr>
      </w:pPr>
    </w:p>
    <w:p w:rsidR="00E6100A" w:rsidRDefault="0007747F">
      <w:pPr>
        <w:pStyle w:val="ListParagraph"/>
        <w:numPr>
          <w:ilvl w:val="0"/>
          <w:numId w:val="1"/>
        </w:numPr>
        <w:spacing w:line="480" w:lineRule="auto"/>
        <w:ind w:left="0"/>
        <w:rPr>
          <w:rFonts w:cs="Arial"/>
          <w:szCs w:val="24"/>
          <w:lang w:val="en-US"/>
        </w:rPr>
      </w:pPr>
      <w:r>
        <w:rPr>
          <w:rFonts w:cs="Arial"/>
          <w:szCs w:val="24"/>
          <w:lang w:val="en-US"/>
        </w:rPr>
        <w:t>Cluster distribution of the association of CSF-KLK10 with the cerebral glucose metabolism</w:t>
      </w:r>
    </w:p>
    <w:tbl>
      <w:tblPr>
        <w:tblStyle w:val="TableGrid"/>
        <w:tblW w:w="8359" w:type="dxa"/>
        <w:tblLayout w:type="fixed"/>
        <w:tblLook w:val="04A0" w:firstRow="1" w:lastRow="0" w:firstColumn="1" w:lastColumn="0" w:noHBand="0" w:noVBand="1"/>
      </w:tblPr>
      <w:tblGrid>
        <w:gridCol w:w="3659"/>
        <w:gridCol w:w="1597"/>
        <w:gridCol w:w="1694"/>
        <w:gridCol w:w="1409"/>
      </w:tblGrid>
      <w:tr w:rsidR="00E6100A">
        <w:tc>
          <w:tcPr>
            <w:tcW w:w="3659"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Cluster of 67504 voxels</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 Cluster</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 Label</w:t>
            </w:r>
          </w:p>
        </w:tc>
        <w:tc>
          <w:tcPr>
            <w:tcW w:w="1409" w:type="dxa"/>
          </w:tcPr>
          <w:p w:rsidR="00E6100A" w:rsidRDefault="0007747F">
            <w:pPr>
              <w:spacing w:line="480" w:lineRule="auto"/>
              <w:jc w:val="center"/>
              <w:rPr>
                <w:rFonts w:ascii="Arial" w:hAnsi="Arial" w:cs="Arial"/>
                <w:sz w:val="24"/>
                <w:szCs w:val="24"/>
                <w:lang w:val="en-US"/>
              </w:rPr>
            </w:pPr>
            <w:proofErr w:type="spellStart"/>
            <w:r>
              <w:rPr>
                <w:rFonts w:ascii="Arial" w:hAnsi="Arial" w:cs="Arial"/>
                <w:sz w:val="24"/>
                <w:szCs w:val="24"/>
                <w:lang w:val="en-US"/>
              </w:rPr>
              <w:t>Nb</w:t>
            </w:r>
            <w:proofErr w:type="spellEnd"/>
            <w:r>
              <w:rPr>
                <w:rFonts w:ascii="Arial" w:hAnsi="Arial" w:cs="Arial"/>
                <w:sz w:val="24"/>
                <w:szCs w:val="24"/>
                <w:lang w:val="en-US"/>
              </w:rPr>
              <w:t xml:space="preserve"> </w:t>
            </w:r>
            <w:proofErr w:type="spellStart"/>
            <w:r>
              <w:rPr>
                <w:rFonts w:ascii="Arial" w:hAnsi="Arial" w:cs="Arial"/>
                <w:sz w:val="24"/>
                <w:szCs w:val="24"/>
                <w:lang w:val="en-US"/>
              </w:rPr>
              <w:t>Vx</w:t>
            </w:r>
            <w:proofErr w:type="spellEnd"/>
            <w:r>
              <w:rPr>
                <w:rFonts w:ascii="Arial" w:hAnsi="Arial" w:cs="Arial"/>
                <w:sz w:val="24"/>
                <w:szCs w:val="24"/>
                <w:lang w:val="en-US"/>
              </w:rPr>
              <w:t xml:space="preserve"> </w:t>
            </w:r>
            <w:r>
              <w:rPr>
                <w:rFonts w:ascii="Arial" w:hAnsi="Arial" w:cs="Arial"/>
                <w:sz w:val="24"/>
                <w:szCs w:val="24"/>
                <w:lang w:val="en-US"/>
              </w:rPr>
              <w:lastRenderedPageBreak/>
              <w:t>Label</w:t>
            </w:r>
          </w:p>
        </w:tc>
      </w:tr>
      <w:tr w:rsidR="00E6100A">
        <w:tc>
          <w:tcPr>
            <w:tcW w:w="3659"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lastRenderedPageBreak/>
              <w:t>Lingual</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2.90</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85.09</w:t>
            </w:r>
          </w:p>
        </w:tc>
        <w:tc>
          <w:tcPr>
            <w:tcW w:w="1409"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2300</w:t>
            </w:r>
          </w:p>
        </w:tc>
      </w:tr>
      <w:tr w:rsidR="00E6100A">
        <w:tc>
          <w:tcPr>
            <w:tcW w:w="3659"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Temporal, sup right</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2.58</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55.49</w:t>
            </w:r>
          </w:p>
        </w:tc>
        <w:tc>
          <w:tcPr>
            <w:tcW w:w="1409"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3141</w:t>
            </w:r>
          </w:p>
        </w:tc>
      </w:tr>
      <w:tr w:rsidR="00E6100A">
        <w:tc>
          <w:tcPr>
            <w:tcW w:w="3659"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Occipital, mid left</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2.36</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48.69</w:t>
            </w:r>
          </w:p>
        </w:tc>
        <w:tc>
          <w:tcPr>
            <w:tcW w:w="1409"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3270</w:t>
            </w:r>
          </w:p>
        </w:tc>
      </w:tr>
      <w:tr w:rsidR="00E6100A">
        <w:tc>
          <w:tcPr>
            <w:tcW w:w="3659"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Fusiform, right</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2.24</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60.17</w:t>
            </w:r>
          </w:p>
        </w:tc>
        <w:tc>
          <w:tcPr>
            <w:tcW w:w="1409"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2518</w:t>
            </w:r>
          </w:p>
        </w:tc>
      </w:tr>
      <w:tr w:rsidR="00E6100A">
        <w:tc>
          <w:tcPr>
            <w:tcW w:w="3659" w:type="dxa"/>
          </w:tcPr>
          <w:p w:rsidR="00E6100A" w:rsidRDefault="0007747F">
            <w:pPr>
              <w:spacing w:line="480" w:lineRule="auto"/>
              <w:rPr>
                <w:rFonts w:ascii="Arial" w:hAnsi="Arial" w:cs="Arial"/>
                <w:sz w:val="24"/>
                <w:szCs w:val="24"/>
                <w:lang w:val="en-US"/>
              </w:rPr>
            </w:pPr>
            <w:proofErr w:type="spellStart"/>
            <w:r>
              <w:rPr>
                <w:rFonts w:ascii="Arial" w:hAnsi="Arial" w:cs="Arial"/>
                <w:sz w:val="24"/>
                <w:szCs w:val="24"/>
                <w:lang w:val="en-US"/>
              </w:rPr>
              <w:t>Calcarine</w:t>
            </w:r>
            <w:proofErr w:type="spellEnd"/>
            <w:r>
              <w:rPr>
                <w:rFonts w:ascii="Arial" w:hAnsi="Arial" w:cs="Arial"/>
                <w:sz w:val="24"/>
                <w:szCs w:val="24"/>
                <w:lang w:val="en-US"/>
              </w:rPr>
              <w:t>, right</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2.16</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78.18</w:t>
            </w:r>
          </w:p>
        </w:tc>
        <w:tc>
          <w:tcPr>
            <w:tcW w:w="1409"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1861</w:t>
            </w:r>
          </w:p>
        </w:tc>
      </w:tr>
      <w:tr w:rsidR="00E6100A">
        <w:tc>
          <w:tcPr>
            <w:tcW w:w="3659"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Occipital, mid right</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2.09</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67.30</w:t>
            </w:r>
          </w:p>
        </w:tc>
        <w:tc>
          <w:tcPr>
            <w:tcW w:w="1409"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2098</w:t>
            </w:r>
          </w:p>
        </w:tc>
      </w:tr>
      <w:tr w:rsidR="00E6100A">
        <w:tc>
          <w:tcPr>
            <w:tcW w:w="3659"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Temporal, mid right</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2.07</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31.69</w:t>
            </w:r>
          </w:p>
        </w:tc>
        <w:tc>
          <w:tcPr>
            <w:tcW w:w="1409"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4409</w:t>
            </w:r>
          </w:p>
        </w:tc>
      </w:tr>
      <w:tr w:rsidR="00E6100A">
        <w:tc>
          <w:tcPr>
            <w:tcW w:w="3659"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Cuneus, right</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1.89</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89.75</w:t>
            </w:r>
          </w:p>
        </w:tc>
        <w:tc>
          <w:tcPr>
            <w:tcW w:w="1409"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1424</w:t>
            </w:r>
          </w:p>
        </w:tc>
      </w:tr>
      <w:tr w:rsidR="00E6100A">
        <w:tc>
          <w:tcPr>
            <w:tcW w:w="3659"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Precentral, right</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1.88</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37.62</w:t>
            </w:r>
          </w:p>
        </w:tc>
        <w:tc>
          <w:tcPr>
            <w:tcW w:w="1409"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3381</w:t>
            </w:r>
          </w:p>
        </w:tc>
      </w:tr>
      <w:tr w:rsidR="00E6100A">
        <w:tc>
          <w:tcPr>
            <w:tcW w:w="3659"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Cingulate, mid right</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1.77</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54.24</w:t>
            </w:r>
          </w:p>
        </w:tc>
        <w:tc>
          <w:tcPr>
            <w:tcW w:w="1409"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2203</w:t>
            </w:r>
          </w:p>
        </w:tc>
      </w:tr>
      <w:tr w:rsidR="00E6100A">
        <w:tc>
          <w:tcPr>
            <w:tcW w:w="3659" w:type="dxa"/>
          </w:tcPr>
          <w:p w:rsidR="00E6100A" w:rsidRDefault="0007747F">
            <w:pPr>
              <w:spacing w:line="480" w:lineRule="auto"/>
              <w:rPr>
                <w:rFonts w:ascii="Arial" w:hAnsi="Arial" w:cs="Arial"/>
                <w:sz w:val="24"/>
                <w:szCs w:val="24"/>
                <w:lang w:val="en-US"/>
              </w:rPr>
            </w:pPr>
            <w:r>
              <w:rPr>
                <w:rFonts w:ascii="Arial" w:hAnsi="Arial" w:cs="Arial"/>
                <w:sz w:val="24"/>
                <w:szCs w:val="24"/>
                <w:lang w:val="en-US"/>
              </w:rPr>
              <w:t>Occipital, sup right</w:t>
            </w:r>
          </w:p>
        </w:tc>
        <w:tc>
          <w:tcPr>
            <w:tcW w:w="1597"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1.74</w:t>
            </w:r>
          </w:p>
        </w:tc>
        <w:tc>
          <w:tcPr>
            <w:tcW w:w="1694"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82.94</w:t>
            </w:r>
          </w:p>
        </w:tc>
        <w:tc>
          <w:tcPr>
            <w:tcW w:w="1409" w:type="dxa"/>
          </w:tcPr>
          <w:p w:rsidR="00E6100A" w:rsidRDefault="0007747F">
            <w:pPr>
              <w:spacing w:line="480" w:lineRule="auto"/>
              <w:jc w:val="center"/>
              <w:rPr>
                <w:rFonts w:ascii="Arial" w:hAnsi="Arial" w:cs="Arial"/>
                <w:sz w:val="24"/>
                <w:szCs w:val="24"/>
                <w:lang w:val="en-US"/>
              </w:rPr>
            </w:pPr>
            <w:r>
              <w:rPr>
                <w:rFonts w:ascii="Arial" w:hAnsi="Arial" w:cs="Arial"/>
                <w:sz w:val="24"/>
                <w:szCs w:val="24"/>
                <w:lang w:val="en-US"/>
              </w:rPr>
              <w:t>1413</w:t>
            </w:r>
          </w:p>
        </w:tc>
      </w:tr>
    </w:tbl>
    <w:p w:rsidR="00E6100A" w:rsidRDefault="00E6100A">
      <w:pPr>
        <w:spacing w:line="480" w:lineRule="auto"/>
        <w:rPr>
          <w:rFonts w:ascii="Arial" w:hAnsi="Arial" w:cs="Arial"/>
          <w:sz w:val="24"/>
          <w:szCs w:val="24"/>
          <w:lang w:val="en-US"/>
        </w:rPr>
      </w:pPr>
    </w:p>
    <w:p w:rsidR="00E6100A" w:rsidRDefault="0007747F">
      <w:pPr>
        <w:spacing w:line="480" w:lineRule="auto"/>
        <w:rPr>
          <w:rFonts w:ascii="Arial" w:hAnsi="Arial" w:cs="Arial"/>
          <w:sz w:val="24"/>
          <w:szCs w:val="24"/>
          <w:lang w:val="en-US"/>
        </w:rPr>
      </w:pPr>
      <w:r>
        <w:rPr>
          <w:rFonts w:ascii="Arial" w:hAnsi="Arial" w:cs="Arial"/>
          <w:sz w:val="24"/>
          <w:szCs w:val="24"/>
          <w:lang w:val="en-US"/>
        </w:rPr>
        <w:t xml:space="preserve">Legend to </w:t>
      </w:r>
      <w:r w:rsidR="00DB0ED8" w:rsidRPr="0000061E">
        <w:rPr>
          <w:rFonts w:ascii="Arial" w:hAnsi="Arial" w:cs="Arial"/>
          <w:color w:val="000000" w:themeColor="text1"/>
          <w:sz w:val="24"/>
          <w:szCs w:val="24"/>
          <w:lang w:val="en-US"/>
        </w:rPr>
        <w:t>T</w:t>
      </w:r>
      <w:r w:rsidRPr="0000061E">
        <w:rPr>
          <w:rFonts w:ascii="Arial" w:hAnsi="Arial" w:cs="Arial"/>
          <w:color w:val="000000" w:themeColor="text1"/>
          <w:sz w:val="24"/>
          <w:szCs w:val="24"/>
          <w:lang w:val="en-US"/>
        </w:rPr>
        <w:t xml:space="preserve">able </w:t>
      </w:r>
      <w:r w:rsidR="00DB0ED8">
        <w:rPr>
          <w:rFonts w:ascii="Arial" w:hAnsi="Arial" w:cs="Arial"/>
          <w:color w:val="000000" w:themeColor="text1"/>
          <w:sz w:val="24"/>
          <w:szCs w:val="24"/>
          <w:lang w:val="en-US"/>
        </w:rPr>
        <w:t>S</w:t>
      </w:r>
      <w:r w:rsidRPr="0000061E">
        <w:rPr>
          <w:rFonts w:ascii="Arial" w:hAnsi="Arial" w:cs="Arial"/>
          <w:color w:val="000000" w:themeColor="text1"/>
          <w:sz w:val="24"/>
          <w:szCs w:val="24"/>
          <w:lang w:val="en-US"/>
        </w:rPr>
        <w:t xml:space="preserve">4: </w:t>
      </w:r>
      <w:proofErr w:type="spellStart"/>
      <w:r w:rsidRPr="0000061E">
        <w:rPr>
          <w:rFonts w:ascii="Arial" w:hAnsi="Arial" w:cs="Arial"/>
          <w:color w:val="000000" w:themeColor="text1"/>
          <w:sz w:val="24"/>
          <w:szCs w:val="24"/>
          <w:lang w:val="en-US"/>
        </w:rPr>
        <w:t>Supratentorial</w:t>
      </w:r>
      <w:proofErr w:type="spellEnd"/>
      <w:r w:rsidRPr="0000061E">
        <w:rPr>
          <w:rFonts w:ascii="Arial" w:hAnsi="Arial" w:cs="Arial"/>
          <w:color w:val="000000" w:themeColor="text1"/>
          <w:sz w:val="24"/>
          <w:szCs w:val="24"/>
          <w:lang w:val="en-US"/>
        </w:rPr>
        <w:t xml:space="preserve"> cluster distribution of the association of CSF-KLK6 with the cerebral amyloid controlled for </w:t>
      </w:r>
      <w:proofErr w:type="spellStart"/>
      <w:r w:rsidRPr="0000061E">
        <w:rPr>
          <w:rFonts w:ascii="Arial" w:hAnsi="Arial" w:cs="Arial"/>
          <w:color w:val="000000" w:themeColor="text1"/>
          <w:sz w:val="24"/>
          <w:szCs w:val="24"/>
          <w:lang w:val="en-US"/>
        </w:rPr>
        <w:t>ApoE</w:t>
      </w:r>
      <w:proofErr w:type="spellEnd"/>
      <w:r w:rsidRPr="0000061E">
        <w:rPr>
          <w:rFonts w:ascii="Arial" w:hAnsi="Arial" w:cs="Arial"/>
          <w:color w:val="000000" w:themeColor="text1"/>
          <w:sz w:val="24"/>
          <w:szCs w:val="24"/>
          <w:lang w:val="en-US"/>
        </w:rPr>
        <w:t xml:space="preserve"> ε4 allele frequency (A), as well as CSF-KLK6 (B) and CSF-KLK10 with the cerebral </w:t>
      </w:r>
      <w:r>
        <w:rPr>
          <w:rFonts w:ascii="Arial" w:hAnsi="Arial" w:cs="Arial"/>
          <w:sz w:val="24"/>
          <w:szCs w:val="24"/>
          <w:lang w:val="en-US"/>
        </w:rPr>
        <w:t>glucose metabolism (C). Global clusters are assigned to regions of interests (ROIs) and their relative percentage of the global cluster (</w:t>
      </w:r>
      <w:proofErr w:type="gramStart"/>
      <w:r>
        <w:rPr>
          <w:rFonts w:ascii="Arial" w:hAnsi="Arial" w:cs="Arial"/>
          <w:sz w:val="24"/>
          <w:szCs w:val="24"/>
          <w:lang w:val="en-US"/>
        </w:rPr>
        <w:t>%</w:t>
      </w:r>
      <w:proofErr w:type="gramEnd"/>
      <w:r>
        <w:rPr>
          <w:rFonts w:ascii="Arial" w:hAnsi="Arial" w:cs="Arial"/>
          <w:sz w:val="24"/>
          <w:szCs w:val="24"/>
          <w:lang w:val="en-US"/>
        </w:rPr>
        <w:t xml:space="preserve"> cluster), percentage of significant voxels in a ROI (% label) and absolute number of significant voxels in a ROI (</w:t>
      </w:r>
      <w:proofErr w:type="spellStart"/>
      <w:r>
        <w:rPr>
          <w:rFonts w:ascii="Arial" w:hAnsi="Arial" w:cs="Arial"/>
          <w:sz w:val="24"/>
          <w:szCs w:val="24"/>
          <w:lang w:val="en-US"/>
        </w:rPr>
        <w:t>Nb</w:t>
      </w:r>
      <w:proofErr w:type="spellEnd"/>
      <w:r>
        <w:rPr>
          <w:rFonts w:ascii="Arial" w:hAnsi="Arial" w:cs="Arial"/>
          <w:sz w:val="24"/>
          <w:szCs w:val="24"/>
          <w:lang w:val="en-US"/>
        </w:rPr>
        <w:t xml:space="preserve"> </w:t>
      </w:r>
      <w:proofErr w:type="spellStart"/>
      <w:r>
        <w:rPr>
          <w:rFonts w:ascii="Arial" w:hAnsi="Arial" w:cs="Arial"/>
          <w:sz w:val="24"/>
          <w:szCs w:val="24"/>
          <w:lang w:val="en-US"/>
        </w:rPr>
        <w:t>Vx</w:t>
      </w:r>
      <w:proofErr w:type="spellEnd"/>
      <w:r>
        <w:rPr>
          <w:rFonts w:ascii="Arial" w:hAnsi="Arial" w:cs="Arial"/>
          <w:sz w:val="24"/>
          <w:szCs w:val="24"/>
          <w:lang w:val="en-US"/>
        </w:rPr>
        <w:t xml:space="preserve">). Cluster distribution was performed with SPM 12, automated anatomical labeling atlas of </w:t>
      </w:r>
      <w:proofErr w:type="spellStart"/>
      <w:r>
        <w:rPr>
          <w:rFonts w:ascii="Arial" w:hAnsi="Arial" w:cs="Arial"/>
          <w:sz w:val="24"/>
          <w:szCs w:val="24"/>
          <w:lang w:val="en-US"/>
        </w:rPr>
        <w:t>Tzourio-Mazoyer</w:t>
      </w:r>
      <w:proofErr w:type="spellEnd"/>
      <w:r>
        <w:rPr>
          <w:rFonts w:ascii="Arial" w:hAnsi="Arial" w:cs="Arial"/>
          <w:sz w:val="24"/>
          <w:szCs w:val="24"/>
          <w:lang w:val="en-US"/>
        </w:rPr>
        <w:t xml:space="preserve"> et al. </w:t>
      </w:r>
      <w:r>
        <w:rPr>
          <w:rFonts w:ascii="Arial" w:hAnsi="Arial" w:cs="Arial"/>
          <w:sz w:val="24"/>
          <w:szCs w:val="24"/>
          <w:lang w:val="en-US"/>
        </w:rPr>
        <w:fldChar w:fldCharType="begin"/>
      </w:r>
      <w:r>
        <w:rPr>
          <w:rFonts w:ascii="Arial" w:hAnsi="Arial" w:cs="Arial"/>
          <w:sz w:val="24"/>
          <w:szCs w:val="24"/>
          <w:lang w:val="en-US"/>
        </w:rPr>
        <w:instrText xml:space="preserve"> ADDIN ZOTERO_ITEM CSL_CITATION {"citationID":"1kfh8ktkbu","properties":{"formattedCitation":"(12)","plainCitation":"(12)"},"citationItems":[{"id":1824,"uris":["http://zotero.org/users/3653309/items/DEPKWR6M"],"uri":["http://zotero.org/users/3653309/items/DEPKWR6M"],"itemData":{"id":1824,"type":"article-journal","title":"Automated anatomical labeling of activations in SPM using a macroscopic anatomical parcellation of the MNI MRI single-subject brain","container-title":"NeuroImage","page":"273-289","volume":"15","issue":"1","source":"PubMed","abstract":"An anatomical parcellation of the spatially normalized single-subject high-resolution T1 volume provided by the Montreal Neurological Institute (MNI) (D. L. Collins et al., 1998, Trans. Med. Imag. 17, 463-468) was performed. The MNI single-subject main sulci were first delineated and further used as landmarks for the 3D definition of 45 anatomical volumes of interest (AVOI) in each hemisphere. This procedure was performed using a dedicated software which allowed a 3D following of the sulci course on the edited brain. Regions of interest were then drawn manually with the same software every 2 mm on the axial slices of the high-resolution MNI single subject. The 90 AVOI were reconstructed and assigned a label. Using this parcellation method, three procedures to perform the automated anatomical labeling of functional studies are proposed: (1) labeling of an extremum defined by a set of coordinates, (2) percentage of voxels belonging to each of the AVOI intersected by a sphere centered by a set of coordinates, and (3) percentage of voxels belonging to each of the AVOI intersected by an activated cluster. An interface with the Statistical Parametric Mapping package (SPM, J. Ashburner and K. J. Friston, 1999, Hum. Brain Mapp. 7, 254-266) is provided as a freeware to researchers of the neuroimaging community. We believe that this tool is an improvement for the macroscopical labeling of activated area compared to labeling assessed using the Talairach atlas brain in which deformations are well known. However, this tool does not alleviate the need for more sophisticated labeling strategies based on anatomical or cytoarchitectonic probabilistic maps.","DOI":"10.1006/nimg.2001.0978","ISSN":"1053-8119","note":"PMID: 11771995","journalAbbreviation":"Neuroimage","language":"eng","author":[{"family":"Tzourio-Mazoyer","given":"N."},{"family":"Landeau","given":"B."},{"family":"Papathanassiou","given":"D."},{"family":"Crivello","given":"F."},{"family":"Etard","given":"O."},{"family":"Delcroix","given":"N."},{"family":"Mazoyer","given":"B."},{"family":"Joliot","given":"M."}],"issued":{"date-parts":[["2002",1]]},"PMID":"11771995"}}],"schema":"https://github.com/citation-style-language/schema/raw/master/csl-citation.json"} </w:instrText>
      </w:r>
      <w:r>
        <w:rPr>
          <w:rFonts w:ascii="Arial" w:hAnsi="Arial" w:cs="Arial"/>
          <w:sz w:val="24"/>
          <w:szCs w:val="24"/>
          <w:lang w:val="en-US"/>
        </w:rPr>
        <w:fldChar w:fldCharType="separate"/>
      </w:r>
      <w:r>
        <w:rPr>
          <w:rFonts w:ascii="Arial" w:hAnsi="Arial" w:cs="Arial"/>
          <w:sz w:val="24"/>
          <w:lang w:val="en-US"/>
        </w:rPr>
        <w:t>(12)</w:t>
      </w:r>
      <w:r>
        <w:rPr>
          <w:rFonts w:ascii="Arial" w:hAnsi="Arial" w:cs="Arial"/>
          <w:sz w:val="24"/>
          <w:szCs w:val="24"/>
          <w:lang w:val="en-US"/>
        </w:rPr>
        <w:fldChar w:fldCharType="end"/>
      </w:r>
    </w:p>
    <w:p w:rsidR="00EF78EF" w:rsidRDefault="00EF78EF">
      <w:pPr>
        <w:rPr>
          <w:rFonts w:cs="Arial"/>
          <w:color w:val="000000"/>
          <w:lang w:val="en-US"/>
        </w:rPr>
      </w:pPr>
      <w:r>
        <w:rPr>
          <w:rFonts w:cs="Arial"/>
          <w:color w:val="000000"/>
          <w:lang w:val="en-US"/>
        </w:rPr>
        <w:br w:type="page"/>
      </w:r>
    </w:p>
    <w:p w:rsidR="00E6100A" w:rsidRDefault="00E6100A">
      <w:pPr>
        <w:spacing w:line="480" w:lineRule="auto"/>
        <w:rPr>
          <w:rFonts w:cs="Arial"/>
          <w:color w:val="000000"/>
          <w:lang w:val="en-US"/>
        </w:rPr>
      </w:pPr>
    </w:p>
    <w:p w:rsidR="00E6100A" w:rsidRDefault="00E6100A">
      <w:pPr>
        <w:rPr>
          <w:rFonts w:ascii="Arial" w:hAnsi="Arial" w:cs="Arial"/>
          <w:b/>
          <w:sz w:val="24"/>
          <w:szCs w:val="24"/>
          <w:lang w:val="en-US"/>
        </w:rPr>
      </w:pPr>
    </w:p>
    <w:p w:rsidR="00E6100A" w:rsidRDefault="0007747F">
      <w:pPr>
        <w:spacing w:line="480" w:lineRule="auto"/>
        <w:rPr>
          <w:rFonts w:ascii="Arial" w:hAnsi="Arial" w:cs="Arial"/>
          <w:b/>
          <w:sz w:val="24"/>
          <w:szCs w:val="24"/>
          <w:lang w:val="en-US"/>
        </w:rPr>
      </w:pPr>
      <w:r>
        <w:rPr>
          <w:rFonts w:ascii="Arial" w:hAnsi="Arial" w:cs="Arial"/>
          <w:b/>
          <w:sz w:val="24"/>
          <w:szCs w:val="24"/>
          <w:lang w:val="en-US"/>
        </w:rPr>
        <w:t>5. Supplementary figures</w:t>
      </w:r>
    </w:p>
    <w:p w:rsidR="00E6100A" w:rsidRDefault="00DB0ED8">
      <w:pPr>
        <w:spacing w:line="480" w:lineRule="auto"/>
        <w:rPr>
          <w:rFonts w:ascii="Arial" w:hAnsi="Arial" w:cs="Arial"/>
          <w:sz w:val="24"/>
          <w:szCs w:val="24"/>
          <w:lang w:val="en-US"/>
        </w:rPr>
      </w:pPr>
      <w:r>
        <w:rPr>
          <w:rFonts w:ascii="Arial" w:hAnsi="Arial" w:cs="Arial"/>
          <w:sz w:val="24"/>
          <w:szCs w:val="24"/>
          <w:u w:val="single"/>
          <w:lang w:val="en-US"/>
        </w:rPr>
        <w:t>F</w:t>
      </w:r>
      <w:r w:rsidR="0007747F">
        <w:rPr>
          <w:rFonts w:ascii="Arial" w:hAnsi="Arial" w:cs="Arial"/>
          <w:sz w:val="24"/>
          <w:szCs w:val="24"/>
          <w:u w:val="single"/>
          <w:lang w:val="en-US"/>
        </w:rPr>
        <w:t xml:space="preserve">igure </w:t>
      </w:r>
      <w:r>
        <w:rPr>
          <w:rFonts w:ascii="Arial" w:hAnsi="Arial" w:cs="Arial"/>
          <w:sz w:val="24"/>
          <w:szCs w:val="24"/>
          <w:u w:val="single"/>
          <w:lang w:val="en-US"/>
        </w:rPr>
        <w:t>S</w:t>
      </w:r>
      <w:r w:rsidR="0007747F">
        <w:rPr>
          <w:rFonts w:ascii="Arial" w:hAnsi="Arial" w:cs="Arial"/>
          <w:sz w:val="24"/>
          <w:szCs w:val="24"/>
          <w:u w:val="single"/>
          <w:lang w:val="en-US"/>
        </w:rPr>
        <w:t xml:space="preserve">1: </w:t>
      </w:r>
      <w:r w:rsidR="0007747F">
        <w:rPr>
          <w:rFonts w:ascii="Arial" w:hAnsi="Arial" w:cs="Arial"/>
          <w:sz w:val="24"/>
          <w:szCs w:val="24"/>
          <w:lang w:val="en-US"/>
        </w:rPr>
        <w:t xml:space="preserve">Overlay of significant clusters of the associations of CSF-KLK6 with the FDG-PET and </w:t>
      </w:r>
      <w:proofErr w:type="spellStart"/>
      <w:r w:rsidR="0007747F">
        <w:rPr>
          <w:rFonts w:ascii="Arial" w:hAnsi="Arial" w:cs="Arial"/>
          <w:sz w:val="24"/>
          <w:szCs w:val="24"/>
          <w:lang w:val="en-US"/>
        </w:rPr>
        <w:t>PiB</w:t>
      </w:r>
      <w:proofErr w:type="spellEnd"/>
      <w:r w:rsidR="0007747F">
        <w:rPr>
          <w:rFonts w:ascii="Arial" w:hAnsi="Arial" w:cs="Arial"/>
          <w:sz w:val="24"/>
          <w:szCs w:val="24"/>
          <w:lang w:val="en-US"/>
        </w:rPr>
        <w:t>-PET signal</w:t>
      </w:r>
    </w:p>
    <w:p w:rsidR="00E6100A" w:rsidRDefault="0007747F">
      <w:pPr>
        <w:spacing w:line="480" w:lineRule="auto"/>
        <w:rPr>
          <w:rFonts w:cs="Arial"/>
          <w:noProof/>
          <w:color w:val="000000"/>
          <w:lang w:val="en-US"/>
        </w:rPr>
      </w:pPr>
      <w:r>
        <w:rPr>
          <w:rFonts w:cs="Arial"/>
          <w:noProof/>
          <w:color w:val="000000"/>
          <w:lang w:val="en-PH" w:eastAsia="en-PH"/>
        </w:rPr>
        <w:drawing>
          <wp:inline distT="0" distB="0" distL="0" distR="0">
            <wp:extent cx="5210175" cy="4994910"/>
            <wp:effectExtent l="0" t="0" r="9525" b="0"/>
            <wp:docPr id="2" name="Grafik 2" descr="U:\Ordnerumleitung\Desktop\Fusion_KLK6_AMY_F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rdnerumleitung\Desktop\Fusion_KLK6_AMY_FD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10175" cy="4994910"/>
                    </a:xfrm>
                    <a:prstGeom prst="rect">
                      <a:avLst/>
                    </a:prstGeom>
                    <a:noFill/>
                    <a:ln>
                      <a:noFill/>
                    </a:ln>
                  </pic:spPr>
                </pic:pic>
              </a:graphicData>
            </a:graphic>
          </wp:inline>
        </w:drawing>
      </w:r>
    </w:p>
    <w:p w:rsidR="00E6100A" w:rsidRDefault="0007747F">
      <w:pPr>
        <w:spacing w:line="480" w:lineRule="auto"/>
        <w:rPr>
          <w:rFonts w:ascii="Arial" w:hAnsi="Arial" w:cs="Arial"/>
          <w:sz w:val="24"/>
          <w:szCs w:val="24"/>
          <w:lang w:val="en-US"/>
        </w:rPr>
      </w:pPr>
      <w:r>
        <w:rPr>
          <w:rFonts w:ascii="Arial" w:hAnsi="Arial" w:cs="Arial"/>
          <w:sz w:val="24"/>
          <w:szCs w:val="24"/>
          <w:lang w:val="en-US"/>
        </w:rPr>
        <w:t xml:space="preserve">Legend to Figure </w:t>
      </w:r>
      <w:r w:rsidR="00DB0ED8">
        <w:rPr>
          <w:rFonts w:ascii="Arial" w:hAnsi="Arial" w:cs="Arial"/>
          <w:sz w:val="24"/>
          <w:szCs w:val="24"/>
          <w:lang w:val="en-US"/>
        </w:rPr>
        <w:t>S</w:t>
      </w:r>
      <w:r>
        <w:rPr>
          <w:rFonts w:ascii="Arial" w:hAnsi="Arial" w:cs="Arial"/>
          <w:sz w:val="24"/>
          <w:szCs w:val="24"/>
          <w:lang w:val="en-US"/>
        </w:rPr>
        <w:t>1: Overlay of significant (p&lt;0.05 FDR corrected) clusters of voxel based regional regression analyses between CSF-KLK6 levels and the cerebral C/</w:t>
      </w:r>
      <w:proofErr w:type="spellStart"/>
      <w:r>
        <w:rPr>
          <w:rFonts w:ascii="Arial" w:hAnsi="Arial" w:cs="Arial"/>
          <w:sz w:val="24"/>
          <w:szCs w:val="24"/>
          <w:lang w:val="en-US"/>
        </w:rPr>
        <w:t>vPiB</w:t>
      </w:r>
      <w:proofErr w:type="spellEnd"/>
      <w:r>
        <w:rPr>
          <w:rFonts w:ascii="Arial" w:hAnsi="Arial" w:cs="Arial"/>
          <w:sz w:val="24"/>
          <w:szCs w:val="24"/>
          <w:lang w:val="en-US"/>
        </w:rPr>
        <w:t xml:space="preserve">-PET signal (negative associations in red to yellow), controlled for copies of the </w:t>
      </w:r>
      <w:proofErr w:type="spellStart"/>
      <w:r>
        <w:rPr>
          <w:rFonts w:ascii="Arial" w:hAnsi="Arial" w:cs="Arial"/>
          <w:sz w:val="24"/>
          <w:szCs w:val="24"/>
          <w:lang w:val="en-US"/>
        </w:rPr>
        <w:t>ApoE</w:t>
      </w:r>
      <w:proofErr w:type="spellEnd"/>
      <w:r>
        <w:rPr>
          <w:rFonts w:ascii="Arial" w:hAnsi="Arial" w:cs="Arial"/>
          <w:sz w:val="24"/>
          <w:szCs w:val="24"/>
          <w:lang w:val="en-US"/>
        </w:rPr>
        <w:t xml:space="preserve"> ɛ4 allele and the C/</w:t>
      </w:r>
      <w:proofErr w:type="spellStart"/>
      <w:r>
        <w:rPr>
          <w:rFonts w:ascii="Arial" w:hAnsi="Arial" w:cs="Arial"/>
          <w:sz w:val="24"/>
          <w:szCs w:val="24"/>
          <w:lang w:val="en-US"/>
        </w:rPr>
        <w:t>pFDG</w:t>
      </w:r>
      <w:proofErr w:type="spellEnd"/>
      <w:r>
        <w:rPr>
          <w:rFonts w:ascii="Arial" w:hAnsi="Arial" w:cs="Arial"/>
          <w:sz w:val="24"/>
          <w:szCs w:val="24"/>
          <w:lang w:val="en-US"/>
        </w:rPr>
        <w:t xml:space="preserve">-PET signal (positive associations in blue, respectively). Clusters are projected on axial T1 MRI scans (average of 152 scans, </w:t>
      </w:r>
      <w:r>
        <w:rPr>
          <w:rFonts w:ascii="Arial" w:hAnsi="Arial" w:cs="Arial"/>
          <w:sz w:val="24"/>
          <w:szCs w:val="24"/>
          <w:lang w:val="en-US"/>
        </w:rPr>
        <w:lastRenderedPageBreak/>
        <w:t xml:space="preserve">implemented in SPM12), numbers indicate z-coordinates of slices in </w:t>
      </w:r>
      <w:proofErr w:type="spellStart"/>
      <w:r>
        <w:rPr>
          <w:rFonts w:ascii="Arial" w:hAnsi="Arial" w:cs="Arial"/>
          <w:sz w:val="24"/>
          <w:szCs w:val="24"/>
          <w:lang w:val="en-US"/>
        </w:rPr>
        <w:t>Talairach</w:t>
      </w:r>
      <w:proofErr w:type="spellEnd"/>
      <w:r>
        <w:rPr>
          <w:rFonts w:ascii="Arial" w:hAnsi="Arial" w:cs="Arial"/>
          <w:sz w:val="24"/>
          <w:szCs w:val="24"/>
          <w:lang w:val="en-US"/>
        </w:rPr>
        <w:t xml:space="preserve"> space in mm. CSF: cerebrospinal fluid; KLK: </w:t>
      </w:r>
      <w:proofErr w:type="spellStart"/>
      <w:r>
        <w:rPr>
          <w:rFonts w:ascii="Arial" w:hAnsi="Arial" w:cs="Arial"/>
          <w:sz w:val="24"/>
          <w:szCs w:val="24"/>
          <w:lang w:val="en-US"/>
        </w:rPr>
        <w:t>kallikrein</w:t>
      </w:r>
      <w:proofErr w:type="spellEnd"/>
      <w:r>
        <w:rPr>
          <w:rFonts w:ascii="Arial" w:hAnsi="Arial" w:cs="Arial"/>
          <w:sz w:val="24"/>
          <w:szCs w:val="24"/>
          <w:lang w:val="en-US"/>
        </w:rPr>
        <w:t xml:space="preserve">-related peptidase, </w:t>
      </w:r>
      <w:proofErr w:type="spellStart"/>
      <w:r>
        <w:rPr>
          <w:rFonts w:ascii="Arial" w:hAnsi="Arial" w:cs="Arial"/>
          <w:sz w:val="24"/>
          <w:szCs w:val="24"/>
          <w:lang w:val="en-US"/>
        </w:rPr>
        <w:t>ApoE</w:t>
      </w:r>
      <w:proofErr w:type="spellEnd"/>
      <w:r>
        <w:rPr>
          <w:rFonts w:ascii="Arial" w:hAnsi="Arial" w:cs="Arial"/>
          <w:sz w:val="24"/>
          <w:szCs w:val="24"/>
          <w:lang w:val="en-US"/>
        </w:rPr>
        <w:t xml:space="preserve"> ɛ4: apolipoprotein E epsilon 4; C/v: cerebrum to vermis; C/p: Cerebrum to pons; [C11]</w:t>
      </w:r>
      <w:proofErr w:type="spellStart"/>
      <w:r>
        <w:rPr>
          <w:rFonts w:ascii="Arial" w:hAnsi="Arial" w:cs="Arial"/>
          <w:sz w:val="24"/>
          <w:szCs w:val="24"/>
          <w:lang w:val="en-US"/>
        </w:rPr>
        <w:t>PiB</w:t>
      </w:r>
      <w:proofErr w:type="spellEnd"/>
      <w:r>
        <w:rPr>
          <w:rFonts w:ascii="Arial" w:hAnsi="Arial" w:cs="Arial"/>
          <w:sz w:val="24"/>
          <w:szCs w:val="24"/>
          <w:lang w:val="en-US"/>
        </w:rPr>
        <w:t>-PET: [C11]Pittsburgh Compound B-positron emission tomography, [18F]FDG-PET: [18F]</w:t>
      </w:r>
      <w:proofErr w:type="spellStart"/>
      <w:r>
        <w:rPr>
          <w:rFonts w:ascii="Arial" w:hAnsi="Arial" w:cs="Arial"/>
          <w:sz w:val="24"/>
          <w:szCs w:val="24"/>
          <w:lang w:val="en-US"/>
        </w:rPr>
        <w:t>fluorodeoxyglucose</w:t>
      </w:r>
      <w:proofErr w:type="spellEnd"/>
      <w:r>
        <w:rPr>
          <w:rFonts w:ascii="Arial" w:hAnsi="Arial" w:cs="Arial"/>
          <w:sz w:val="24"/>
          <w:szCs w:val="24"/>
          <w:lang w:val="en-US"/>
        </w:rPr>
        <w:t>-position emission tomography.</w:t>
      </w:r>
    </w:p>
    <w:p w:rsidR="00E6100A" w:rsidRDefault="00E6100A">
      <w:pPr>
        <w:rPr>
          <w:rFonts w:ascii="Arial" w:hAnsi="Arial" w:cs="Arial"/>
          <w:b/>
          <w:sz w:val="24"/>
          <w:szCs w:val="24"/>
          <w:lang w:val="en-US"/>
        </w:rPr>
      </w:pPr>
    </w:p>
    <w:p w:rsidR="00E6100A" w:rsidRDefault="0007747F">
      <w:pPr>
        <w:rPr>
          <w:rFonts w:ascii="Arial" w:hAnsi="Arial" w:cs="Arial"/>
          <w:b/>
          <w:sz w:val="24"/>
          <w:szCs w:val="24"/>
          <w:lang w:val="en-US"/>
        </w:rPr>
      </w:pPr>
      <w:r>
        <w:rPr>
          <w:rFonts w:ascii="Arial" w:hAnsi="Arial" w:cs="Arial"/>
          <w:b/>
          <w:sz w:val="24"/>
          <w:szCs w:val="24"/>
          <w:lang w:val="en-US"/>
        </w:rPr>
        <w:t xml:space="preserve">6. </w:t>
      </w:r>
      <w:bookmarkStart w:id="1" w:name="_GoBack"/>
      <w:r>
        <w:rPr>
          <w:rFonts w:ascii="Arial" w:hAnsi="Arial" w:cs="Arial"/>
          <w:b/>
          <w:sz w:val="24"/>
          <w:szCs w:val="24"/>
          <w:lang w:val="en-US"/>
        </w:rPr>
        <w:t>Supple</w:t>
      </w:r>
      <w:bookmarkEnd w:id="1"/>
      <w:r>
        <w:rPr>
          <w:rFonts w:ascii="Arial" w:hAnsi="Arial" w:cs="Arial"/>
          <w:b/>
          <w:sz w:val="24"/>
          <w:szCs w:val="24"/>
          <w:lang w:val="en-US"/>
        </w:rPr>
        <w:t>mentary Material References</w:t>
      </w:r>
    </w:p>
    <w:p w:rsidR="00E6100A" w:rsidRDefault="0007747F">
      <w:pPr>
        <w:pStyle w:val="Bibliography"/>
        <w:spacing w:line="480" w:lineRule="auto"/>
        <w:rPr>
          <w:rFonts w:ascii="Arial" w:hAnsi="Arial" w:cs="Arial"/>
          <w:sz w:val="24"/>
          <w:lang w:val="en-US"/>
        </w:rPr>
      </w:pPr>
      <w:r>
        <w:rPr>
          <w:rFonts w:ascii="Arial" w:hAnsi="Arial" w:cs="Arial"/>
          <w:lang w:val="en-US"/>
        </w:rPr>
        <w:fldChar w:fldCharType="begin"/>
      </w:r>
      <w:r w:rsidRPr="0000061E">
        <w:rPr>
          <w:rFonts w:ascii="Arial" w:hAnsi="Arial" w:cs="Arial"/>
        </w:rPr>
        <w:instrText xml:space="preserve"> ADDIN ZOTERO_BIBL {"custom":[]} CSL_BIBLIOGRAPHY </w:instrText>
      </w:r>
      <w:r>
        <w:rPr>
          <w:rFonts w:ascii="Arial" w:hAnsi="Arial" w:cs="Arial"/>
          <w:lang w:val="en-US"/>
        </w:rPr>
        <w:fldChar w:fldCharType="separate"/>
      </w:r>
      <w:r w:rsidRPr="0000061E">
        <w:rPr>
          <w:rFonts w:ascii="Arial" w:hAnsi="Arial" w:cs="Arial"/>
          <w:sz w:val="24"/>
        </w:rPr>
        <w:t xml:space="preserve">1. </w:t>
      </w:r>
      <w:r w:rsidRPr="0000061E">
        <w:rPr>
          <w:rFonts w:ascii="Arial" w:hAnsi="Arial" w:cs="Arial"/>
          <w:sz w:val="24"/>
        </w:rPr>
        <w:tab/>
        <w:t xml:space="preserve">Minoshima S, Frey KA, Koeppe RA, Foster NL, Kuhl DE. </w:t>
      </w:r>
      <w:r>
        <w:rPr>
          <w:rFonts w:ascii="Arial" w:hAnsi="Arial" w:cs="Arial"/>
          <w:sz w:val="24"/>
          <w:lang w:val="en-US"/>
        </w:rPr>
        <w:t xml:space="preserve">A diagnostic approach in Alzheimer’s disease using three-dimensional stereotactic surface projections of fluorine-18-FDG PET. J Nucl Med Off Publ Soc Nucl Med. 1995 Jul;36(7):1238–48. </w:t>
      </w:r>
    </w:p>
    <w:p w:rsidR="00E6100A" w:rsidRDefault="0007747F">
      <w:pPr>
        <w:pStyle w:val="Bibliography"/>
        <w:spacing w:line="480" w:lineRule="auto"/>
        <w:rPr>
          <w:rFonts w:ascii="Arial" w:hAnsi="Arial" w:cs="Arial"/>
          <w:sz w:val="24"/>
          <w:lang w:val="en-US"/>
        </w:rPr>
      </w:pPr>
      <w:r>
        <w:rPr>
          <w:rFonts w:ascii="Arial" w:hAnsi="Arial" w:cs="Arial"/>
          <w:sz w:val="24"/>
          <w:lang w:val="en-US"/>
        </w:rPr>
        <w:t xml:space="preserve">2. </w:t>
      </w:r>
      <w:r>
        <w:rPr>
          <w:rFonts w:ascii="Arial" w:hAnsi="Arial" w:cs="Arial"/>
          <w:sz w:val="24"/>
          <w:lang w:val="en-US"/>
        </w:rPr>
        <w:tab/>
        <w:t xml:space="preserve">Hoffman JM, Welsh-Bohmer KA, Hanson M, Crain B, Hulette C, Earl N, et al. FDG PET imaging in patients with pathologically verified dementia. J Nucl Med Off Publ Soc Nucl Med. 2000 Nov;41(11):1920–8. </w:t>
      </w:r>
    </w:p>
    <w:p w:rsidR="00E6100A" w:rsidRDefault="0007747F">
      <w:pPr>
        <w:pStyle w:val="Bibliography"/>
        <w:spacing w:line="480" w:lineRule="auto"/>
        <w:rPr>
          <w:rFonts w:ascii="Arial" w:hAnsi="Arial" w:cs="Arial"/>
          <w:sz w:val="24"/>
          <w:lang w:val="en-US"/>
        </w:rPr>
      </w:pPr>
      <w:r>
        <w:rPr>
          <w:rFonts w:ascii="Arial" w:hAnsi="Arial" w:cs="Arial"/>
          <w:sz w:val="24"/>
          <w:lang w:val="en-US"/>
        </w:rPr>
        <w:t xml:space="preserve">3. </w:t>
      </w:r>
      <w:r>
        <w:rPr>
          <w:rFonts w:ascii="Arial" w:hAnsi="Arial" w:cs="Arial"/>
          <w:sz w:val="24"/>
          <w:lang w:val="en-US"/>
        </w:rPr>
        <w:tab/>
        <w:t xml:space="preserve">Jagust W, Reed B, Mungas D, Ellis W, Decarli C. What does fluorodeoxyglucose PET imaging add to a clinical diagnosis of dementia? Neurology. 2007 Aug 28;69(9):871–7. </w:t>
      </w:r>
    </w:p>
    <w:p w:rsidR="00E6100A" w:rsidRDefault="0007747F">
      <w:pPr>
        <w:pStyle w:val="Bibliography"/>
        <w:spacing w:line="480" w:lineRule="auto"/>
        <w:rPr>
          <w:rFonts w:ascii="Arial" w:hAnsi="Arial" w:cs="Arial"/>
          <w:sz w:val="24"/>
        </w:rPr>
      </w:pPr>
      <w:r>
        <w:rPr>
          <w:rFonts w:ascii="Arial" w:hAnsi="Arial" w:cs="Arial"/>
          <w:sz w:val="24"/>
          <w:lang w:val="en-US"/>
        </w:rPr>
        <w:t xml:space="preserve">4. </w:t>
      </w:r>
      <w:r>
        <w:rPr>
          <w:rFonts w:ascii="Arial" w:hAnsi="Arial" w:cs="Arial"/>
          <w:sz w:val="24"/>
          <w:lang w:val="en-US"/>
        </w:rPr>
        <w:tab/>
        <w:t xml:space="preserve">Grimmer T, Henriksen G, Wester HJ, Forstl H, Klunk WE, Mathis CA, et al. Clinical severity of Alzheimer’s disease is associated with PIB uptake in PET. </w:t>
      </w:r>
      <w:r>
        <w:rPr>
          <w:rFonts w:ascii="Arial" w:hAnsi="Arial" w:cs="Arial"/>
          <w:sz w:val="24"/>
        </w:rPr>
        <w:t xml:space="preserve">Neurobiol Aging. 2009 Dec;30(12):1902–9. </w:t>
      </w:r>
    </w:p>
    <w:p w:rsidR="00E6100A" w:rsidRDefault="0007747F">
      <w:pPr>
        <w:pStyle w:val="Bibliography"/>
        <w:spacing w:line="480" w:lineRule="auto"/>
        <w:rPr>
          <w:rFonts w:ascii="Arial" w:hAnsi="Arial" w:cs="Arial"/>
          <w:sz w:val="24"/>
          <w:lang w:val="en-US"/>
        </w:rPr>
      </w:pPr>
      <w:r>
        <w:rPr>
          <w:rFonts w:ascii="Arial" w:hAnsi="Arial" w:cs="Arial"/>
          <w:sz w:val="24"/>
        </w:rPr>
        <w:t xml:space="preserve">5. </w:t>
      </w:r>
      <w:r>
        <w:rPr>
          <w:rFonts w:ascii="Arial" w:hAnsi="Arial" w:cs="Arial"/>
          <w:sz w:val="24"/>
        </w:rPr>
        <w:tab/>
        <w:t xml:space="preserve">Grimmer T, Riemenschneider M, Forstl H, Henriksen G, Klunk WE, Mathis CA, et al. </w:t>
      </w:r>
      <w:r>
        <w:rPr>
          <w:rFonts w:ascii="Arial" w:hAnsi="Arial" w:cs="Arial"/>
          <w:sz w:val="24"/>
          <w:lang w:val="en-US"/>
        </w:rPr>
        <w:t xml:space="preserve">Beta amyloid in Alzheimer’s disease: increased deposition in brain is reflected in reduced concentration in cerebrospinal fluid. Biol Psychiatry. 2009 Jun 1;65(11):927–34. </w:t>
      </w:r>
    </w:p>
    <w:p w:rsidR="00E6100A" w:rsidRDefault="0007747F">
      <w:pPr>
        <w:pStyle w:val="Bibliography"/>
        <w:spacing w:line="480" w:lineRule="auto"/>
        <w:rPr>
          <w:rFonts w:ascii="Arial" w:hAnsi="Arial" w:cs="Arial"/>
          <w:sz w:val="24"/>
          <w:lang w:val="en-US"/>
        </w:rPr>
      </w:pPr>
      <w:r>
        <w:rPr>
          <w:rFonts w:ascii="Arial" w:hAnsi="Arial" w:cs="Arial"/>
          <w:sz w:val="24"/>
          <w:lang w:val="en-US"/>
        </w:rPr>
        <w:lastRenderedPageBreak/>
        <w:t xml:space="preserve">6. </w:t>
      </w:r>
      <w:r>
        <w:rPr>
          <w:rFonts w:ascii="Arial" w:hAnsi="Arial" w:cs="Arial"/>
          <w:sz w:val="24"/>
          <w:lang w:val="en-US"/>
        </w:rPr>
        <w:tab/>
        <w:t xml:space="preserve">Grimmer T, Tholen S, Yousefi BH, Alexopoulos P, Forschler A, Forstl H, et al. Progression of cerebral amyloid load is associated with the apolipoprotein E epsilon4 genotype in Alzheimer’s disease. Biol Psychiatry. 2010 Nov 15;68(10):879–84. </w:t>
      </w:r>
    </w:p>
    <w:p w:rsidR="00E6100A" w:rsidRDefault="0007747F">
      <w:pPr>
        <w:pStyle w:val="Bibliography"/>
        <w:spacing w:line="480" w:lineRule="auto"/>
        <w:rPr>
          <w:rFonts w:ascii="Arial" w:hAnsi="Arial" w:cs="Arial"/>
          <w:sz w:val="24"/>
          <w:lang w:val="en-US"/>
        </w:rPr>
      </w:pPr>
      <w:r>
        <w:rPr>
          <w:rFonts w:ascii="Arial" w:hAnsi="Arial" w:cs="Arial"/>
          <w:sz w:val="24"/>
          <w:lang w:val="en-US"/>
        </w:rPr>
        <w:t xml:space="preserve">7. </w:t>
      </w:r>
      <w:r>
        <w:rPr>
          <w:rFonts w:ascii="Arial" w:hAnsi="Arial" w:cs="Arial"/>
          <w:sz w:val="24"/>
          <w:lang w:val="en-US"/>
        </w:rPr>
        <w:tab/>
        <w:t xml:space="preserve">Ishii K, Imamura T, Sasaki M, Yamaji S, Sakamoto S, Kitagaki H, et al. Regional cerebral glucose metabolism in dementia with Lewy bodies and Alzheimer’s disease. Neurology. 1998 Jul;51(1):125–30. </w:t>
      </w:r>
    </w:p>
    <w:p w:rsidR="00E6100A" w:rsidRDefault="0007747F">
      <w:pPr>
        <w:pStyle w:val="Bibliography"/>
        <w:spacing w:line="480" w:lineRule="auto"/>
        <w:rPr>
          <w:rFonts w:ascii="Arial" w:hAnsi="Arial" w:cs="Arial"/>
          <w:sz w:val="24"/>
          <w:lang w:val="en-US"/>
        </w:rPr>
      </w:pPr>
      <w:r>
        <w:rPr>
          <w:rFonts w:ascii="Arial" w:hAnsi="Arial" w:cs="Arial"/>
          <w:sz w:val="24"/>
          <w:lang w:val="en-US"/>
        </w:rPr>
        <w:t xml:space="preserve">8. </w:t>
      </w:r>
      <w:r>
        <w:rPr>
          <w:rFonts w:ascii="Arial" w:hAnsi="Arial" w:cs="Arial"/>
          <w:sz w:val="24"/>
          <w:lang w:val="en-US"/>
        </w:rPr>
        <w:tab/>
        <w:t xml:space="preserve">Waxman AD. H K.Lewis, DH.Herscovitch, P.Minoshima, S.Ichise, M.Drzezga, AE.Devous, MD.Mountz, JM. Society of Nuclear Medicine Procedure Guideline for FDG PET Brain Imaging. Proced Guid FDG-PET Brain Imaging. 2009 Society;1.0(1):1–12. </w:t>
      </w:r>
    </w:p>
    <w:p w:rsidR="00E6100A" w:rsidRDefault="0007747F">
      <w:pPr>
        <w:pStyle w:val="Bibliography"/>
        <w:spacing w:line="480" w:lineRule="auto"/>
        <w:rPr>
          <w:rFonts w:ascii="Arial" w:hAnsi="Arial" w:cs="Arial"/>
          <w:sz w:val="24"/>
          <w:lang w:val="en-US"/>
        </w:rPr>
      </w:pPr>
      <w:r>
        <w:rPr>
          <w:rFonts w:ascii="Arial" w:hAnsi="Arial" w:cs="Arial"/>
          <w:sz w:val="24"/>
          <w:lang w:val="en-US"/>
        </w:rPr>
        <w:t xml:space="preserve">9. </w:t>
      </w:r>
      <w:r>
        <w:rPr>
          <w:rFonts w:ascii="Arial" w:hAnsi="Arial" w:cs="Arial"/>
          <w:sz w:val="24"/>
          <w:lang w:val="en-US"/>
        </w:rPr>
        <w:tab/>
        <w:t xml:space="preserve">Grimmer T, Goldhardt O, Guo L-H, Yousefi BH, Förster S, Drzezga A, et al. LRP-1 polymorphism is associated with global and regional amyloid load in Alzheimer’s Disease in humans in-vivo. NeuroImage Clin. 2014;4:411–6. </w:t>
      </w:r>
    </w:p>
    <w:p w:rsidR="00E6100A" w:rsidRDefault="0007747F">
      <w:pPr>
        <w:pStyle w:val="Bibliography"/>
        <w:spacing w:line="480" w:lineRule="auto"/>
        <w:rPr>
          <w:rFonts w:ascii="Arial" w:hAnsi="Arial" w:cs="Arial"/>
          <w:sz w:val="24"/>
          <w:lang w:val="en-US"/>
        </w:rPr>
      </w:pPr>
      <w:r>
        <w:rPr>
          <w:rFonts w:ascii="Arial" w:hAnsi="Arial" w:cs="Arial"/>
          <w:sz w:val="24"/>
          <w:lang w:val="en-US"/>
        </w:rPr>
        <w:t xml:space="preserve">10. </w:t>
      </w:r>
      <w:r>
        <w:rPr>
          <w:rFonts w:ascii="Arial" w:hAnsi="Arial" w:cs="Arial"/>
          <w:sz w:val="24"/>
          <w:lang w:val="en-US"/>
        </w:rPr>
        <w:tab/>
        <w:t xml:space="preserve">Diamandis EP, Yousef GM, Soosaipillai AR, Grass L, Porter A, Little S, et al. Immunofluorometric assay of human kallikrein 6 (zyme/protease M/neurosin) and preliminary clinical applications. Clin Biochem. 2000 Jul;33(5):369–75. </w:t>
      </w:r>
    </w:p>
    <w:p w:rsidR="00E6100A" w:rsidRDefault="0007747F">
      <w:pPr>
        <w:pStyle w:val="Bibliography"/>
        <w:spacing w:line="480" w:lineRule="auto"/>
        <w:rPr>
          <w:rFonts w:ascii="Arial" w:hAnsi="Arial" w:cs="Arial"/>
          <w:sz w:val="24"/>
          <w:lang w:val="en-US"/>
        </w:rPr>
      </w:pPr>
      <w:r>
        <w:rPr>
          <w:rFonts w:ascii="Arial" w:hAnsi="Arial" w:cs="Arial"/>
          <w:sz w:val="24"/>
          <w:lang w:val="en-US"/>
        </w:rPr>
        <w:t xml:space="preserve">11. </w:t>
      </w:r>
      <w:r>
        <w:rPr>
          <w:rFonts w:ascii="Arial" w:hAnsi="Arial" w:cs="Arial"/>
          <w:sz w:val="24"/>
          <w:lang w:val="en-US"/>
        </w:rPr>
        <w:tab/>
        <w:t xml:space="preserve">Hegen H, Auer M, Zeileis A, Deisenhammer F. Upper reference limits for cerebrospinal fluid total protein and albumin quotient based on a large cohort of control patients: implications for increased clinical specificity. Clin Chem Lab Med. 2016 Feb;54(2):285–92. </w:t>
      </w:r>
    </w:p>
    <w:p w:rsidR="00E6100A" w:rsidRDefault="0007747F">
      <w:pPr>
        <w:pStyle w:val="Bibliography"/>
        <w:spacing w:line="480" w:lineRule="auto"/>
        <w:rPr>
          <w:rFonts w:ascii="Arial" w:hAnsi="Arial" w:cs="Arial"/>
          <w:sz w:val="24"/>
        </w:rPr>
      </w:pPr>
      <w:r>
        <w:rPr>
          <w:rFonts w:ascii="Arial" w:hAnsi="Arial" w:cs="Arial"/>
          <w:sz w:val="24"/>
          <w:lang w:val="en-US"/>
        </w:rPr>
        <w:t xml:space="preserve">12. </w:t>
      </w:r>
      <w:r>
        <w:rPr>
          <w:rFonts w:ascii="Arial" w:hAnsi="Arial" w:cs="Arial"/>
          <w:sz w:val="24"/>
          <w:lang w:val="en-US"/>
        </w:rPr>
        <w:tab/>
        <w:t xml:space="preserve">Tzourio-Mazoyer N, Landeau B, Papathanassiou D, Crivello F, Etard O, Delcroix N, et al. Automated anatomical labeling of activations in SPM using a </w:t>
      </w:r>
      <w:r>
        <w:rPr>
          <w:rFonts w:ascii="Arial" w:hAnsi="Arial" w:cs="Arial"/>
          <w:sz w:val="24"/>
          <w:lang w:val="en-US"/>
        </w:rPr>
        <w:lastRenderedPageBreak/>
        <w:t xml:space="preserve">macroscopic anatomical parcellation of the MNI MRI single-subject brain. </w:t>
      </w:r>
      <w:r>
        <w:rPr>
          <w:rFonts w:ascii="Arial" w:hAnsi="Arial" w:cs="Arial"/>
          <w:sz w:val="24"/>
        </w:rPr>
        <w:t xml:space="preserve">NeuroImage. 2002 Jan;15(1):273–89. </w:t>
      </w:r>
    </w:p>
    <w:p w:rsidR="00E6100A" w:rsidRDefault="0007747F">
      <w:pPr>
        <w:spacing w:line="480" w:lineRule="auto"/>
        <w:rPr>
          <w:rFonts w:ascii="Arial" w:hAnsi="Arial" w:cs="Arial"/>
          <w:sz w:val="24"/>
          <w:szCs w:val="24"/>
          <w:lang w:val="en-US"/>
        </w:rPr>
      </w:pPr>
      <w:r>
        <w:rPr>
          <w:rFonts w:ascii="Arial" w:hAnsi="Arial" w:cs="Arial"/>
          <w:sz w:val="24"/>
          <w:szCs w:val="24"/>
          <w:lang w:val="en-US"/>
        </w:rPr>
        <w:fldChar w:fldCharType="end"/>
      </w:r>
    </w:p>
    <w:sectPr w:rsidR="00E6100A" w:rsidSect="00DB0E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FE4714"/>
    <w:multiLevelType w:val="hybridMultilevel"/>
    <w:tmpl w:val="63C88F66"/>
    <w:lvl w:ilvl="0" w:tplc="E1E0109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E6100A"/>
    <w:rsid w:val="0000061E"/>
    <w:rsid w:val="0007747F"/>
    <w:rsid w:val="006C74B8"/>
    <w:rsid w:val="00DB0ED8"/>
    <w:rsid w:val="00E6100A"/>
    <w:rsid w:val="00EF78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4"/>
        <w:lang w:val="de-DE"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0" w:line="240" w:lineRule="auto"/>
      <w:ind w:left="720"/>
      <w:contextualSpacing/>
    </w:pPr>
    <w:rPr>
      <w:rFonts w:ascii="Arial" w:hAnsi="Arial"/>
      <w:sz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Arial" w:hAnsi="Arial"/>
    </w:rPr>
  </w:style>
  <w:style w:type="character" w:customStyle="1" w:styleId="CommentTextChar">
    <w:name w:val="Comment Text Char"/>
    <w:basedOn w:val="DefaultParagraphFont"/>
    <w:link w:val="CommentText"/>
    <w:uiPriority w:val="99"/>
    <w:rPr>
      <w:sz w:val="20"/>
      <w:lang w:eastAsia="de-D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de-DE"/>
    </w:rPr>
  </w:style>
  <w:style w:type="paragraph" w:styleId="Bibliography">
    <w:name w:val="Bibliography"/>
    <w:basedOn w:val="Normal"/>
    <w:next w:val="Normal"/>
    <w:uiPriority w:val="37"/>
    <w:unhideWhenUsed/>
    <w:pPr>
      <w:tabs>
        <w:tab w:val="left" w:pos="504"/>
      </w:tabs>
      <w:spacing w:after="240" w:line="240" w:lineRule="auto"/>
      <w:ind w:left="504" w:hanging="504"/>
    </w:pPr>
  </w:style>
  <w:style w:type="table" w:styleId="TableGrid">
    <w:name w:val="Table Grid"/>
    <w:basedOn w:val="TableNormal"/>
    <w:uiPriority w:val="39"/>
    <w:pPr>
      <w:spacing w:after="0" w:line="240" w:lineRule="auto"/>
    </w:pPr>
    <w:rPr>
      <w:sz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style>
  <w:style w:type="paragraph" w:styleId="CommentSubject">
    <w:name w:val="annotation subject"/>
    <w:basedOn w:val="CommentText"/>
    <w:next w:val="CommentText"/>
    <w:link w:val="CommentSubjectChar"/>
    <w:uiPriority w:val="99"/>
    <w:semiHidden/>
    <w:unhideWhenUsed/>
    <w:pPr>
      <w:spacing w:after="200"/>
    </w:pPr>
    <w:rPr>
      <w:rFonts w:ascii="Times New Roman" w:hAnsi="Times New Roman"/>
      <w:b/>
      <w:bCs/>
    </w:rPr>
  </w:style>
  <w:style w:type="character" w:customStyle="1" w:styleId="CommentSubjectChar">
    <w:name w:val="Comment Subject Char"/>
    <w:basedOn w:val="CommentTextChar"/>
    <w:link w:val="CommentSubject"/>
    <w:uiPriority w:val="99"/>
    <w:semiHidden/>
    <w:rPr>
      <w:rFonts w:ascii="Times New Roman" w:hAnsi="Times New Roman"/>
      <w:b/>
      <w:bCs/>
      <w:sz w:val="20"/>
      <w:lang w:eastAsia="de-DE"/>
    </w:rPr>
  </w:style>
  <w:style w:type="paragraph" w:styleId="Revision">
    <w:name w:val="Revision"/>
    <w:hidden/>
    <w:uiPriority w:val="99"/>
    <w:semiHidden/>
    <w:pPr>
      <w:spacing w:after="0" w:line="240" w:lineRule="auto"/>
    </w:pPr>
    <w:rPr>
      <w:rFonts w:ascii="Times New Roman" w:hAnsi="Times New Roman"/>
      <w:sz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4"/>
        <w:lang w:val="de-DE"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0" w:line="240" w:lineRule="auto"/>
      <w:ind w:left="720"/>
      <w:contextualSpacing/>
    </w:pPr>
    <w:rPr>
      <w:rFonts w:ascii="Arial" w:hAnsi="Arial"/>
      <w:sz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Arial" w:hAnsi="Arial"/>
    </w:rPr>
  </w:style>
  <w:style w:type="character" w:customStyle="1" w:styleId="CommentTextChar">
    <w:name w:val="Comment Text Char"/>
    <w:basedOn w:val="DefaultParagraphFont"/>
    <w:link w:val="CommentText"/>
    <w:uiPriority w:val="99"/>
    <w:rPr>
      <w:sz w:val="20"/>
      <w:lang w:eastAsia="de-D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de-DE"/>
    </w:rPr>
  </w:style>
  <w:style w:type="paragraph" w:styleId="Bibliography">
    <w:name w:val="Bibliography"/>
    <w:basedOn w:val="Normal"/>
    <w:next w:val="Normal"/>
    <w:uiPriority w:val="37"/>
    <w:unhideWhenUsed/>
    <w:pPr>
      <w:tabs>
        <w:tab w:val="left" w:pos="504"/>
      </w:tabs>
      <w:spacing w:after="240" w:line="240" w:lineRule="auto"/>
      <w:ind w:left="504" w:hanging="504"/>
    </w:pPr>
  </w:style>
  <w:style w:type="table" w:styleId="TableGrid">
    <w:name w:val="Table Grid"/>
    <w:basedOn w:val="TableNormal"/>
    <w:uiPriority w:val="39"/>
    <w:pPr>
      <w:spacing w:after="0" w:line="240" w:lineRule="auto"/>
    </w:pPr>
    <w:rPr>
      <w:sz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style>
  <w:style w:type="paragraph" w:styleId="CommentSubject">
    <w:name w:val="annotation subject"/>
    <w:basedOn w:val="CommentText"/>
    <w:next w:val="CommentText"/>
    <w:link w:val="CommentSubjectChar"/>
    <w:uiPriority w:val="99"/>
    <w:semiHidden/>
    <w:unhideWhenUsed/>
    <w:pPr>
      <w:spacing w:after="200"/>
    </w:pPr>
    <w:rPr>
      <w:rFonts w:ascii="Times New Roman" w:hAnsi="Times New Roman"/>
      <w:b/>
      <w:bCs/>
    </w:rPr>
  </w:style>
  <w:style w:type="character" w:customStyle="1" w:styleId="CommentSubjectChar">
    <w:name w:val="Comment Subject Char"/>
    <w:basedOn w:val="CommentTextChar"/>
    <w:link w:val="CommentSubject"/>
    <w:uiPriority w:val="99"/>
    <w:semiHidden/>
    <w:rPr>
      <w:rFonts w:ascii="Times New Roman" w:hAnsi="Times New Roman"/>
      <w:b/>
      <w:bCs/>
      <w:sz w:val="20"/>
      <w:lang w:eastAsia="de-DE"/>
    </w:rPr>
  </w:style>
  <w:style w:type="paragraph" w:styleId="Revision">
    <w:name w:val="Revision"/>
    <w:hidden/>
    <w:uiPriority w:val="99"/>
    <w:semiHidden/>
    <w:pPr>
      <w:spacing w:after="0" w:line="240" w:lineRule="auto"/>
    </w:pPr>
    <w:rPr>
      <w:rFonts w:ascii="Times New Roman" w:hAnsi="Times New Roman"/>
      <w:sz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60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6562</Words>
  <Characters>36354</Characters>
  <Application>Microsoft Office Word</Application>
  <DocSecurity>0</DocSecurity>
  <Lines>1580</Lines>
  <Paragraphs>1159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grimmer</dc:creator>
  <cp:lastModifiedBy>MSARDAN</cp:lastModifiedBy>
  <cp:revision>6</cp:revision>
  <dcterms:created xsi:type="dcterms:W3CDTF">2019-05-01T04:01:00Z</dcterms:created>
  <dcterms:modified xsi:type="dcterms:W3CDTF">2019-08-16T00:35:00Z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id="DMh4D2M1"/&gt;&lt;style id="http://www.zotero.org/styles/vancouver" locale="en-US" hasBibliography="1" bibliographyStyleHasBeenSet="1"/&gt;&lt;prefs&gt;&lt;pref name="fieldType" value="Field"/&gt;&lt;pref name="store</vt:lpwstr>
  </property>
  <property fmtid="{D5CDD505-2E9C-101B-9397-08002B2CF9AE}" pid="3" name="ZOTERO_PREF_2">
    <vt:lpwstr>References" value="true"/&gt;&lt;pref name="automaticJournalAbbreviations" value="true"/&gt;&lt;pref name="noteType" value=""/&gt;&lt;/prefs&gt;&lt;/data&gt;</vt:lpwstr>
  </property>
</Properties>
</file>