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243" w:rsidRPr="00D91243" w:rsidRDefault="00F10237" w:rsidP="00D9124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n-GB"/>
        </w:rPr>
      </w:pPr>
      <w:r>
        <w:rPr>
          <w:rFonts w:ascii="Times New Roman" w:hAnsi="Times New Roman" w:cs="Times New Roman"/>
          <w:b/>
          <w:sz w:val="40"/>
          <w:szCs w:val="40"/>
          <w:lang w:val="en-GB"/>
        </w:rPr>
        <w:t xml:space="preserve">Additional file </w:t>
      </w:r>
      <w:r w:rsidR="00961C46">
        <w:rPr>
          <w:rFonts w:ascii="Times New Roman" w:hAnsi="Times New Roman" w:cs="Times New Roman"/>
          <w:b/>
          <w:sz w:val="40"/>
          <w:szCs w:val="40"/>
          <w:lang w:val="en-GB"/>
        </w:rPr>
        <w:t>3</w:t>
      </w:r>
      <w:bookmarkStart w:id="0" w:name="_GoBack"/>
      <w:bookmarkEnd w:id="0"/>
    </w:p>
    <w:p w:rsidR="00A92D6F" w:rsidRPr="00437598" w:rsidRDefault="00A92D6F" w:rsidP="00A92D6F">
      <w:pPr>
        <w:pStyle w:val="TAMainText"/>
        <w:ind w:firstLine="0"/>
        <w:rPr>
          <w:rFonts w:eastAsia="Times"/>
          <w:b/>
          <w:lang w:val="en-GB" w:eastAsia="ja-JP"/>
        </w:rPr>
      </w:pPr>
      <w:r w:rsidRPr="00437598">
        <w:rPr>
          <w:rStyle w:val="hps"/>
          <w:b/>
          <w:lang w:val="en"/>
        </w:rPr>
        <w:t>Materials and Methods</w:t>
      </w:r>
    </w:p>
    <w:p w:rsidR="00A92D6F" w:rsidRDefault="00A92D6F" w:rsidP="00A92D6F">
      <w:pPr>
        <w:pStyle w:val="TAMainText"/>
        <w:ind w:firstLine="0"/>
        <w:rPr>
          <w:kern w:val="18"/>
          <w:lang w:val="en-GB" w:eastAsia="fr-FR"/>
        </w:rPr>
      </w:pPr>
      <w:r w:rsidRPr="007A71B8">
        <w:rPr>
          <w:kern w:val="18"/>
          <w:lang w:val="en-GB" w:eastAsia="de-DE"/>
        </w:rPr>
        <w:t>All reagents were obtained from commercial sources unless otherwise noted, and used as received.</w:t>
      </w:r>
      <w:r>
        <w:rPr>
          <w:bCs/>
          <w:kern w:val="18"/>
          <w:lang w:val="en-GB" w:eastAsia="de-DE"/>
        </w:rPr>
        <w:t xml:space="preserve"> Conventional heated </w:t>
      </w:r>
      <w:r w:rsidRPr="007A71B8">
        <w:rPr>
          <w:bCs/>
          <w:kern w:val="18"/>
          <w:lang w:val="en-GB" w:eastAsia="de-DE"/>
        </w:rPr>
        <w:t xml:space="preserve">experiments were conducted using thermostatically controlled oil baths and </w:t>
      </w:r>
      <w:r w:rsidRPr="007A71B8">
        <w:rPr>
          <w:kern w:val="18"/>
          <w:lang w:val="en-GB" w:eastAsia="de-DE"/>
        </w:rPr>
        <w:t xml:space="preserve">were performed in oven-dried glassware. All reactions were </w:t>
      </w:r>
      <w:r>
        <w:rPr>
          <w:kern w:val="18"/>
          <w:lang w:val="en-GB" w:eastAsia="de-DE"/>
        </w:rPr>
        <w:t>controlled</w:t>
      </w:r>
      <w:r w:rsidRPr="007A71B8">
        <w:rPr>
          <w:kern w:val="18"/>
          <w:lang w:val="en-GB" w:eastAsia="de-DE"/>
        </w:rPr>
        <w:t xml:space="preserve"> by analytical </w:t>
      </w:r>
      <w:r>
        <w:rPr>
          <w:kern w:val="18"/>
          <w:lang w:val="en-GB" w:eastAsia="de-DE"/>
        </w:rPr>
        <w:t>thin layer chromatography (TLC) and GC-MS analysis.</w:t>
      </w:r>
      <w:r w:rsidRPr="007A71B8">
        <w:rPr>
          <w:kern w:val="18"/>
          <w:lang w:val="en-GB" w:eastAsia="de-DE"/>
        </w:rPr>
        <w:t xml:space="preserve"> TLC </w:t>
      </w:r>
      <w:proofErr w:type="gramStart"/>
      <w:r w:rsidRPr="007A71B8">
        <w:rPr>
          <w:kern w:val="18"/>
          <w:lang w:val="en-GB" w:eastAsia="de-DE"/>
        </w:rPr>
        <w:t>w</w:t>
      </w:r>
      <w:r>
        <w:rPr>
          <w:kern w:val="18"/>
          <w:lang w:val="en-GB" w:eastAsia="de-DE"/>
        </w:rPr>
        <w:t>ere</w:t>
      </w:r>
      <w:proofErr w:type="gramEnd"/>
      <w:r w:rsidRPr="007A71B8">
        <w:rPr>
          <w:kern w:val="18"/>
          <w:lang w:val="en-GB" w:eastAsia="de-DE"/>
        </w:rPr>
        <w:t xml:space="preserve"> performed on aluminium sheets </w:t>
      </w:r>
      <w:proofErr w:type="spellStart"/>
      <w:r w:rsidRPr="007A71B8">
        <w:rPr>
          <w:kern w:val="18"/>
          <w:lang w:val="en-GB" w:eastAsia="de-DE"/>
        </w:rPr>
        <w:t>precoated</w:t>
      </w:r>
      <w:proofErr w:type="spellEnd"/>
      <w:r w:rsidRPr="007A71B8">
        <w:rPr>
          <w:kern w:val="18"/>
          <w:lang w:val="en-GB" w:eastAsia="de-DE"/>
        </w:rPr>
        <w:t xml:space="preserve"> silica gel plates (60 F</w:t>
      </w:r>
      <w:r w:rsidRPr="007A71B8">
        <w:rPr>
          <w:kern w:val="18"/>
          <w:vertAlign w:val="subscript"/>
          <w:lang w:val="en-GB" w:eastAsia="de-DE"/>
        </w:rPr>
        <w:t>254</w:t>
      </w:r>
      <w:r w:rsidRPr="007A71B8">
        <w:rPr>
          <w:kern w:val="18"/>
          <w:lang w:val="en-GB" w:eastAsia="de-DE"/>
        </w:rPr>
        <w:t>, Merck). TLC plates were visualized using ir</w:t>
      </w:r>
      <w:r>
        <w:rPr>
          <w:kern w:val="18"/>
          <w:lang w:val="en-GB" w:eastAsia="de-DE"/>
        </w:rPr>
        <w:t xml:space="preserve">radiation with light at 254 nm </w:t>
      </w:r>
      <w:r w:rsidRPr="007A71B8">
        <w:rPr>
          <w:kern w:val="18"/>
          <w:lang w:val="en-GB" w:eastAsia="de-DE"/>
        </w:rPr>
        <w:t xml:space="preserve">or in an iodine chamber as appropriate. Flash column chromatography </w:t>
      </w:r>
      <w:r>
        <w:rPr>
          <w:kern w:val="18"/>
          <w:lang w:val="en-GB" w:eastAsia="de-DE"/>
        </w:rPr>
        <w:t xml:space="preserve">was </w:t>
      </w:r>
      <w:r w:rsidRPr="007A71B8">
        <w:rPr>
          <w:kern w:val="18"/>
          <w:lang w:val="en-GB" w:eastAsia="de-DE"/>
        </w:rPr>
        <w:t xml:space="preserve">carried out when necessary using silica gel 60 (particle size 0.040-0.063 mm, Merck). </w:t>
      </w:r>
    </w:p>
    <w:p w:rsidR="00A92D6F" w:rsidRDefault="00A92D6F" w:rsidP="00A92D6F">
      <w:pPr>
        <w:pStyle w:val="TAMainText"/>
        <w:ind w:firstLine="0"/>
        <w:rPr>
          <w:kern w:val="18"/>
          <w:lang w:val="en-GB" w:eastAsia="de-DE"/>
        </w:rPr>
      </w:pPr>
      <w:r w:rsidRPr="007A71B8">
        <w:rPr>
          <w:kern w:val="18"/>
          <w:vertAlign w:val="superscript"/>
          <w:lang w:val="en-GB" w:eastAsia="de-DE"/>
        </w:rPr>
        <w:t>1</w:t>
      </w:r>
      <w:r w:rsidRPr="007A71B8">
        <w:rPr>
          <w:kern w:val="18"/>
          <w:lang w:val="en-GB" w:eastAsia="de-DE"/>
        </w:rPr>
        <w:t xml:space="preserve">H and </w:t>
      </w:r>
      <w:r w:rsidRPr="007A71B8">
        <w:rPr>
          <w:kern w:val="18"/>
          <w:vertAlign w:val="superscript"/>
          <w:lang w:val="en-GB" w:eastAsia="de-DE"/>
        </w:rPr>
        <w:t>13</w:t>
      </w:r>
      <w:r w:rsidRPr="007A71B8">
        <w:rPr>
          <w:kern w:val="18"/>
          <w:lang w:val="en-GB" w:eastAsia="de-DE"/>
        </w:rPr>
        <w:t xml:space="preserve">C-NMR spectra were acquired on a Bruker </w:t>
      </w:r>
      <w:proofErr w:type="spellStart"/>
      <w:r w:rsidRPr="007A71B8">
        <w:rPr>
          <w:kern w:val="18"/>
          <w:lang w:val="en-GB" w:eastAsia="de-DE"/>
        </w:rPr>
        <w:t>BioSpin</w:t>
      </w:r>
      <w:proofErr w:type="spellEnd"/>
      <w:r w:rsidRPr="007A71B8">
        <w:rPr>
          <w:kern w:val="18"/>
          <w:lang w:val="en-GB" w:eastAsia="de-DE"/>
        </w:rPr>
        <w:t xml:space="preserve"> GmbH spectrometer 400 MHz, at room temperature. Chemical shifts are reported in δ units, parts per million (ppm). Coupling constants (</w:t>
      </w:r>
      <w:r w:rsidRPr="00574363">
        <w:rPr>
          <w:iCs/>
          <w:kern w:val="18"/>
          <w:lang w:val="en-GB" w:eastAsia="de-DE"/>
        </w:rPr>
        <w:t>J</w:t>
      </w:r>
      <w:r w:rsidRPr="007A71B8">
        <w:rPr>
          <w:kern w:val="18"/>
          <w:lang w:val="en-GB" w:eastAsia="de-DE"/>
        </w:rPr>
        <w:t xml:space="preserve">) are measured in hertz (Hz). Splitting patterns are designed as follows: s, singlet; d, doublet; </w:t>
      </w:r>
      <w:r>
        <w:rPr>
          <w:kern w:val="18"/>
          <w:lang w:val="en-GB" w:eastAsia="de-DE"/>
        </w:rPr>
        <w:t xml:space="preserve">m, </w:t>
      </w:r>
      <w:proofErr w:type="spellStart"/>
      <w:r>
        <w:rPr>
          <w:kern w:val="18"/>
          <w:lang w:val="en-GB" w:eastAsia="de-DE"/>
        </w:rPr>
        <w:t>multiplet</w:t>
      </w:r>
      <w:proofErr w:type="spellEnd"/>
      <w:r>
        <w:rPr>
          <w:kern w:val="18"/>
          <w:lang w:val="en-GB" w:eastAsia="de-DE"/>
        </w:rPr>
        <w:t xml:space="preserve">. </w:t>
      </w:r>
      <w:r w:rsidRPr="007A71B8">
        <w:rPr>
          <w:kern w:val="18"/>
          <w:lang w:val="en-GB" w:eastAsia="de-DE"/>
        </w:rPr>
        <w:t xml:space="preserve">Various 2D techniques and DEPT experiments were used to establish the structures and to assign the signals. </w:t>
      </w:r>
      <w:r>
        <w:rPr>
          <w:kern w:val="18"/>
          <w:lang w:val="en-GB" w:eastAsia="de-DE"/>
        </w:rPr>
        <w:t>GC-MS analysi</w:t>
      </w:r>
      <w:r w:rsidRPr="00794205">
        <w:rPr>
          <w:kern w:val="18"/>
          <w:lang w:val="en-GB" w:eastAsia="de-DE"/>
        </w:rPr>
        <w:t>s were performed with an Agilent</w:t>
      </w:r>
      <w:r w:rsidRPr="007A71B8">
        <w:rPr>
          <w:kern w:val="18"/>
          <w:lang w:val="en-GB" w:eastAsia="de-DE"/>
        </w:rPr>
        <w:t xml:space="preserve"> 6890N instrument equipped with a dimethyl </w:t>
      </w:r>
      <w:proofErr w:type="spellStart"/>
      <w:r w:rsidRPr="007A71B8">
        <w:rPr>
          <w:kern w:val="18"/>
          <w:lang w:val="en-GB" w:eastAsia="de-DE"/>
        </w:rPr>
        <w:t>polysiloxane</w:t>
      </w:r>
      <w:proofErr w:type="spellEnd"/>
      <w:r w:rsidRPr="007A71B8">
        <w:rPr>
          <w:kern w:val="18"/>
          <w:lang w:val="en-GB" w:eastAsia="de-DE"/>
        </w:rPr>
        <w:t xml:space="preserve"> capillary column</w:t>
      </w:r>
      <w:r>
        <w:rPr>
          <w:kern w:val="18"/>
          <w:lang w:val="en-GB" w:eastAsia="de-DE"/>
        </w:rPr>
        <w:t xml:space="preserve"> (</w:t>
      </w:r>
      <w:r w:rsidRPr="007A71B8">
        <w:rPr>
          <w:kern w:val="18"/>
          <w:lang w:val="en-GB" w:eastAsia="de-DE"/>
        </w:rPr>
        <w:t>12 m x 0.20 mm</w:t>
      </w:r>
      <w:r>
        <w:rPr>
          <w:kern w:val="18"/>
          <w:lang w:val="en-GB" w:eastAsia="de-DE"/>
        </w:rPr>
        <w:t>)</w:t>
      </w:r>
      <w:r w:rsidRPr="007A71B8">
        <w:rPr>
          <w:kern w:val="18"/>
          <w:lang w:val="en-GB" w:eastAsia="de-DE"/>
        </w:rPr>
        <w:t xml:space="preserve">  and an Agilent 5973N MS detector-column temperature </w:t>
      </w:r>
      <w:r w:rsidRPr="007A71B8">
        <w:rPr>
          <w:i/>
          <w:kern w:val="18"/>
          <w:lang w:val="en-GB" w:eastAsia="de-DE"/>
        </w:rPr>
        <w:t>gradient</w:t>
      </w:r>
      <w:r>
        <w:rPr>
          <w:kern w:val="18"/>
          <w:lang w:val="en-GB" w:eastAsia="de-DE"/>
        </w:rPr>
        <w:t xml:space="preserve"> 80-300°C (method 80): 80°C (1 min); 80°C to 300°C (12.05</w:t>
      </w:r>
      <w:r w:rsidRPr="007A71B8">
        <w:rPr>
          <w:kern w:val="18"/>
          <w:lang w:val="en-GB" w:eastAsia="de-DE"/>
        </w:rPr>
        <w:t>°C/m</w:t>
      </w:r>
      <w:r>
        <w:rPr>
          <w:kern w:val="18"/>
          <w:lang w:val="en-GB" w:eastAsia="de-DE"/>
        </w:rPr>
        <w:t>in); 3</w:t>
      </w:r>
      <w:r w:rsidRPr="007A71B8">
        <w:rPr>
          <w:kern w:val="18"/>
          <w:lang w:val="en-GB" w:eastAsia="de-DE"/>
        </w:rPr>
        <w:t>00°C (2 min); Infrared spectra were recorded over the 400-4000 cm</w:t>
      </w:r>
      <w:r w:rsidRPr="007A71B8">
        <w:rPr>
          <w:kern w:val="18"/>
          <w:vertAlign w:val="superscript"/>
          <w:lang w:val="en-GB" w:eastAsia="de-DE"/>
        </w:rPr>
        <w:t>-1</w:t>
      </w:r>
      <w:r w:rsidRPr="007A71B8">
        <w:rPr>
          <w:kern w:val="18"/>
          <w:lang w:val="en-GB" w:eastAsia="de-DE"/>
        </w:rPr>
        <w:t xml:space="preserve"> range with an Agilent Technologies Cary 630 FTIR/ ATR/ </w:t>
      </w:r>
      <w:proofErr w:type="spellStart"/>
      <w:r w:rsidRPr="007A71B8">
        <w:rPr>
          <w:kern w:val="18"/>
          <w:lang w:val="en-GB" w:eastAsia="de-DE"/>
        </w:rPr>
        <w:t>ZnSe</w:t>
      </w:r>
      <w:proofErr w:type="spellEnd"/>
      <w:r w:rsidRPr="007A71B8">
        <w:rPr>
          <w:kern w:val="18"/>
          <w:lang w:val="en-GB" w:eastAsia="de-DE"/>
        </w:rPr>
        <w:t xml:space="preserve"> spectrometer. </w:t>
      </w:r>
    </w:p>
    <w:p w:rsidR="005B2ABC" w:rsidRPr="00A92D6F" w:rsidRDefault="005B2ABC" w:rsidP="00A92D6F">
      <w:pPr>
        <w:spacing w:line="240" w:lineRule="auto"/>
        <w:ind w:left="142"/>
        <w:rPr>
          <w:lang w:val="en-GB"/>
        </w:rPr>
      </w:pPr>
    </w:p>
    <w:sectPr w:rsidR="005B2ABC" w:rsidRPr="00A92D6F" w:rsidSect="007A79D6">
      <w:footerReference w:type="default" r:id="rId9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5C9" w:rsidRDefault="00A035C9" w:rsidP="000F21B7">
      <w:pPr>
        <w:spacing w:after="0" w:line="240" w:lineRule="auto"/>
      </w:pPr>
      <w:r>
        <w:separator/>
      </w:r>
    </w:p>
  </w:endnote>
  <w:endnote w:type="continuationSeparator" w:id="0">
    <w:p w:rsidR="00A035C9" w:rsidRDefault="00A035C9" w:rsidP="000F2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0682444"/>
      <w:docPartObj>
        <w:docPartGallery w:val="Page Numbers (Bottom of Page)"/>
        <w:docPartUnique/>
      </w:docPartObj>
    </w:sdtPr>
    <w:sdtEndPr/>
    <w:sdtContent>
      <w:p w:rsidR="000F21B7" w:rsidRDefault="000F21B7">
        <w:pPr>
          <w:pStyle w:val="Pieddepage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61C46">
          <w:rPr>
            <w:noProof/>
          </w:rPr>
          <w:t>1</w:t>
        </w:r>
        <w:r>
          <w:fldChar w:fldCharType="end"/>
        </w:r>
      </w:p>
    </w:sdtContent>
  </w:sdt>
  <w:p w:rsidR="000F21B7" w:rsidRDefault="000F21B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5C9" w:rsidRDefault="00A035C9" w:rsidP="000F21B7">
      <w:pPr>
        <w:spacing w:after="0" w:line="240" w:lineRule="auto"/>
      </w:pPr>
      <w:r>
        <w:separator/>
      </w:r>
    </w:p>
  </w:footnote>
  <w:footnote w:type="continuationSeparator" w:id="0">
    <w:p w:rsidR="00A035C9" w:rsidRDefault="00A035C9" w:rsidP="000F2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00CB8"/>
    <w:multiLevelType w:val="hybridMultilevel"/>
    <w:tmpl w:val="8F3EEA10"/>
    <w:lvl w:ilvl="0" w:tplc="CF58DD84">
      <w:start w:val="5"/>
      <w:numFmt w:val="bullet"/>
      <w:lvlText w:val=""/>
      <w:lvlJc w:val="left"/>
      <w:pPr>
        <w:ind w:left="153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FF344B8"/>
    <w:multiLevelType w:val="hybridMultilevel"/>
    <w:tmpl w:val="ED986896"/>
    <w:lvl w:ilvl="0" w:tplc="CBC25D12">
      <w:start w:val="5"/>
      <w:numFmt w:val="bullet"/>
      <w:lvlText w:val=""/>
      <w:lvlJc w:val="left"/>
      <w:pPr>
        <w:ind w:left="573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2">
    <w:nsid w:val="466E37D6"/>
    <w:multiLevelType w:val="hybridMultilevel"/>
    <w:tmpl w:val="58C864F8"/>
    <w:lvl w:ilvl="0" w:tplc="A6FA507E">
      <w:start w:val="5"/>
      <w:numFmt w:val="bullet"/>
      <w:lvlText w:val=""/>
      <w:lvlJc w:val="left"/>
      <w:pPr>
        <w:ind w:left="-207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6D"/>
    <w:rsid w:val="00012BF8"/>
    <w:rsid w:val="00036461"/>
    <w:rsid w:val="00037C01"/>
    <w:rsid w:val="00060149"/>
    <w:rsid w:val="00065802"/>
    <w:rsid w:val="00065B07"/>
    <w:rsid w:val="000949DB"/>
    <w:rsid w:val="000A13F8"/>
    <w:rsid w:val="000A7E90"/>
    <w:rsid w:val="000D6098"/>
    <w:rsid w:val="000E712A"/>
    <w:rsid w:val="000F21B7"/>
    <w:rsid w:val="000F348E"/>
    <w:rsid w:val="001241ED"/>
    <w:rsid w:val="00136488"/>
    <w:rsid w:val="0016363C"/>
    <w:rsid w:val="00182CA2"/>
    <w:rsid w:val="00191FA4"/>
    <w:rsid w:val="001D2A93"/>
    <w:rsid w:val="001E14CC"/>
    <w:rsid w:val="001E7A6B"/>
    <w:rsid w:val="00212A3F"/>
    <w:rsid w:val="00227BB0"/>
    <w:rsid w:val="00251E04"/>
    <w:rsid w:val="00252F34"/>
    <w:rsid w:val="00260004"/>
    <w:rsid w:val="00273A04"/>
    <w:rsid w:val="002977DC"/>
    <w:rsid w:val="002A2100"/>
    <w:rsid w:val="002D1DC1"/>
    <w:rsid w:val="002D4A06"/>
    <w:rsid w:val="002F023E"/>
    <w:rsid w:val="0031636C"/>
    <w:rsid w:val="00346E21"/>
    <w:rsid w:val="00365F12"/>
    <w:rsid w:val="003871D4"/>
    <w:rsid w:val="00395CCC"/>
    <w:rsid w:val="003A3B82"/>
    <w:rsid w:val="003B5D41"/>
    <w:rsid w:val="003F070C"/>
    <w:rsid w:val="00403A48"/>
    <w:rsid w:val="00404D16"/>
    <w:rsid w:val="004105CC"/>
    <w:rsid w:val="00424ED8"/>
    <w:rsid w:val="00457D6D"/>
    <w:rsid w:val="00496EB7"/>
    <w:rsid w:val="004A09A7"/>
    <w:rsid w:val="004A0C69"/>
    <w:rsid w:val="004B5E71"/>
    <w:rsid w:val="004C39D1"/>
    <w:rsid w:val="004D3571"/>
    <w:rsid w:val="004E6276"/>
    <w:rsid w:val="004F50AD"/>
    <w:rsid w:val="005546F4"/>
    <w:rsid w:val="005665D8"/>
    <w:rsid w:val="0056705B"/>
    <w:rsid w:val="00572D93"/>
    <w:rsid w:val="0059015C"/>
    <w:rsid w:val="00591308"/>
    <w:rsid w:val="005925F5"/>
    <w:rsid w:val="00595FAD"/>
    <w:rsid w:val="005B2ABC"/>
    <w:rsid w:val="005D2914"/>
    <w:rsid w:val="005D54CF"/>
    <w:rsid w:val="005E4931"/>
    <w:rsid w:val="00611765"/>
    <w:rsid w:val="006B5DB5"/>
    <w:rsid w:val="006C24EA"/>
    <w:rsid w:val="006C2E1F"/>
    <w:rsid w:val="006D29D4"/>
    <w:rsid w:val="006E3A6D"/>
    <w:rsid w:val="00712E33"/>
    <w:rsid w:val="007138C2"/>
    <w:rsid w:val="0073361C"/>
    <w:rsid w:val="007400B3"/>
    <w:rsid w:val="007A291C"/>
    <w:rsid w:val="007A63BB"/>
    <w:rsid w:val="007A79D6"/>
    <w:rsid w:val="007B0642"/>
    <w:rsid w:val="007B0C9C"/>
    <w:rsid w:val="007D4D5F"/>
    <w:rsid w:val="007F3783"/>
    <w:rsid w:val="00802882"/>
    <w:rsid w:val="00820B96"/>
    <w:rsid w:val="008334A8"/>
    <w:rsid w:val="008714B4"/>
    <w:rsid w:val="00876AB4"/>
    <w:rsid w:val="00877765"/>
    <w:rsid w:val="00892FD7"/>
    <w:rsid w:val="00896388"/>
    <w:rsid w:val="008B3BB6"/>
    <w:rsid w:val="008B4887"/>
    <w:rsid w:val="008D56FA"/>
    <w:rsid w:val="008D789D"/>
    <w:rsid w:val="008E4886"/>
    <w:rsid w:val="008E535E"/>
    <w:rsid w:val="008E5DF5"/>
    <w:rsid w:val="00900032"/>
    <w:rsid w:val="0093109B"/>
    <w:rsid w:val="00931B23"/>
    <w:rsid w:val="00952EBE"/>
    <w:rsid w:val="00954B78"/>
    <w:rsid w:val="0095679C"/>
    <w:rsid w:val="00961C46"/>
    <w:rsid w:val="00977301"/>
    <w:rsid w:val="009978A2"/>
    <w:rsid w:val="009A3367"/>
    <w:rsid w:val="009C7D80"/>
    <w:rsid w:val="009D0544"/>
    <w:rsid w:val="009D0BF4"/>
    <w:rsid w:val="009E7A96"/>
    <w:rsid w:val="00A035C9"/>
    <w:rsid w:val="00A2173F"/>
    <w:rsid w:val="00A21D86"/>
    <w:rsid w:val="00A42C97"/>
    <w:rsid w:val="00A50E2D"/>
    <w:rsid w:val="00A55A3F"/>
    <w:rsid w:val="00A72D4E"/>
    <w:rsid w:val="00A806B1"/>
    <w:rsid w:val="00A87561"/>
    <w:rsid w:val="00A92D6F"/>
    <w:rsid w:val="00AA13AB"/>
    <w:rsid w:val="00AA24D7"/>
    <w:rsid w:val="00AB3166"/>
    <w:rsid w:val="00AB601E"/>
    <w:rsid w:val="00AE7609"/>
    <w:rsid w:val="00AF5EDD"/>
    <w:rsid w:val="00B5686D"/>
    <w:rsid w:val="00B6058C"/>
    <w:rsid w:val="00B81834"/>
    <w:rsid w:val="00B838CC"/>
    <w:rsid w:val="00BA6FCF"/>
    <w:rsid w:val="00BE618C"/>
    <w:rsid w:val="00BE79BF"/>
    <w:rsid w:val="00BF323E"/>
    <w:rsid w:val="00C116BA"/>
    <w:rsid w:val="00C427F4"/>
    <w:rsid w:val="00C5074D"/>
    <w:rsid w:val="00C54354"/>
    <w:rsid w:val="00C8104C"/>
    <w:rsid w:val="00C928F2"/>
    <w:rsid w:val="00C9507F"/>
    <w:rsid w:val="00CA5DA8"/>
    <w:rsid w:val="00CD59F4"/>
    <w:rsid w:val="00D0734E"/>
    <w:rsid w:val="00D1736E"/>
    <w:rsid w:val="00D51D35"/>
    <w:rsid w:val="00D558CE"/>
    <w:rsid w:val="00D57664"/>
    <w:rsid w:val="00D7458F"/>
    <w:rsid w:val="00D91243"/>
    <w:rsid w:val="00DC269C"/>
    <w:rsid w:val="00E06B88"/>
    <w:rsid w:val="00E135E0"/>
    <w:rsid w:val="00E31F51"/>
    <w:rsid w:val="00E44E5D"/>
    <w:rsid w:val="00E733CA"/>
    <w:rsid w:val="00E82CD3"/>
    <w:rsid w:val="00EA11E8"/>
    <w:rsid w:val="00EC5DCC"/>
    <w:rsid w:val="00ED76E4"/>
    <w:rsid w:val="00F10237"/>
    <w:rsid w:val="00F35C77"/>
    <w:rsid w:val="00F975C4"/>
    <w:rsid w:val="00FB4BC0"/>
    <w:rsid w:val="00FC3D64"/>
    <w:rsid w:val="00FD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896388"/>
    <w:pPr>
      <w:spacing w:after="0" w:line="280" w:lineRule="exact"/>
      <w:jc w:val="center"/>
    </w:pPr>
    <w:rPr>
      <w:rFonts w:ascii="Arial" w:eastAsia="Times New Roman" w:hAnsi="Arial" w:cs="Times New Roman"/>
      <w:sz w:val="20"/>
      <w:szCs w:val="24"/>
      <w:lang w:val="en-GB" w:eastAsia="fr-FR"/>
    </w:rPr>
  </w:style>
  <w:style w:type="character" w:customStyle="1" w:styleId="CorpsdetexteCar">
    <w:name w:val="Corps de texte Car"/>
    <w:basedOn w:val="Policepardfaut"/>
    <w:link w:val="Corpsdetexte"/>
    <w:rsid w:val="00896388"/>
    <w:rPr>
      <w:rFonts w:ascii="Arial" w:eastAsia="Times New Roman" w:hAnsi="Arial" w:cs="Times New Roman"/>
      <w:sz w:val="20"/>
      <w:szCs w:val="24"/>
      <w:lang w:val="en-GB" w:eastAsia="fr-FR"/>
    </w:rPr>
  </w:style>
  <w:style w:type="character" w:customStyle="1" w:styleId="hps">
    <w:name w:val="hps"/>
    <w:rsid w:val="00896388"/>
  </w:style>
  <w:style w:type="paragraph" w:customStyle="1" w:styleId="BCAuthorAddress">
    <w:name w:val="BC_Author_Address"/>
    <w:basedOn w:val="Normal"/>
    <w:next w:val="Normal"/>
    <w:rsid w:val="00896388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  <w:style w:type="character" w:styleId="Lienhypertexte">
    <w:name w:val="Hyperlink"/>
    <w:basedOn w:val="Policepardfaut"/>
    <w:uiPriority w:val="99"/>
    <w:unhideWhenUsed/>
    <w:rsid w:val="00896388"/>
    <w:rPr>
      <w:color w:val="0563C1" w:themeColor="hyperlink"/>
      <w:u w:val="single"/>
    </w:rPr>
  </w:style>
  <w:style w:type="paragraph" w:customStyle="1" w:styleId="TAMainText">
    <w:name w:val="TA_Main_Text"/>
    <w:basedOn w:val="Normal"/>
    <w:rsid w:val="00D91243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PrformatHTML">
    <w:name w:val="HTML Preformatted"/>
    <w:basedOn w:val="Normal"/>
    <w:link w:val="PrformatHTMLCar"/>
    <w:rsid w:val="00D912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 w:line="360" w:lineRule="auto"/>
      <w:ind w:firstLine="144"/>
      <w:jc w:val="both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rsid w:val="00D91243"/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BATitle">
    <w:name w:val="BA_Title"/>
    <w:basedOn w:val="Normal"/>
    <w:next w:val="Normal"/>
    <w:rsid w:val="00D91243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  <w:lang w:val="en-US"/>
    </w:rPr>
  </w:style>
  <w:style w:type="paragraph" w:customStyle="1" w:styleId="BBAuthorName">
    <w:name w:val="BB_Author_Name"/>
    <w:basedOn w:val="Normal"/>
    <w:next w:val="Normal"/>
    <w:rsid w:val="00D91243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val="en-US"/>
    </w:rPr>
  </w:style>
  <w:style w:type="paragraph" w:styleId="En-tte">
    <w:name w:val="header"/>
    <w:basedOn w:val="Normal"/>
    <w:link w:val="En-tteCar"/>
    <w:uiPriority w:val="99"/>
    <w:unhideWhenUsed/>
    <w:rsid w:val="000F2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21B7"/>
  </w:style>
  <w:style w:type="paragraph" w:styleId="Pieddepage">
    <w:name w:val="footer"/>
    <w:basedOn w:val="Normal"/>
    <w:link w:val="PieddepageCar"/>
    <w:uiPriority w:val="99"/>
    <w:unhideWhenUsed/>
    <w:rsid w:val="000F2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21B7"/>
  </w:style>
  <w:style w:type="paragraph" w:styleId="Textedebulles">
    <w:name w:val="Balloon Text"/>
    <w:basedOn w:val="Normal"/>
    <w:link w:val="TextedebullesCar"/>
    <w:uiPriority w:val="99"/>
    <w:semiHidden/>
    <w:unhideWhenUsed/>
    <w:rsid w:val="006C2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24E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2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896388"/>
    <w:pPr>
      <w:spacing w:after="0" w:line="280" w:lineRule="exact"/>
      <w:jc w:val="center"/>
    </w:pPr>
    <w:rPr>
      <w:rFonts w:ascii="Arial" w:eastAsia="Times New Roman" w:hAnsi="Arial" w:cs="Times New Roman"/>
      <w:sz w:val="20"/>
      <w:szCs w:val="24"/>
      <w:lang w:val="en-GB" w:eastAsia="fr-FR"/>
    </w:rPr>
  </w:style>
  <w:style w:type="character" w:customStyle="1" w:styleId="CorpsdetexteCar">
    <w:name w:val="Corps de texte Car"/>
    <w:basedOn w:val="Policepardfaut"/>
    <w:link w:val="Corpsdetexte"/>
    <w:rsid w:val="00896388"/>
    <w:rPr>
      <w:rFonts w:ascii="Arial" w:eastAsia="Times New Roman" w:hAnsi="Arial" w:cs="Times New Roman"/>
      <w:sz w:val="20"/>
      <w:szCs w:val="24"/>
      <w:lang w:val="en-GB" w:eastAsia="fr-FR"/>
    </w:rPr>
  </w:style>
  <w:style w:type="character" w:customStyle="1" w:styleId="hps">
    <w:name w:val="hps"/>
    <w:rsid w:val="00896388"/>
  </w:style>
  <w:style w:type="paragraph" w:customStyle="1" w:styleId="BCAuthorAddress">
    <w:name w:val="BC_Author_Address"/>
    <w:basedOn w:val="Normal"/>
    <w:next w:val="Normal"/>
    <w:rsid w:val="00896388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  <w:style w:type="character" w:styleId="Lienhypertexte">
    <w:name w:val="Hyperlink"/>
    <w:basedOn w:val="Policepardfaut"/>
    <w:uiPriority w:val="99"/>
    <w:unhideWhenUsed/>
    <w:rsid w:val="00896388"/>
    <w:rPr>
      <w:color w:val="0563C1" w:themeColor="hyperlink"/>
      <w:u w:val="single"/>
    </w:rPr>
  </w:style>
  <w:style w:type="paragraph" w:customStyle="1" w:styleId="TAMainText">
    <w:name w:val="TA_Main_Text"/>
    <w:basedOn w:val="Normal"/>
    <w:rsid w:val="00D91243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PrformatHTML">
    <w:name w:val="HTML Preformatted"/>
    <w:basedOn w:val="Normal"/>
    <w:link w:val="PrformatHTMLCar"/>
    <w:rsid w:val="00D912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 w:line="360" w:lineRule="auto"/>
      <w:ind w:firstLine="144"/>
      <w:jc w:val="both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rsid w:val="00D91243"/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BATitle">
    <w:name w:val="BA_Title"/>
    <w:basedOn w:val="Normal"/>
    <w:next w:val="Normal"/>
    <w:rsid w:val="00D91243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  <w:lang w:val="en-US"/>
    </w:rPr>
  </w:style>
  <w:style w:type="paragraph" w:customStyle="1" w:styleId="BBAuthorName">
    <w:name w:val="BB_Author_Name"/>
    <w:basedOn w:val="Normal"/>
    <w:next w:val="Normal"/>
    <w:rsid w:val="00D91243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val="en-US"/>
    </w:rPr>
  </w:style>
  <w:style w:type="paragraph" w:styleId="En-tte">
    <w:name w:val="header"/>
    <w:basedOn w:val="Normal"/>
    <w:link w:val="En-tteCar"/>
    <w:uiPriority w:val="99"/>
    <w:unhideWhenUsed/>
    <w:rsid w:val="000F2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21B7"/>
  </w:style>
  <w:style w:type="paragraph" w:styleId="Pieddepage">
    <w:name w:val="footer"/>
    <w:basedOn w:val="Normal"/>
    <w:link w:val="PieddepageCar"/>
    <w:uiPriority w:val="99"/>
    <w:unhideWhenUsed/>
    <w:rsid w:val="000F2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21B7"/>
  </w:style>
  <w:style w:type="paragraph" w:styleId="Textedebulles">
    <w:name w:val="Balloon Text"/>
    <w:basedOn w:val="Normal"/>
    <w:link w:val="TextedebullesCar"/>
    <w:uiPriority w:val="99"/>
    <w:semiHidden/>
    <w:unhideWhenUsed/>
    <w:rsid w:val="006C2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24E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2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53B93-1A10-47B9-A9B1-207FDD36D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Maité</cp:lastModifiedBy>
  <cp:revision>2</cp:revision>
  <dcterms:created xsi:type="dcterms:W3CDTF">2015-05-06T07:58:00Z</dcterms:created>
  <dcterms:modified xsi:type="dcterms:W3CDTF">2015-05-06T07:58:00Z</dcterms:modified>
</cp:coreProperties>
</file>