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534" w:rsidRPr="00012747" w:rsidRDefault="00F71534" w:rsidP="00F71534">
      <w:pPr>
        <w:pageBreakBefore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012747">
        <w:rPr>
          <w:rFonts w:ascii="Times New Roman" w:hAnsi="Times New Roman" w:cs="Times New Roman"/>
          <w:sz w:val="20"/>
          <w:szCs w:val="20"/>
          <w:lang w:val="en-GB"/>
        </w:rPr>
        <w:t xml:space="preserve">Table 1. Demographic and clinical parameters of 350 </w:t>
      </w:r>
      <w:r>
        <w:rPr>
          <w:rFonts w:ascii="Times New Roman" w:hAnsi="Times New Roman" w:cs="Times New Roman"/>
          <w:sz w:val="20"/>
          <w:szCs w:val="20"/>
          <w:lang w:val="en-GB"/>
        </w:rPr>
        <w:t>bacteraemia</w:t>
      </w:r>
      <w:r w:rsidRPr="00012747">
        <w:rPr>
          <w:rFonts w:ascii="Times New Roman" w:hAnsi="Times New Roman" w:cs="Times New Roman"/>
          <w:sz w:val="20"/>
          <w:szCs w:val="20"/>
          <w:lang w:val="en-GB"/>
        </w:rPr>
        <w:t xml:space="preserve"> from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012747">
        <w:rPr>
          <w:rFonts w:ascii="Times New Roman" w:hAnsi="Times New Roman" w:cs="Times New Roman"/>
          <w:sz w:val="20"/>
          <w:szCs w:val="20"/>
          <w:lang w:val="en-GB"/>
        </w:rPr>
        <w:t>English, Spanish and French literature</w:t>
      </w:r>
    </w:p>
    <w:p w:rsidR="00F71534" w:rsidRPr="00012747" w:rsidRDefault="00F71534" w:rsidP="00F71534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tbl>
      <w:tblPr>
        <w:tblW w:w="0" w:type="auto"/>
        <w:tblInd w:w="-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3261"/>
        <w:gridCol w:w="2873"/>
      </w:tblGrid>
      <w:tr w:rsidR="00F71534" w:rsidRPr="00012747" w:rsidTr="00AB24A1">
        <w:tc>
          <w:tcPr>
            <w:tcW w:w="2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Results for the 350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bacteraemia</w:t>
            </w: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012747">
              <w:rPr>
                <w:rFonts w:ascii="Times New Roman" w:hAnsi="Times New Roman" w:cs="Times New Roman"/>
                <w:color w:val="222222"/>
                <w:sz w:val="20"/>
                <w:szCs w:val="20"/>
                <w:lang w:val="en-GB"/>
              </w:rPr>
              <w:t xml:space="preserve">the denominator changes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lang w:val="en-GB"/>
              </w:rPr>
              <w:t>according to</w:t>
            </w:r>
            <w:r w:rsidRPr="00012747">
              <w:rPr>
                <w:rFonts w:ascii="Times New Roman" w:hAnsi="Times New Roman" w:cs="Times New Roman"/>
                <w:color w:val="222222"/>
                <w:sz w:val="20"/>
                <w:szCs w:val="20"/>
                <w:lang w:val="en-GB"/>
              </w:rPr>
              <w:t xml:space="preserve"> data availability for each case)</w:t>
            </w:r>
          </w:p>
        </w:tc>
      </w:tr>
      <w:tr w:rsidR="00F71534" w:rsidRPr="00012747" w:rsidTr="00AB24A1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</w:t>
            </w:r>
          </w:p>
        </w:tc>
        <w:tc>
          <w:tcPr>
            <w:tcW w:w="6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347 / 350</w:t>
            </w:r>
          </w:p>
        </w:tc>
      </w:tr>
      <w:tr w:rsidR="00F71534" w:rsidRPr="00012747" w:rsidTr="00AB24A1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Sex ratio (Male/Female)</w:t>
            </w:r>
          </w:p>
        </w:tc>
        <w:tc>
          <w:tcPr>
            <w:tcW w:w="6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 / 218</w:t>
            </w:r>
          </w:p>
        </w:tc>
      </w:tr>
      <w:tr w:rsidR="00F71534" w:rsidRPr="00012747" w:rsidTr="00AB24A1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Median age (years) [range]</w:t>
            </w:r>
          </w:p>
        </w:tc>
        <w:tc>
          <w:tcPr>
            <w:tcW w:w="6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 / 182 [60 hours - 88 years]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Predisposing factors §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Cirrhosis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 / 225 (54.2) [47.7-60.7]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liver diseases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 / 225 (15.1) [10.4-19.8]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Alcoholism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 / 225 (16.0) [11.2-20.8]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Diabetes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 / 225 (13.8) [9.3-18.3]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Malignant blood disease (%) </w:t>
            </w: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 / 225 (12.9) [8.5-17.3]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Iatrogenesis</w:t>
            </w:r>
            <w:proofErr w:type="spellEnd"/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¶ (%) [95% CI] 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/ 225 (12.0) [7.8-16.2]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Digestive surgery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/ 225 (9.3) [5.5-13.1]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Neoplasia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 / 225 (8.4) [4.8-12.1]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Infants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/ 225 (3.1) [0.8-5.4]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Nephropathy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/ 225 (2.2) [0.3-4.1]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Malnutrition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/ 225 (1.8) [0.1-3.5]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HIV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/ 225 (1.3) [0-2.8]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Miscellaneous ¤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/ 225 (2.7) [0.6-4.8]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None found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/ 225 (4.0) [1.4-6.6]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 of transmission §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Seafood consumption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 / 89 (53.9) [43.6-64.3]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Contact with contaminated water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/ 89 (30.3) [20.8-39.9]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Drinking contaminated water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/ 89 (12.4) [5.5-19.2]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Wound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/ 89 (7.9) [2.3-13.5]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found or not mentioned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261 / 350 (74.6) [70-79.1]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Clinical presentation § 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 or hyperthermia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172 / 226 (76.1) [70.5-81.7]</w:t>
            </w:r>
          </w:p>
        </w:tc>
      </w:tr>
      <w:tr w:rsidR="00F71534" w:rsidRPr="00012747" w:rsidTr="00AB24A1">
        <w:trPr>
          <w:cantSplit/>
          <w:trHeight w:val="359"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Diarrh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 / 226 (41.6) [35.2-48]</w:t>
            </w:r>
          </w:p>
        </w:tc>
      </w:tr>
      <w:tr w:rsidR="00F71534" w:rsidRPr="00012747" w:rsidTr="00AB24A1">
        <w:trPr>
          <w:cantSplit/>
          <w:trHeight w:val="465"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Abdominal pain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 / 226 (39.4) [33-45.8]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Chills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 / 226 (24.3) [18.7-29.9]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Hypotension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 / 226 (22.1) [16.7-27.5]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Jaundice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 / 226 (22.1) [16.7-27.5]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Ascites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 / 226 (20.4) [15.1-25.6]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Cellulitis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 / 226 (18.1) [13.1-23.2]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Nausea or vomiting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 / 226 (15.9) [11.2-20.7]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Confusion or coma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 / 226 (13.7) [9.2-18.2]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Peritonitis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/ 226 (10.2) [6.2-14.1]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Meningitis and/or encephalitis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/ 226 (2.2) [0.3-4.1]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Biology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Median white blood cell count* (/mm</w:t>
            </w:r>
            <w:r w:rsidRPr="0001274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[range]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10000 / 79 [100-250 000 due to chronic </w:t>
            </w:r>
            <w:proofErr w:type="spellStart"/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leukemia</w:t>
            </w:r>
            <w:proofErr w:type="spellEnd"/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Median CRP rates (mg/l) [range]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 / 19 [5-980]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Clinical outcome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Median duration of </w:t>
            </w:r>
            <w:proofErr w:type="spellStart"/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antibiotherapy</w:t>
            </w:r>
            <w:proofErr w:type="spellEnd"/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(days) [range]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 / 74 [3-75]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 (%) [95% CI]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 / 232 (33.2) [27.1-39.2]</w:t>
            </w:r>
          </w:p>
        </w:tc>
      </w:tr>
      <w:tr w:rsidR="00F71534" w:rsidRPr="00012747" w:rsidTr="00AB24A1">
        <w:trPr>
          <w:cantSplit/>
        </w:trPr>
        <w:tc>
          <w:tcPr>
            <w:tcW w:w="28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Median time to death (days) [range]</w:t>
            </w:r>
          </w:p>
        </w:tc>
        <w:tc>
          <w:tcPr>
            <w:tcW w:w="2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 / 36 [1 hour-90 days]</w:t>
            </w:r>
          </w:p>
        </w:tc>
      </w:tr>
    </w:tbl>
    <w:p w:rsidR="00F71534" w:rsidRPr="00012747" w:rsidRDefault="00F71534" w:rsidP="00F71534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F71534" w:rsidRPr="00012747" w:rsidRDefault="00F71534" w:rsidP="00F71534">
      <w:pPr>
        <w:jc w:val="both"/>
        <w:rPr>
          <w:rFonts w:ascii="Times New Roman" w:hAnsi="Times New Roman" w:cs="Times New Roman"/>
          <w:position w:val="14"/>
          <w:sz w:val="20"/>
          <w:szCs w:val="20"/>
          <w:lang w:val="en-GB"/>
        </w:rPr>
      </w:pPr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>* Under 12 years excluded</w:t>
      </w:r>
    </w:p>
    <w:p w:rsidR="00F71534" w:rsidRPr="00012747" w:rsidRDefault="00F71534" w:rsidP="00F71534">
      <w:pPr>
        <w:jc w:val="both"/>
        <w:rPr>
          <w:rFonts w:ascii="Times New Roman" w:hAnsi="Times New Roman" w:cs="Times New Roman"/>
          <w:position w:val="14"/>
          <w:sz w:val="20"/>
          <w:szCs w:val="20"/>
          <w:lang w:val="en-GB"/>
        </w:rPr>
      </w:pPr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 xml:space="preserve">¶ </w:t>
      </w:r>
      <w:proofErr w:type="spellStart"/>
      <w:proofErr w:type="gramStart"/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>ie</w:t>
      </w:r>
      <w:proofErr w:type="spellEnd"/>
      <w:proofErr w:type="gramEnd"/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 xml:space="preserve">. </w:t>
      </w:r>
      <w:proofErr w:type="gramStart"/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>corticosteroids</w:t>
      </w:r>
      <w:proofErr w:type="gramEnd"/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>, antacids, chemotherapy, splenectomy</w:t>
      </w:r>
    </w:p>
    <w:p w:rsidR="00F71534" w:rsidRPr="00012747" w:rsidRDefault="00F71534" w:rsidP="00F71534">
      <w:pPr>
        <w:jc w:val="both"/>
        <w:rPr>
          <w:rFonts w:ascii="Times New Roman" w:hAnsi="Times New Roman" w:cs="Times New Roman"/>
          <w:position w:val="14"/>
          <w:sz w:val="20"/>
          <w:szCs w:val="20"/>
          <w:lang w:val="en-GB"/>
        </w:rPr>
      </w:pPr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 xml:space="preserve">¤ </w:t>
      </w:r>
      <w:proofErr w:type="spellStart"/>
      <w:proofErr w:type="gramStart"/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>ie</w:t>
      </w:r>
      <w:proofErr w:type="spellEnd"/>
      <w:proofErr w:type="gramEnd"/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 xml:space="preserve">. </w:t>
      </w:r>
      <w:proofErr w:type="gramStart"/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>drowning</w:t>
      </w:r>
      <w:proofErr w:type="gramEnd"/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>, burns, intravenous drug abuse, systemic lupus, liver transplantation, heart-lung machine</w:t>
      </w:r>
    </w:p>
    <w:p w:rsidR="00F71534" w:rsidRPr="00012747" w:rsidRDefault="00F71534" w:rsidP="00F71534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 xml:space="preserve">§ Total </w:t>
      </w:r>
      <w:r>
        <w:rPr>
          <w:rFonts w:ascii="Times New Roman" w:hAnsi="Times New Roman" w:cs="Times New Roman"/>
          <w:position w:val="14"/>
          <w:sz w:val="20"/>
          <w:szCs w:val="20"/>
          <w:lang w:val="en-GB"/>
        </w:rPr>
        <w:t>count</w:t>
      </w:r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 xml:space="preserve"> may exceed 100% (one patient may have multiple occurrences)</w:t>
      </w:r>
    </w:p>
    <w:p w:rsidR="00F71534" w:rsidRPr="00012747" w:rsidRDefault="00F71534" w:rsidP="00F71534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71534" w:rsidRPr="00012747" w:rsidRDefault="00F71534" w:rsidP="00F71534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71534" w:rsidRPr="00012747" w:rsidRDefault="00F71534" w:rsidP="00F71534">
      <w:pPr>
        <w:pageBreakBefore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12747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2. Prognostic factors in non-O1, non-O139 </w:t>
      </w:r>
      <w:r w:rsidRPr="0001274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Vibrio </w:t>
      </w:r>
      <w:proofErr w:type="spellStart"/>
      <w:r w:rsidRPr="00012747">
        <w:rPr>
          <w:rFonts w:ascii="Times New Roman" w:hAnsi="Times New Roman" w:cs="Times New Roman"/>
          <w:i/>
          <w:iCs/>
          <w:sz w:val="20"/>
          <w:szCs w:val="20"/>
          <w:lang w:val="en-GB"/>
        </w:rPr>
        <w:t>cholerae</w:t>
      </w:r>
      <w:proofErr w:type="spellEnd"/>
      <w:r w:rsidRPr="0001274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bacteraemia</w:t>
      </w:r>
    </w:p>
    <w:p w:rsidR="00F71534" w:rsidRPr="00012747" w:rsidRDefault="00F71534" w:rsidP="00F71534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8905" w:type="dxa"/>
        <w:tblInd w:w="-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4"/>
        <w:gridCol w:w="1417"/>
        <w:gridCol w:w="993"/>
        <w:gridCol w:w="1701"/>
        <w:gridCol w:w="1842"/>
        <w:gridCol w:w="1418"/>
      </w:tblGrid>
      <w:tr w:rsidR="00F71534" w:rsidRPr="00012747" w:rsidTr="00AB24A1">
        <w:trPr>
          <w:cantSplit/>
        </w:trPr>
        <w:tc>
          <w:tcPr>
            <w:tcW w:w="1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</w:p>
        </w:tc>
      </w:tr>
      <w:tr w:rsidR="00F71534" w:rsidRPr="00012747" w:rsidTr="00AB24A1">
        <w:trPr>
          <w:cantSplit/>
        </w:trPr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Favourable</w:t>
            </w:r>
          </w:p>
        </w:tc>
        <w:tc>
          <w:tcPr>
            <w:tcW w:w="141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71534" w:rsidRPr="00012747" w:rsidRDefault="00F71534" w:rsidP="00AB24A1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rPr>
          <w:cantSplit/>
        </w:trPr>
        <w:tc>
          <w:tcPr>
            <w:tcW w:w="1534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(37)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(63)</w:t>
            </w:r>
          </w:p>
        </w:tc>
        <w:tc>
          <w:tcPr>
            <w:tcW w:w="141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</w:t>
            </w:r>
          </w:p>
        </w:tc>
      </w:tr>
      <w:tr w:rsidR="00F71534" w:rsidRPr="00012747" w:rsidTr="00AB24A1">
        <w:trPr>
          <w:cantSplit/>
        </w:trPr>
        <w:tc>
          <w:tcPr>
            <w:tcW w:w="15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 (35)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 (65)</w:t>
            </w: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age (years) (±SD, n)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52.63 (±19.62, 62)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52.66 (±20.55, 115)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F71534" w:rsidRPr="00012747" w:rsidTr="00AB24A1">
        <w:tc>
          <w:tcPr>
            <w:tcW w:w="1534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Predisposing factors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Cirrhosis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 (40.4)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 (59.6)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(29.9)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 (70.1)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liver diseases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(39.3)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(60.7)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 (34.5)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 (65.5)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Alcoholism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(36.1)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(63.9)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 (35)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 (65)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Diabetes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(37)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(63)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 (34.9)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 (65.1)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Malignant blood disease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(40.4)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(59.6)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 (34.4)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 (65.6)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Iatrogenesis</w:t>
            </w:r>
            <w:proofErr w:type="spellEnd"/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(37.5)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(62.5)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 (34.9)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 (65.1)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Digestive surgery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(5.6)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(94.4)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0.01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 (38.6)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 (61.4)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Neoplasia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(37.5)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(62.5)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 (35)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 (65)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Infants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(28.6)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(71.4)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 (35.5)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 (64.5)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Nephropathy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(25)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(75)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 (35.5)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 (64.5)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Malnutrition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(50)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(50)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 (35.1)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 (64.9)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HIV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(33.3)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(66.7)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 (34.7)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 (65.3)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Miscellaneous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(40)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(60)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 (35.3)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 (64.7)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Clinical presentation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 or hyperthermia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 (31.8)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 (68.2)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 (45.2)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(54.8)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Chills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(34.9)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 (65.1)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 (34.7)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 (65.3)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Hypotension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(67.5)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(32.5)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0.00001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 (21.8)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 (78.2)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Diarrh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(33.9)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 (66.1)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 (35.4)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 (64.6)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Abdominal pain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(27.3)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 (72.7)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 (39.5)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 (60.5)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Nausea or vomiting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(34.3)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(65.7)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 (34.9)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 (65.1)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Cellulitis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(40)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(60)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 (33.3)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 (66.7)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Jaundice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(26.5)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(73.5)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 (37.4)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 (62.6)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Ascites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(32)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(68)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 (35.3)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 (64.7)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Peritonitis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(38.5)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(61.5)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 (34.4)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 (65.6)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Confusion or coma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(55)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(45)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0.05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 (31.4)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 (68.6)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Meningitis and/or encephalitis (%)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(40)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(60)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 (34.6)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 (65.4)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71534" w:rsidRPr="00012747" w:rsidTr="00AB24A1">
        <w:tc>
          <w:tcPr>
            <w:tcW w:w="1534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Biology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white blood cell count* (/mm</w:t>
            </w:r>
            <w:r w:rsidRPr="0001274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(±SD, n)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22091 (±47377, 26)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12795 (±12592, 52)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</w:tr>
      <w:tr w:rsidR="00F71534" w:rsidRPr="00012747" w:rsidTr="00AB24A1">
        <w:tc>
          <w:tcPr>
            <w:tcW w:w="15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CRP rates (mg/l) (±SD, n)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198 (±354, 7)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 (±111, 12)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1534" w:rsidRPr="00012747" w:rsidRDefault="00F71534" w:rsidP="00AB24A1">
            <w:pPr>
              <w:pStyle w:val="Contenudetableau"/>
              <w:jc w:val="center"/>
              <w:rPr>
                <w:lang w:val="en-GB"/>
              </w:rPr>
            </w:pPr>
            <w:r w:rsidRPr="000127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</w:t>
            </w:r>
          </w:p>
        </w:tc>
      </w:tr>
    </w:tbl>
    <w:p w:rsidR="00F71534" w:rsidRPr="00012747" w:rsidRDefault="00F71534" w:rsidP="00F71534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012747">
        <w:rPr>
          <w:rFonts w:ascii="Times New Roman" w:hAnsi="Times New Roman" w:cs="Times New Roman"/>
          <w:position w:val="14"/>
          <w:sz w:val="20"/>
          <w:szCs w:val="20"/>
          <w:lang w:val="en-GB"/>
        </w:rPr>
        <w:t>* Under 12 years excluded</w:t>
      </w:r>
    </w:p>
    <w:p w:rsidR="00D40E17" w:rsidRDefault="00D40E17">
      <w:bookmarkStart w:id="0" w:name="_GoBack"/>
      <w:bookmarkEnd w:id="0"/>
    </w:p>
    <w:sectPr w:rsidR="00D40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34"/>
    <w:rsid w:val="00D40E17"/>
    <w:rsid w:val="00F7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9EB80-A862-477D-B504-5E30C2DF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534"/>
    <w:pPr>
      <w:widowControl w:val="0"/>
      <w:suppressAutoHyphens/>
      <w:spacing w:after="0" w:line="240" w:lineRule="auto"/>
    </w:pPr>
    <w:rPr>
      <w:rFonts w:ascii="Cambria" w:eastAsia="Cambria" w:hAnsi="Cambria" w:cs="Cambria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tableau">
    <w:name w:val="Contenu de tableau"/>
    <w:basedOn w:val="Normal"/>
    <w:rsid w:val="00F7153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Caen</Company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POINCON DE LA BLANCHARDIERE ARNAUD</dc:creator>
  <cp:keywords/>
  <dc:description/>
  <cp:lastModifiedBy>POINCON DE LA BLANCHARDIERE ARNAUD</cp:lastModifiedBy>
  <cp:revision>1</cp:revision>
  <dcterms:created xsi:type="dcterms:W3CDTF">2015-03-23T18:54:00Z</dcterms:created>
  <dcterms:modified xsi:type="dcterms:W3CDTF">2015-03-23T18:55:00Z</dcterms:modified>
</cp:coreProperties>
</file>