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D81" w:rsidRDefault="00E21D81" w:rsidP="00E21D81">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Additional Details on Food Security Indicators  </w:t>
      </w:r>
    </w:p>
    <w:p w:rsidR="00E21D81" w:rsidRPr="006A4C11" w:rsidRDefault="00E21D81" w:rsidP="00E21D81">
      <w:pPr>
        <w:spacing w:line="360" w:lineRule="auto"/>
        <w:jc w:val="both"/>
        <w:rPr>
          <w:rFonts w:ascii="Times New Roman" w:hAnsi="Times New Roman"/>
          <w:b/>
          <w:color w:val="000000"/>
          <w:sz w:val="24"/>
          <w:szCs w:val="24"/>
        </w:rPr>
      </w:pPr>
      <w:r w:rsidRPr="006A4C11">
        <w:rPr>
          <w:rFonts w:ascii="Times New Roman" w:hAnsi="Times New Roman"/>
          <w:b/>
          <w:color w:val="000000"/>
          <w:sz w:val="24"/>
          <w:szCs w:val="24"/>
        </w:rPr>
        <w:t xml:space="preserve">Food Availability component </w:t>
      </w:r>
    </w:p>
    <w:p w:rsidR="00E21D81" w:rsidRPr="00135A78" w:rsidRDefault="00E21D81" w:rsidP="00E21D81">
      <w:pPr>
        <w:spacing w:after="60" w:line="360" w:lineRule="auto"/>
        <w:jc w:val="both"/>
        <w:rPr>
          <w:rFonts w:ascii="ITCGaramondStd-LtCond" w:hAnsi="ITCGaramondStd-LtCond" w:cs="ITCGaramondStd-LtCond"/>
          <w:color w:val="000000"/>
          <w:sz w:val="23"/>
          <w:szCs w:val="23"/>
        </w:rPr>
      </w:pPr>
      <w:r w:rsidRPr="00135A78">
        <w:rPr>
          <w:rFonts w:ascii="Times New Roman" w:hAnsi="Times New Roman"/>
          <w:color w:val="000000"/>
          <w:sz w:val="24"/>
          <w:szCs w:val="24"/>
        </w:rPr>
        <w:t xml:space="preserve">We measured food availability by using two indicators: daily calorie consumption and Months of Adequate Household Food Provision (hereafter MAHFP). To estimate the average daily amount of food energy (i.e. kilocalories) consumed by a household member, we used </w:t>
      </w:r>
      <w:r w:rsidRPr="00135A78">
        <w:rPr>
          <w:rFonts w:ascii="Times New Roman" w:hAnsi="Times New Roman"/>
          <w:bCs/>
          <w:iCs/>
          <w:color w:val="000000"/>
          <w:sz w:val="24"/>
          <w:szCs w:val="24"/>
        </w:rPr>
        <w:t xml:space="preserve">daily calorie intake </w:t>
      </w:r>
      <w:r w:rsidRPr="00135A78">
        <w:rPr>
          <w:rFonts w:ascii="Times New Roman" w:hAnsi="Times New Roman"/>
          <w:color w:val="000000"/>
          <w:sz w:val="24"/>
          <w:szCs w:val="24"/>
        </w:rPr>
        <w:t xml:space="preserve">indicator based on per adult equivalents. We opted per adult equivalent given that it accounts for demographic composition of the household (such as sex and age) by considering variations in household food composition and varied individual energy requirements. This approach is often preferred over per capital one (which is obtained by dividing total household calories by the number of household members) given that it increases the precision of household food energy needs computation </w:t>
      </w:r>
      <w:r w:rsidR="001613A3">
        <w:rPr>
          <w:rFonts w:ascii="Times New Roman" w:hAnsi="Times New Roman"/>
          <w:color w:val="000000"/>
          <w:sz w:val="24"/>
          <w:szCs w:val="24"/>
        </w:rPr>
        <w:t xml:space="preserve">[1]. </w:t>
      </w:r>
      <w:r w:rsidRPr="00135A78">
        <w:rPr>
          <w:rFonts w:ascii="Times New Roman" w:hAnsi="Times New Roman"/>
          <w:color w:val="000000"/>
          <w:sz w:val="24"/>
          <w:szCs w:val="24"/>
        </w:rPr>
        <w:t xml:space="preserve">We calculated per adult equivalent by converting each household member to an adult equivalent unit (henceforth AEU) using nutrition based adult equivalent conversion factor developed by </w:t>
      </w:r>
      <w:r w:rsidR="001613A3">
        <w:rPr>
          <w:rFonts w:ascii="Times New Roman" w:hAnsi="Times New Roman"/>
          <w:color w:val="000000"/>
          <w:sz w:val="24"/>
          <w:szCs w:val="24"/>
        </w:rPr>
        <w:t xml:space="preserve">[2] </w:t>
      </w:r>
      <w:r w:rsidRPr="00135A78">
        <w:rPr>
          <w:rFonts w:ascii="Times New Roman" w:hAnsi="Times New Roman"/>
          <w:color w:val="000000"/>
          <w:sz w:val="24"/>
          <w:szCs w:val="24"/>
        </w:rPr>
        <w:t xml:space="preserve">for Ethiopia </w:t>
      </w:r>
      <w:r>
        <w:rPr>
          <w:rFonts w:ascii="Times New Roman" w:hAnsi="Times New Roman"/>
          <w:color w:val="000000"/>
          <w:sz w:val="24"/>
          <w:szCs w:val="24"/>
        </w:rPr>
        <w:t xml:space="preserve"> (see Table </w:t>
      </w:r>
      <w:r w:rsidR="001613A3">
        <w:rPr>
          <w:rFonts w:ascii="Times New Roman" w:hAnsi="Times New Roman"/>
          <w:color w:val="000000"/>
          <w:sz w:val="24"/>
          <w:szCs w:val="24"/>
        </w:rPr>
        <w:t>1</w:t>
      </w:r>
      <w:r w:rsidRPr="00135A78">
        <w:rPr>
          <w:rFonts w:ascii="Times New Roman" w:hAnsi="Times New Roman"/>
          <w:color w:val="000000"/>
          <w:sz w:val="24"/>
          <w:szCs w:val="24"/>
        </w:rPr>
        <w:t>). To do this, we created AEU variable by assigning an age-sex category to each individual in the household, calculating the number of members in each age-sex category in each household, multiplying the number of household in each category by the corresponding conversion factor, and adding up the number of adult equivalents to obtain the total number of adult equivalents for each household.</w:t>
      </w:r>
      <w:r w:rsidRPr="00135A78">
        <w:rPr>
          <w:rFonts w:ascii="ITCGaramondStd-LtCond" w:hAnsi="ITCGaramondStd-LtCond" w:cs="ITCGaramondStd-LtCond"/>
          <w:color w:val="000000"/>
          <w:sz w:val="23"/>
          <w:szCs w:val="23"/>
        </w:rPr>
        <w:t xml:space="preserve"> </w:t>
      </w:r>
    </w:p>
    <w:p w:rsidR="00E21D81"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To estimate calorie consumption, we followed standard procedures indicated in the literature. First, we converted all reported quantities into grams. All quantities of food reported by kilograms and liters are multiplied by 1000 to get gram metric quantities. Food quantities reported by local units are converted to kilogram (to match units with the conversion factor and measurement unit) and then multiplied it by 1000 to obtain gram metric quantities. The conversion of local units to standard measurement unit was done in consultation with local experts and community representatives (especially women). </w:t>
      </w:r>
    </w:p>
    <w:p w:rsidR="00E21D81" w:rsidRDefault="00E21D81" w:rsidP="00E21D81">
      <w:pPr>
        <w:spacing w:after="60" w:line="360" w:lineRule="auto"/>
        <w:jc w:val="both"/>
        <w:rPr>
          <w:rFonts w:ascii="Times New Roman" w:hAnsi="Times New Roman"/>
          <w:color w:val="000000"/>
          <w:sz w:val="24"/>
          <w:szCs w:val="24"/>
        </w:rPr>
      </w:pPr>
    </w:p>
    <w:p w:rsidR="00E21D81" w:rsidRDefault="00E21D81" w:rsidP="00E21D81">
      <w:pPr>
        <w:spacing w:after="60" w:line="360" w:lineRule="auto"/>
        <w:jc w:val="both"/>
        <w:rPr>
          <w:rFonts w:ascii="Times New Roman" w:hAnsi="Times New Roman"/>
          <w:color w:val="000000"/>
          <w:sz w:val="24"/>
          <w:szCs w:val="24"/>
        </w:rPr>
      </w:pPr>
    </w:p>
    <w:p w:rsidR="00E21D81" w:rsidRDefault="00E21D81" w:rsidP="00E21D81">
      <w:pPr>
        <w:spacing w:after="60" w:line="360" w:lineRule="auto"/>
        <w:jc w:val="both"/>
        <w:rPr>
          <w:rFonts w:ascii="Times New Roman" w:hAnsi="Times New Roman"/>
          <w:color w:val="000000"/>
          <w:sz w:val="24"/>
          <w:szCs w:val="24"/>
        </w:rPr>
      </w:pPr>
    </w:p>
    <w:p w:rsidR="00E21D81" w:rsidRDefault="00E21D81" w:rsidP="00E21D81">
      <w:pPr>
        <w:spacing w:after="60" w:line="360" w:lineRule="auto"/>
        <w:jc w:val="both"/>
        <w:rPr>
          <w:rFonts w:ascii="Times New Roman" w:hAnsi="Times New Roman"/>
          <w:color w:val="000000"/>
          <w:sz w:val="24"/>
          <w:szCs w:val="24"/>
        </w:rPr>
      </w:pPr>
    </w:p>
    <w:p w:rsidR="00E21D81" w:rsidRPr="00135A78"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 </w:t>
      </w:r>
    </w:p>
    <w:p w:rsidR="00E21D81" w:rsidRPr="00A85BF5" w:rsidRDefault="001613A3" w:rsidP="00E21D81">
      <w:pPr>
        <w:pStyle w:val="Heading1"/>
        <w:spacing w:before="0" w:line="240" w:lineRule="auto"/>
        <w:rPr>
          <w:rFonts w:ascii="Times-Roman" w:hAnsi="Times-Roman" w:cs="Times-Roman"/>
          <w:color w:val="000000"/>
          <w:sz w:val="24"/>
          <w:szCs w:val="24"/>
        </w:rPr>
      </w:pPr>
      <w:bookmarkStart w:id="0" w:name="_Toc255170197"/>
      <w:bookmarkStart w:id="1" w:name="_Toc255174873"/>
      <w:bookmarkStart w:id="2" w:name="_Toc255181224"/>
      <w:r>
        <w:rPr>
          <w:rFonts w:ascii="Times-Roman" w:hAnsi="Times-Roman" w:cs="Times-Roman"/>
          <w:b w:val="0"/>
          <w:color w:val="000000"/>
          <w:sz w:val="24"/>
          <w:szCs w:val="24"/>
        </w:rPr>
        <w:t xml:space="preserve">Table </w:t>
      </w:r>
      <w:r w:rsidR="008A7673">
        <w:rPr>
          <w:rFonts w:ascii="Times-Roman" w:hAnsi="Times-Roman" w:cs="Times-Roman"/>
          <w:b w:val="0"/>
          <w:color w:val="000000"/>
          <w:sz w:val="24"/>
          <w:szCs w:val="24"/>
        </w:rPr>
        <w:t>S</w:t>
      </w:r>
      <w:r>
        <w:rPr>
          <w:rFonts w:ascii="Times-Roman" w:hAnsi="Times-Roman" w:cs="Times-Roman"/>
          <w:b w:val="0"/>
          <w:color w:val="000000"/>
          <w:sz w:val="24"/>
          <w:szCs w:val="24"/>
        </w:rPr>
        <w:t>1</w:t>
      </w:r>
      <w:r w:rsidR="00E21D81" w:rsidRPr="00A85BF5">
        <w:rPr>
          <w:rFonts w:ascii="Times-Roman" w:hAnsi="Times-Roman" w:cs="Times-Roman"/>
          <w:b w:val="0"/>
          <w:color w:val="000000"/>
          <w:sz w:val="24"/>
          <w:szCs w:val="24"/>
        </w:rPr>
        <w:t>:</w:t>
      </w:r>
      <w:r w:rsidR="00E21D81" w:rsidRPr="00A85BF5">
        <w:rPr>
          <w:rFonts w:ascii="Times-Roman" w:hAnsi="Times-Roman" w:cs="Times-Roman"/>
          <w:color w:val="000000"/>
          <w:sz w:val="24"/>
          <w:szCs w:val="24"/>
        </w:rPr>
        <w:t xml:space="preserve"> </w:t>
      </w:r>
      <w:r w:rsidR="00E21D81" w:rsidRPr="00A85BF5">
        <w:rPr>
          <w:rFonts w:ascii="Times-Roman" w:hAnsi="Times-Roman" w:cs="Times-Roman"/>
          <w:b w:val="0"/>
          <w:color w:val="000000"/>
          <w:sz w:val="24"/>
          <w:szCs w:val="24"/>
        </w:rPr>
        <w:t>Nutrition based adult equivalent conversion factor</w:t>
      </w:r>
      <w:bookmarkEnd w:id="0"/>
      <w:bookmarkEnd w:id="1"/>
      <w:r w:rsidR="00E21D81" w:rsidRPr="00A85BF5">
        <w:rPr>
          <w:rFonts w:ascii="Times-Roman" w:hAnsi="Times-Roman" w:cs="Times-Roman"/>
          <w:color w:val="000000"/>
          <w:sz w:val="24"/>
          <w:szCs w:val="24"/>
        </w:rPr>
        <w:t>.</w:t>
      </w:r>
      <w:bookmarkEnd w:id="2"/>
      <w:r w:rsidR="00E21D81" w:rsidRPr="00A85BF5">
        <w:rPr>
          <w:rFonts w:ascii="Times-Roman" w:hAnsi="Times-Roman" w:cs="Times-Roman"/>
          <w:color w:val="000000"/>
          <w:sz w:val="24"/>
          <w:szCs w:val="24"/>
        </w:rPr>
        <w:t xml:space="preserve"> </w:t>
      </w:r>
    </w:p>
    <w:tbl>
      <w:tblPr>
        <w:tblW w:w="0" w:type="auto"/>
        <w:tblLook w:val="04A0" w:firstRow="1" w:lastRow="0" w:firstColumn="1" w:lastColumn="0" w:noHBand="0" w:noVBand="1"/>
      </w:tblPr>
      <w:tblGrid>
        <w:gridCol w:w="3192"/>
        <w:gridCol w:w="3192"/>
        <w:gridCol w:w="3192"/>
      </w:tblGrid>
      <w:tr w:rsidR="00E21D81" w:rsidRPr="004766D5" w:rsidTr="00032B09">
        <w:tc>
          <w:tcPr>
            <w:tcW w:w="3192" w:type="dxa"/>
            <w:vMerge w:val="restart"/>
            <w:tcBorders>
              <w:top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p>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Age</w:t>
            </w:r>
          </w:p>
        </w:tc>
        <w:tc>
          <w:tcPr>
            <w:tcW w:w="6384" w:type="dxa"/>
            <w:gridSpan w:val="2"/>
            <w:tcBorders>
              <w:top w:val="single" w:sz="12" w:space="0" w:color="auto"/>
              <w:bottom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Sex</w:t>
            </w:r>
          </w:p>
        </w:tc>
      </w:tr>
      <w:tr w:rsidR="00E21D81" w:rsidRPr="004766D5" w:rsidTr="00032B09">
        <w:tc>
          <w:tcPr>
            <w:tcW w:w="3192" w:type="dxa"/>
            <w:vMerge/>
            <w:tcBorders>
              <w:bottom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p>
        </w:tc>
        <w:tc>
          <w:tcPr>
            <w:tcW w:w="3192" w:type="dxa"/>
            <w:tcBorders>
              <w:top w:val="single" w:sz="12" w:space="0" w:color="auto"/>
              <w:bottom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Male</w:t>
            </w:r>
          </w:p>
        </w:tc>
        <w:tc>
          <w:tcPr>
            <w:tcW w:w="3192" w:type="dxa"/>
            <w:tcBorders>
              <w:top w:val="single" w:sz="12" w:space="0" w:color="auto"/>
              <w:bottom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Female</w:t>
            </w:r>
          </w:p>
        </w:tc>
      </w:tr>
      <w:tr w:rsidR="00E21D81" w:rsidRPr="004766D5" w:rsidTr="00032B09">
        <w:tc>
          <w:tcPr>
            <w:tcW w:w="3192" w:type="dxa"/>
            <w:tcBorders>
              <w:top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&lt;1</w:t>
            </w:r>
          </w:p>
        </w:tc>
        <w:tc>
          <w:tcPr>
            <w:tcW w:w="3192" w:type="dxa"/>
            <w:tcBorders>
              <w:top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0.33</w:t>
            </w:r>
          </w:p>
        </w:tc>
        <w:tc>
          <w:tcPr>
            <w:tcW w:w="3192" w:type="dxa"/>
            <w:tcBorders>
              <w:top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0.33</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1-2</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0.46</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0.46</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2-3</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0.54</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0.54</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3-5</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0.62</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0.62</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5-7</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0.74</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0.70</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7-10</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0.84</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0.72</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10-12</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0.88</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0.78</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12-14</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0.96</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0.84</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14-16</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1.06</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0.86</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16-18</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1.14</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0.86</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18-30</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1.04</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0.80</w:t>
            </w:r>
          </w:p>
        </w:tc>
      </w:tr>
      <w:tr w:rsidR="00E21D81" w:rsidRPr="004766D5" w:rsidTr="00032B09">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30-60</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1.0</w:t>
            </w:r>
          </w:p>
        </w:tc>
        <w:tc>
          <w:tcPr>
            <w:tcW w:w="3192" w:type="dxa"/>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0.82</w:t>
            </w:r>
          </w:p>
        </w:tc>
      </w:tr>
      <w:tr w:rsidR="00E21D81" w:rsidRPr="004766D5" w:rsidTr="00032B09">
        <w:tc>
          <w:tcPr>
            <w:tcW w:w="3192" w:type="dxa"/>
            <w:tcBorders>
              <w:bottom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60 and above</w:t>
            </w:r>
          </w:p>
        </w:tc>
        <w:tc>
          <w:tcPr>
            <w:tcW w:w="3192" w:type="dxa"/>
            <w:tcBorders>
              <w:bottom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0.84</w:t>
            </w:r>
          </w:p>
        </w:tc>
        <w:tc>
          <w:tcPr>
            <w:tcW w:w="3192" w:type="dxa"/>
            <w:tcBorders>
              <w:bottom w:val="single" w:sz="12" w:space="0" w:color="auto"/>
            </w:tcBorders>
          </w:tcPr>
          <w:p w:rsidR="00E21D81" w:rsidRPr="004766D5" w:rsidRDefault="00E21D81" w:rsidP="00032B09">
            <w:pPr>
              <w:spacing w:after="0" w:line="240" w:lineRule="auto"/>
              <w:jc w:val="center"/>
              <w:rPr>
                <w:rFonts w:ascii="Times New Roman" w:hAnsi="Times New Roman"/>
                <w:color w:val="000000"/>
                <w:sz w:val="20"/>
                <w:szCs w:val="20"/>
              </w:rPr>
            </w:pPr>
            <w:r w:rsidRPr="004766D5">
              <w:rPr>
                <w:rFonts w:ascii="Times New Roman" w:hAnsi="Times New Roman"/>
                <w:color w:val="000000"/>
                <w:sz w:val="20"/>
                <w:szCs w:val="20"/>
              </w:rPr>
              <w:t>0.74</w:t>
            </w:r>
          </w:p>
        </w:tc>
      </w:tr>
    </w:tbl>
    <w:p w:rsidR="00E21D81" w:rsidRPr="00135A78" w:rsidRDefault="00E21D81" w:rsidP="00E21D81">
      <w:pPr>
        <w:spacing w:after="120"/>
        <w:jc w:val="both"/>
        <w:rPr>
          <w:rFonts w:ascii="Times-Roman" w:hAnsi="Times-Roman" w:cs="Times-Roman"/>
          <w:color w:val="000000"/>
          <w:sz w:val="23"/>
          <w:szCs w:val="23"/>
        </w:rPr>
      </w:pPr>
      <w:r w:rsidRPr="00135A78">
        <w:rPr>
          <w:rFonts w:ascii="Times-Roman" w:hAnsi="Times-Roman" w:cs="Times-Roman"/>
          <w:color w:val="000000"/>
          <w:sz w:val="23"/>
          <w:szCs w:val="23"/>
        </w:rPr>
        <w:t xml:space="preserve">Source: </w:t>
      </w:r>
      <w:proofErr w:type="spellStart"/>
      <w:r w:rsidRPr="00135A78">
        <w:rPr>
          <w:rFonts w:ascii="Times-Roman" w:hAnsi="Times-Roman" w:cs="Times-Roman"/>
          <w:color w:val="000000"/>
          <w:sz w:val="23"/>
          <w:szCs w:val="23"/>
        </w:rPr>
        <w:t>Dercon</w:t>
      </w:r>
      <w:proofErr w:type="spellEnd"/>
      <w:r w:rsidRPr="00135A78">
        <w:rPr>
          <w:rFonts w:ascii="Times-Roman" w:hAnsi="Times-Roman" w:cs="Times-Roman"/>
          <w:color w:val="000000"/>
          <w:sz w:val="23"/>
          <w:szCs w:val="23"/>
        </w:rPr>
        <w:t xml:space="preserve"> &amp; </w:t>
      </w:r>
      <w:proofErr w:type="spellStart"/>
      <w:r w:rsidRPr="00135A78">
        <w:rPr>
          <w:rFonts w:ascii="Times-Roman" w:hAnsi="Times-Roman" w:cs="Times-Roman"/>
          <w:color w:val="000000"/>
          <w:sz w:val="23"/>
          <w:szCs w:val="23"/>
        </w:rPr>
        <w:t>Kirshnan</w:t>
      </w:r>
      <w:proofErr w:type="spellEnd"/>
      <w:r w:rsidRPr="00135A78">
        <w:rPr>
          <w:rFonts w:ascii="Times-Roman" w:hAnsi="Times-Roman" w:cs="Times-Roman"/>
          <w:color w:val="000000"/>
          <w:sz w:val="23"/>
          <w:szCs w:val="23"/>
        </w:rPr>
        <w:t xml:space="preserve"> (1998, p.40). </w:t>
      </w:r>
    </w:p>
    <w:p w:rsidR="00E21D81" w:rsidRPr="00135A78" w:rsidRDefault="00E21D81" w:rsidP="00E21D81">
      <w:pPr>
        <w:spacing w:after="60" w:line="360" w:lineRule="auto"/>
        <w:jc w:val="both"/>
        <w:rPr>
          <w:color w:val="000000"/>
          <w:sz w:val="18"/>
          <w:szCs w:val="18"/>
        </w:rPr>
      </w:pPr>
      <w:r w:rsidRPr="00135A78">
        <w:rPr>
          <w:rFonts w:ascii="Times New Roman" w:hAnsi="Times New Roman"/>
          <w:color w:val="000000"/>
          <w:sz w:val="24"/>
          <w:szCs w:val="24"/>
        </w:rPr>
        <w:t xml:space="preserve">Food items reported by monetary values are converted to metric quantities by dividing the expenditures by local market price. The practice of eating food outside the home is very low in the study areas and thus this category is not included in the computation. </w:t>
      </w:r>
      <w:r w:rsidRPr="004E6F66">
        <w:rPr>
          <w:rFonts w:ascii="Times New Roman" w:hAnsi="Times New Roman"/>
          <w:color w:val="000000"/>
          <w:sz w:val="24"/>
          <w:szCs w:val="24"/>
        </w:rPr>
        <w:t>We believe that excluding this category does not affect our estimates significantly. Secondly, after we converted all quantities to grams, we once again converted grams to calories (to estimate total daily calorie consumption) by taking the quantity consumed per household for each food item and multiplying it by its energy</w:t>
      </w:r>
      <w:r w:rsidRPr="00135A78">
        <w:rPr>
          <w:rFonts w:ascii="Times New Roman" w:hAnsi="Times New Roman"/>
          <w:color w:val="000000"/>
          <w:sz w:val="24"/>
          <w:szCs w:val="24"/>
        </w:rPr>
        <w:t xml:space="preserve"> value (kilocalories) based on the Ethiopian Food Composition Table developed by Ethiopian Public Health Institute for each region (2013) (we used food composition table prepared for </w:t>
      </w:r>
      <w:proofErr w:type="spellStart"/>
      <w:r w:rsidRPr="00135A78">
        <w:rPr>
          <w:rFonts w:ascii="Times New Roman" w:hAnsi="Times New Roman"/>
          <w:color w:val="000000"/>
          <w:sz w:val="24"/>
          <w:szCs w:val="24"/>
        </w:rPr>
        <w:t>Gambella</w:t>
      </w:r>
      <w:proofErr w:type="spellEnd"/>
      <w:r w:rsidRPr="00135A78">
        <w:rPr>
          <w:rFonts w:ascii="Times New Roman" w:hAnsi="Times New Roman"/>
          <w:color w:val="000000"/>
          <w:sz w:val="24"/>
          <w:szCs w:val="24"/>
        </w:rPr>
        <w:t xml:space="preserve"> region) and divide the value by seven. In our questionnaire, the survey reference period (recall period) was seven days; and so, to get the daily value, we divided the total calorie consumption of each household by seven. Finally, to get a d</w:t>
      </w:r>
      <w:r w:rsidRPr="00135A78">
        <w:rPr>
          <w:rFonts w:ascii="Times New Roman" w:hAnsi="Times New Roman"/>
          <w:bCs/>
          <w:color w:val="000000"/>
          <w:sz w:val="24"/>
          <w:szCs w:val="24"/>
        </w:rPr>
        <w:t>aily calorie intake per adult equivalent</w:t>
      </w:r>
      <w:r w:rsidRPr="00135A78">
        <w:rPr>
          <w:rFonts w:ascii="Times New Roman" w:hAnsi="Times New Roman"/>
          <w:color w:val="000000"/>
          <w:sz w:val="24"/>
          <w:szCs w:val="24"/>
        </w:rPr>
        <w:t xml:space="preserve"> we divided total daily energy value (kilocalories) of each household by its respective AEU.</w:t>
      </w:r>
      <w:r w:rsidRPr="00135A78">
        <w:rPr>
          <w:color w:val="000000"/>
          <w:sz w:val="18"/>
          <w:szCs w:val="18"/>
        </w:rPr>
        <w:t xml:space="preserve">   </w:t>
      </w:r>
    </w:p>
    <w:p w:rsidR="00E21D81" w:rsidRPr="00135A78" w:rsidRDefault="00E21D81" w:rsidP="00E21D81">
      <w:pPr>
        <w:spacing w:after="60" w:line="360" w:lineRule="auto"/>
        <w:jc w:val="both"/>
        <w:rPr>
          <w:rFonts w:ascii="Times New Roman" w:hAnsi="Times New Roman"/>
          <w:bCs/>
          <w:color w:val="000000"/>
          <w:sz w:val="24"/>
          <w:szCs w:val="24"/>
        </w:rPr>
      </w:pPr>
      <w:r w:rsidRPr="00135A78">
        <w:rPr>
          <w:rFonts w:ascii="Times New Roman" w:hAnsi="Times New Roman"/>
          <w:color w:val="000000"/>
          <w:sz w:val="24"/>
          <w:szCs w:val="24"/>
        </w:rPr>
        <w:t xml:space="preserve">We computed household’s caloric adequacy by using the universal threshold of 2,100 </w:t>
      </w:r>
      <w:r w:rsidRPr="00135A78">
        <w:rPr>
          <w:rFonts w:ascii="Times New Roman" w:eastAsia="TimesNewRoman" w:hAnsi="Times New Roman"/>
          <w:color w:val="000000"/>
          <w:sz w:val="24"/>
          <w:szCs w:val="24"/>
        </w:rPr>
        <w:t xml:space="preserve">Kcal per adult equivalent per day </w:t>
      </w:r>
      <w:r w:rsidR="00F365F1">
        <w:rPr>
          <w:rFonts w:ascii="Times New Roman" w:eastAsia="TimesNewRoman" w:hAnsi="Times New Roman"/>
          <w:color w:val="000000"/>
          <w:sz w:val="24"/>
          <w:szCs w:val="24"/>
        </w:rPr>
        <w:t xml:space="preserve">[3]. </w:t>
      </w:r>
      <w:r w:rsidRPr="00135A78">
        <w:rPr>
          <w:rFonts w:ascii="Times New Roman" w:eastAsia="TimesNewRoman" w:hAnsi="Times New Roman"/>
          <w:color w:val="000000"/>
          <w:sz w:val="24"/>
          <w:szCs w:val="24"/>
        </w:rPr>
        <w:t>Households with daily Kcal per adult equivalent below 2,100 are classified as food insecure.</w:t>
      </w:r>
      <w:r w:rsidRPr="00135A78">
        <w:rPr>
          <w:rFonts w:ascii="Times New Roman" w:hAnsi="Times New Roman"/>
          <w:color w:val="000000"/>
          <w:sz w:val="24"/>
          <w:szCs w:val="24"/>
        </w:rPr>
        <w:t xml:space="preserve"> In general, w</w:t>
      </w:r>
      <w:r w:rsidRPr="00135A78">
        <w:rPr>
          <w:rFonts w:ascii="Times New Roman" w:hAnsi="Times New Roman"/>
          <w:bCs/>
          <w:color w:val="000000"/>
          <w:sz w:val="24"/>
          <w:szCs w:val="24"/>
        </w:rPr>
        <w:t>e adopted Consolidated Approach to Reporting Indicators of Food Security (CARI) classifications method of the World Food Program to determine the status and prevalence of household food security. This approach classifies households into four categories as follows: 1=food secure, 2=mildly food insecure, 3=moderately food insecure and 4=severely food insecure. The description of each catego</w:t>
      </w:r>
      <w:r>
        <w:rPr>
          <w:rFonts w:ascii="Times New Roman" w:hAnsi="Times New Roman"/>
          <w:bCs/>
          <w:color w:val="000000"/>
          <w:sz w:val="24"/>
          <w:szCs w:val="24"/>
        </w:rPr>
        <w:t xml:space="preserve">ry is presented in the </w:t>
      </w:r>
      <w:r w:rsidR="00F365F1">
        <w:rPr>
          <w:rFonts w:ascii="Times New Roman" w:hAnsi="Times New Roman"/>
          <w:bCs/>
          <w:color w:val="000000"/>
          <w:sz w:val="24"/>
          <w:szCs w:val="24"/>
        </w:rPr>
        <w:t>Table 2</w:t>
      </w:r>
      <w:r w:rsidRPr="00135A78">
        <w:rPr>
          <w:rFonts w:ascii="Times New Roman" w:hAnsi="Times New Roman"/>
          <w:bCs/>
          <w:color w:val="000000"/>
          <w:sz w:val="24"/>
          <w:szCs w:val="24"/>
        </w:rPr>
        <w:t xml:space="preserve">. </w:t>
      </w:r>
    </w:p>
    <w:p w:rsidR="00E21D81" w:rsidRPr="00A85BF5" w:rsidRDefault="00F365F1" w:rsidP="00E21D81">
      <w:pPr>
        <w:pStyle w:val="Heading1"/>
        <w:spacing w:before="0"/>
        <w:rPr>
          <w:rFonts w:ascii="Times New Roman" w:hAnsi="Times New Roman"/>
          <w:bCs w:val="0"/>
          <w:color w:val="000000"/>
          <w:sz w:val="24"/>
          <w:szCs w:val="24"/>
        </w:rPr>
      </w:pPr>
      <w:bookmarkStart w:id="3" w:name="_Toc255170198"/>
      <w:bookmarkStart w:id="4" w:name="_Toc255174874"/>
      <w:bookmarkStart w:id="5" w:name="_Toc255181225"/>
      <w:r>
        <w:rPr>
          <w:rFonts w:ascii="Times New Roman" w:hAnsi="Times New Roman"/>
          <w:b w:val="0"/>
          <w:bCs w:val="0"/>
          <w:color w:val="000000"/>
          <w:sz w:val="24"/>
          <w:szCs w:val="24"/>
        </w:rPr>
        <w:t xml:space="preserve">Table </w:t>
      </w:r>
      <w:r w:rsidR="008A7673">
        <w:rPr>
          <w:rFonts w:ascii="Times New Roman" w:hAnsi="Times New Roman"/>
          <w:b w:val="0"/>
          <w:bCs w:val="0"/>
          <w:color w:val="000000"/>
          <w:sz w:val="24"/>
          <w:szCs w:val="24"/>
        </w:rPr>
        <w:t>S</w:t>
      </w:r>
      <w:r>
        <w:rPr>
          <w:rFonts w:ascii="Times New Roman" w:hAnsi="Times New Roman"/>
          <w:b w:val="0"/>
          <w:bCs w:val="0"/>
          <w:color w:val="000000"/>
          <w:sz w:val="24"/>
          <w:szCs w:val="24"/>
        </w:rPr>
        <w:t>2</w:t>
      </w:r>
      <w:r w:rsidR="00E21D81" w:rsidRPr="00A85BF5">
        <w:rPr>
          <w:rFonts w:ascii="Times New Roman" w:hAnsi="Times New Roman"/>
          <w:b w:val="0"/>
          <w:bCs w:val="0"/>
          <w:color w:val="000000"/>
          <w:sz w:val="24"/>
          <w:szCs w:val="24"/>
        </w:rPr>
        <w:t>:</w:t>
      </w:r>
      <w:r w:rsidR="00E21D81" w:rsidRPr="00A85BF5">
        <w:rPr>
          <w:rFonts w:ascii="Times New Roman" w:hAnsi="Times New Roman"/>
          <w:bCs w:val="0"/>
          <w:color w:val="000000"/>
          <w:sz w:val="24"/>
          <w:szCs w:val="24"/>
        </w:rPr>
        <w:t xml:space="preserve"> </w:t>
      </w:r>
      <w:r w:rsidR="00E21D81" w:rsidRPr="00A85BF5">
        <w:rPr>
          <w:rFonts w:ascii="Times New Roman" w:hAnsi="Times New Roman"/>
          <w:b w:val="0"/>
          <w:bCs w:val="0"/>
          <w:color w:val="000000"/>
          <w:sz w:val="24"/>
          <w:szCs w:val="24"/>
        </w:rPr>
        <w:t>Description of Food Security Classification</w:t>
      </w:r>
      <w:bookmarkEnd w:id="3"/>
      <w:bookmarkEnd w:id="4"/>
      <w:r w:rsidR="00E21D81" w:rsidRPr="00A85BF5">
        <w:rPr>
          <w:rFonts w:ascii="Times New Roman" w:hAnsi="Times New Roman"/>
          <w:b w:val="0"/>
          <w:bCs w:val="0"/>
          <w:color w:val="000000"/>
          <w:sz w:val="24"/>
          <w:szCs w:val="24"/>
        </w:rPr>
        <w:t>.</w:t>
      </w:r>
      <w:bookmarkEnd w:id="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5514"/>
        <w:gridCol w:w="2178"/>
      </w:tblGrid>
      <w:tr w:rsidR="00E21D81" w:rsidRPr="00135A78" w:rsidTr="00032B09">
        <w:tc>
          <w:tcPr>
            <w:tcW w:w="1776" w:type="dxa"/>
          </w:tcPr>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Food security Category</w:t>
            </w:r>
          </w:p>
        </w:tc>
        <w:tc>
          <w:tcPr>
            <w:tcW w:w="5514" w:type="dxa"/>
          </w:tcPr>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Description</w:t>
            </w:r>
          </w:p>
        </w:tc>
        <w:tc>
          <w:tcPr>
            <w:tcW w:w="2178" w:type="dxa"/>
          </w:tcPr>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 xml:space="preserve">Food secure/Food insecure </w:t>
            </w:r>
          </w:p>
        </w:tc>
      </w:tr>
      <w:tr w:rsidR="00E21D81" w:rsidRPr="00135A78" w:rsidTr="00032B09">
        <w:tc>
          <w:tcPr>
            <w:tcW w:w="1776" w:type="dxa"/>
          </w:tcPr>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Food secure</w:t>
            </w:r>
          </w:p>
        </w:tc>
        <w:tc>
          <w:tcPr>
            <w:tcW w:w="5514" w:type="dxa"/>
          </w:tcPr>
          <w:p w:rsidR="00E21D81" w:rsidRPr="00135A78" w:rsidRDefault="00E21D81" w:rsidP="00032B09">
            <w:pPr>
              <w:spacing w:after="0" w:line="240" w:lineRule="auto"/>
              <w:jc w:val="both"/>
              <w:rPr>
                <w:rFonts w:ascii="Times New Roman" w:hAnsi="Times New Roman"/>
                <w:bCs/>
                <w:color w:val="000000"/>
                <w:sz w:val="20"/>
                <w:szCs w:val="20"/>
              </w:rPr>
            </w:pPr>
            <w:r w:rsidRPr="00135A78">
              <w:rPr>
                <w:rFonts w:ascii="Times New Roman" w:hAnsi="Times New Roman"/>
                <w:bCs/>
                <w:color w:val="000000"/>
                <w:sz w:val="20"/>
                <w:szCs w:val="20"/>
              </w:rPr>
              <w:t xml:space="preserve">A household is able to meet essential food and non-food needs without depletion of assets </w:t>
            </w:r>
          </w:p>
        </w:tc>
        <w:tc>
          <w:tcPr>
            <w:tcW w:w="2178" w:type="dxa"/>
            <w:vMerge w:val="restart"/>
          </w:tcPr>
          <w:p w:rsidR="00E21D81" w:rsidRPr="00135A78" w:rsidRDefault="00E21D81" w:rsidP="00032B09">
            <w:pPr>
              <w:spacing w:after="0" w:line="240" w:lineRule="auto"/>
              <w:jc w:val="center"/>
              <w:rPr>
                <w:rFonts w:ascii="Times New Roman" w:hAnsi="Times New Roman"/>
                <w:bCs/>
                <w:color w:val="000000"/>
                <w:sz w:val="20"/>
                <w:szCs w:val="20"/>
              </w:rPr>
            </w:pPr>
          </w:p>
          <w:p w:rsidR="00E21D81" w:rsidRPr="00135A78" w:rsidRDefault="00E21D81" w:rsidP="00032B09">
            <w:pPr>
              <w:spacing w:after="0" w:line="240" w:lineRule="auto"/>
              <w:jc w:val="center"/>
              <w:rPr>
                <w:rFonts w:ascii="Times New Roman" w:hAnsi="Times New Roman"/>
                <w:bCs/>
                <w:color w:val="000000"/>
                <w:sz w:val="20"/>
                <w:szCs w:val="20"/>
              </w:rPr>
            </w:pPr>
          </w:p>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Food secure</w:t>
            </w:r>
          </w:p>
          <w:p w:rsidR="00E21D81" w:rsidRPr="00135A78" w:rsidRDefault="00E21D81" w:rsidP="00032B09">
            <w:pPr>
              <w:spacing w:after="0" w:line="240" w:lineRule="auto"/>
              <w:jc w:val="center"/>
              <w:rPr>
                <w:rFonts w:ascii="Times New Roman" w:hAnsi="Times New Roman"/>
                <w:color w:val="000000"/>
                <w:sz w:val="20"/>
                <w:szCs w:val="20"/>
              </w:rPr>
            </w:pPr>
          </w:p>
        </w:tc>
      </w:tr>
      <w:tr w:rsidR="00E21D81" w:rsidRPr="00135A78" w:rsidTr="00032B09">
        <w:tc>
          <w:tcPr>
            <w:tcW w:w="1776" w:type="dxa"/>
          </w:tcPr>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Mildly food insecure</w:t>
            </w:r>
          </w:p>
        </w:tc>
        <w:tc>
          <w:tcPr>
            <w:tcW w:w="5514" w:type="dxa"/>
          </w:tcPr>
          <w:p w:rsidR="00E21D81" w:rsidRPr="00135A78" w:rsidRDefault="00E21D81" w:rsidP="00032B09">
            <w:pPr>
              <w:spacing w:after="0" w:line="240" w:lineRule="auto"/>
              <w:jc w:val="both"/>
              <w:rPr>
                <w:rFonts w:ascii="Times New Roman" w:hAnsi="Times New Roman"/>
                <w:bCs/>
                <w:color w:val="000000"/>
                <w:sz w:val="20"/>
                <w:szCs w:val="20"/>
              </w:rPr>
            </w:pPr>
            <w:r w:rsidRPr="00135A78">
              <w:rPr>
                <w:rFonts w:ascii="Times New Roman" w:hAnsi="Times New Roman"/>
                <w:bCs/>
                <w:color w:val="000000"/>
                <w:sz w:val="20"/>
                <w:szCs w:val="20"/>
              </w:rPr>
              <w:t>A household h</w:t>
            </w:r>
            <w:r w:rsidRPr="00135A78">
              <w:rPr>
                <w:rFonts w:ascii="Times New Roman" w:hAnsi="Times New Roman"/>
                <w:color w:val="000000"/>
                <w:sz w:val="20"/>
                <w:szCs w:val="20"/>
              </w:rPr>
              <w:t xml:space="preserve">as minimally sufficient food consumption, but incapable to afford some essential non-food expenditures without depletion of assets </w:t>
            </w:r>
          </w:p>
        </w:tc>
        <w:tc>
          <w:tcPr>
            <w:tcW w:w="2178" w:type="dxa"/>
            <w:vMerge/>
          </w:tcPr>
          <w:p w:rsidR="00E21D81" w:rsidRPr="00135A78" w:rsidRDefault="00E21D81" w:rsidP="00032B09">
            <w:pPr>
              <w:spacing w:after="0" w:line="240" w:lineRule="auto"/>
              <w:jc w:val="center"/>
              <w:rPr>
                <w:rFonts w:ascii="Times New Roman" w:hAnsi="Times New Roman"/>
                <w:bCs/>
                <w:color w:val="000000"/>
                <w:sz w:val="20"/>
                <w:szCs w:val="20"/>
              </w:rPr>
            </w:pPr>
          </w:p>
        </w:tc>
      </w:tr>
      <w:tr w:rsidR="00E21D81" w:rsidRPr="00135A78" w:rsidTr="00032B09">
        <w:tc>
          <w:tcPr>
            <w:tcW w:w="1776" w:type="dxa"/>
          </w:tcPr>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Moderately food insecure</w:t>
            </w:r>
          </w:p>
        </w:tc>
        <w:tc>
          <w:tcPr>
            <w:tcW w:w="5514" w:type="dxa"/>
          </w:tcPr>
          <w:p w:rsidR="00E21D81" w:rsidRPr="00135A78" w:rsidRDefault="00E21D81" w:rsidP="00032B09">
            <w:pPr>
              <w:spacing w:after="0" w:line="240" w:lineRule="auto"/>
              <w:jc w:val="both"/>
              <w:rPr>
                <w:rFonts w:ascii="Times New Roman" w:hAnsi="Times New Roman"/>
                <w:bCs/>
                <w:color w:val="000000"/>
                <w:sz w:val="20"/>
                <w:szCs w:val="20"/>
              </w:rPr>
            </w:pPr>
            <w:r w:rsidRPr="00135A78">
              <w:rPr>
                <w:rFonts w:ascii="Times New Roman" w:hAnsi="Times New Roman"/>
                <w:bCs/>
                <w:color w:val="000000"/>
                <w:sz w:val="20"/>
                <w:szCs w:val="20"/>
              </w:rPr>
              <w:t>A household h</w:t>
            </w:r>
            <w:r w:rsidRPr="00135A78">
              <w:rPr>
                <w:rFonts w:ascii="Times New Roman" w:hAnsi="Times New Roman"/>
                <w:color w:val="000000"/>
                <w:sz w:val="20"/>
                <w:szCs w:val="20"/>
              </w:rPr>
              <w:t xml:space="preserve">as food consumption gaps, OR, Marginally able to meet minimum food needs only with accelerated depletion of livelihood assets. </w:t>
            </w:r>
          </w:p>
        </w:tc>
        <w:tc>
          <w:tcPr>
            <w:tcW w:w="2178" w:type="dxa"/>
            <w:vMerge w:val="restart"/>
          </w:tcPr>
          <w:p w:rsidR="00E21D81" w:rsidRPr="00135A78" w:rsidRDefault="00E21D81" w:rsidP="00032B09">
            <w:pPr>
              <w:spacing w:after="0" w:line="240" w:lineRule="auto"/>
              <w:jc w:val="center"/>
              <w:rPr>
                <w:rFonts w:ascii="Times New Roman" w:hAnsi="Times New Roman"/>
                <w:bCs/>
                <w:color w:val="000000"/>
                <w:sz w:val="20"/>
                <w:szCs w:val="20"/>
              </w:rPr>
            </w:pPr>
          </w:p>
          <w:p w:rsidR="00E21D81" w:rsidRPr="00135A78" w:rsidRDefault="00E21D81" w:rsidP="00032B09">
            <w:pPr>
              <w:spacing w:after="0" w:line="240" w:lineRule="auto"/>
              <w:jc w:val="center"/>
              <w:rPr>
                <w:rFonts w:ascii="Times New Roman" w:hAnsi="Times New Roman"/>
                <w:bCs/>
                <w:color w:val="000000"/>
                <w:sz w:val="20"/>
                <w:szCs w:val="20"/>
              </w:rPr>
            </w:pPr>
          </w:p>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Food insecure</w:t>
            </w:r>
          </w:p>
        </w:tc>
      </w:tr>
      <w:tr w:rsidR="00E21D81" w:rsidRPr="00135A78" w:rsidTr="00032B09">
        <w:tc>
          <w:tcPr>
            <w:tcW w:w="1776" w:type="dxa"/>
          </w:tcPr>
          <w:p w:rsidR="00E21D81" w:rsidRPr="00135A78" w:rsidRDefault="00E21D81" w:rsidP="00032B09">
            <w:pPr>
              <w:spacing w:after="0" w:line="240" w:lineRule="auto"/>
              <w:jc w:val="center"/>
              <w:rPr>
                <w:rFonts w:ascii="Times New Roman" w:hAnsi="Times New Roman"/>
                <w:bCs/>
                <w:color w:val="000000"/>
                <w:sz w:val="20"/>
                <w:szCs w:val="20"/>
              </w:rPr>
            </w:pPr>
            <w:r w:rsidRPr="00135A78">
              <w:rPr>
                <w:rFonts w:ascii="Times New Roman" w:hAnsi="Times New Roman"/>
                <w:bCs/>
                <w:color w:val="000000"/>
                <w:sz w:val="20"/>
                <w:szCs w:val="20"/>
              </w:rPr>
              <w:t>Severely food insecure</w:t>
            </w:r>
          </w:p>
        </w:tc>
        <w:tc>
          <w:tcPr>
            <w:tcW w:w="5514" w:type="dxa"/>
          </w:tcPr>
          <w:p w:rsidR="00E21D81" w:rsidRPr="00135A78" w:rsidRDefault="00E21D81" w:rsidP="00032B09">
            <w:pPr>
              <w:pStyle w:val="Default"/>
              <w:jc w:val="both"/>
              <w:rPr>
                <w:sz w:val="20"/>
                <w:szCs w:val="20"/>
              </w:rPr>
            </w:pPr>
            <w:r w:rsidRPr="00135A78">
              <w:rPr>
                <w:bCs/>
                <w:sz w:val="20"/>
                <w:szCs w:val="20"/>
              </w:rPr>
              <w:t>A household h</w:t>
            </w:r>
            <w:r w:rsidRPr="00135A78">
              <w:rPr>
                <w:sz w:val="20"/>
                <w:szCs w:val="20"/>
              </w:rPr>
              <w:t xml:space="preserve">as large food consumption gaps, OR, has extreme loss of livelihood assets that will lead to large food consumption gaps, OR worse. </w:t>
            </w:r>
          </w:p>
        </w:tc>
        <w:tc>
          <w:tcPr>
            <w:tcW w:w="2178" w:type="dxa"/>
            <w:vMerge/>
          </w:tcPr>
          <w:p w:rsidR="00E21D81" w:rsidRPr="00135A78" w:rsidRDefault="00E21D81" w:rsidP="00032B09">
            <w:pPr>
              <w:pStyle w:val="Default"/>
              <w:jc w:val="both"/>
              <w:rPr>
                <w:bCs/>
                <w:sz w:val="20"/>
                <w:szCs w:val="20"/>
              </w:rPr>
            </w:pPr>
          </w:p>
        </w:tc>
      </w:tr>
    </w:tbl>
    <w:p w:rsidR="00E21D81" w:rsidRPr="00135A78" w:rsidRDefault="00E21D81" w:rsidP="00E21D81">
      <w:pPr>
        <w:spacing w:after="60"/>
        <w:jc w:val="both"/>
        <w:rPr>
          <w:rFonts w:ascii="Times New Roman" w:hAnsi="Times New Roman"/>
          <w:bCs/>
          <w:color w:val="000000"/>
          <w:sz w:val="23"/>
          <w:szCs w:val="23"/>
        </w:rPr>
      </w:pPr>
      <w:r w:rsidRPr="00135A78">
        <w:rPr>
          <w:rFonts w:ascii="Times New Roman" w:hAnsi="Times New Roman"/>
          <w:bCs/>
          <w:color w:val="000000"/>
          <w:sz w:val="23"/>
          <w:szCs w:val="23"/>
        </w:rPr>
        <w:t>Source: WFP (2015, p.29)</w:t>
      </w:r>
    </w:p>
    <w:p w:rsidR="00E21D81" w:rsidRPr="00135A78" w:rsidRDefault="00E21D81" w:rsidP="00E21D81">
      <w:pPr>
        <w:spacing w:after="60" w:line="360" w:lineRule="auto"/>
        <w:jc w:val="both"/>
        <w:rPr>
          <w:rFonts w:ascii="Times New Roman" w:hAnsi="Times New Roman"/>
          <w:bCs/>
          <w:color w:val="000000"/>
          <w:sz w:val="24"/>
          <w:szCs w:val="24"/>
        </w:rPr>
      </w:pPr>
      <w:r w:rsidRPr="00135A78">
        <w:rPr>
          <w:rFonts w:ascii="Times New Roman" w:hAnsi="Times New Roman"/>
          <w:bCs/>
          <w:color w:val="000000"/>
          <w:sz w:val="24"/>
          <w:szCs w:val="24"/>
        </w:rPr>
        <w:t xml:space="preserve">We converted </w:t>
      </w:r>
      <w:r w:rsidRPr="00135A78">
        <w:rPr>
          <w:rFonts w:ascii="Times New Roman" w:hAnsi="Times New Roman"/>
          <w:color w:val="000000"/>
          <w:sz w:val="24"/>
          <w:szCs w:val="24"/>
        </w:rPr>
        <w:t xml:space="preserve">household’s daily calorie intake into the corresponding four point food security scale categories as illustrated in </w:t>
      </w:r>
      <w:r>
        <w:rPr>
          <w:rFonts w:ascii="Times New Roman" w:hAnsi="Times New Roman"/>
          <w:bCs/>
          <w:color w:val="000000"/>
          <w:sz w:val="24"/>
          <w:szCs w:val="24"/>
        </w:rPr>
        <w:t>Table C</w:t>
      </w:r>
      <w:r w:rsidRPr="00135A78">
        <w:rPr>
          <w:rFonts w:ascii="Times New Roman" w:hAnsi="Times New Roman"/>
          <w:bCs/>
          <w:color w:val="000000"/>
          <w:sz w:val="24"/>
          <w:szCs w:val="24"/>
        </w:rPr>
        <w:t>.</w:t>
      </w:r>
    </w:p>
    <w:p w:rsidR="00E21D81" w:rsidRPr="00A85BF5" w:rsidRDefault="00E21D81" w:rsidP="00E21D81">
      <w:pPr>
        <w:pStyle w:val="Heading1"/>
        <w:spacing w:before="0" w:line="240" w:lineRule="auto"/>
        <w:rPr>
          <w:rFonts w:ascii="Times New Roman" w:hAnsi="Times New Roman"/>
          <w:b w:val="0"/>
          <w:bCs w:val="0"/>
          <w:color w:val="000000"/>
          <w:sz w:val="24"/>
          <w:szCs w:val="24"/>
        </w:rPr>
      </w:pPr>
      <w:bookmarkStart w:id="6" w:name="_Toc255170199"/>
      <w:bookmarkStart w:id="7" w:name="_Toc255174875"/>
      <w:bookmarkStart w:id="8" w:name="_Toc255181226"/>
      <w:r w:rsidRPr="00A85BF5">
        <w:rPr>
          <w:rFonts w:ascii="Times New Roman" w:hAnsi="Times New Roman"/>
          <w:b w:val="0"/>
          <w:bCs w:val="0"/>
          <w:color w:val="000000"/>
          <w:sz w:val="24"/>
          <w:szCs w:val="24"/>
        </w:rPr>
        <w:t xml:space="preserve">Table </w:t>
      </w:r>
      <w:r w:rsidR="008A7673">
        <w:rPr>
          <w:rFonts w:ascii="Times New Roman" w:hAnsi="Times New Roman"/>
          <w:b w:val="0"/>
          <w:bCs w:val="0"/>
          <w:color w:val="000000"/>
          <w:sz w:val="24"/>
          <w:szCs w:val="24"/>
        </w:rPr>
        <w:t>S3</w:t>
      </w:r>
      <w:r w:rsidRPr="00A85BF5">
        <w:rPr>
          <w:rFonts w:ascii="Times New Roman" w:hAnsi="Times New Roman"/>
          <w:b w:val="0"/>
          <w:bCs w:val="0"/>
          <w:color w:val="000000"/>
          <w:sz w:val="24"/>
          <w:szCs w:val="24"/>
        </w:rPr>
        <w:t>:</w:t>
      </w:r>
      <w:r w:rsidRPr="00A85BF5">
        <w:rPr>
          <w:rFonts w:ascii="Times New Roman" w:hAnsi="Times New Roman"/>
          <w:bCs w:val="0"/>
          <w:color w:val="000000"/>
          <w:sz w:val="24"/>
          <w:szCs w:val="24"/>
        </w:rPr>
        <w:t xml:space="preserve"> </w:t>
      </w:r>
      <w:r w:rsidRPr="00A85BF5">
        <w:rPr>
          <w:rFonts w:ascii="Times New Roman" w:hAnsi="Times New Roman"/>
          <w:b w:val="0"/>
          <w:bCs w:val="0"/>
          <w:color w:val="000000"/>
          <w:sz w:val="24"/>
          <w:szCs w:val="24"/>
        </w:rPr>
        <w:t xml:space="preserve">Grouping </w:t>
      </w:r>
      <w:r w:rsidRPr="00A85BF5">
        <w:rPr>
          <w:rFonts w:ascii="Times New Roman" w:hAnsi="Times New Roman"/>
          <w:b w:val="0"/>
          <w:color w:val="000000"/>
          <w:sz w:val="24"/>
          <w:szCs w:val="24"/>
        </w:rPr>
        <w:t>household’s daily calorie intake into four point food security scale</w:t>
      </w:r>
      <w:bookmarkEnd w:id="6"/>
      <w:bookmarkEnd w:id="7"/>
      <w:r w:rsidRPr="00A85BF5">
        <w:rPr>
          <w:rFonts w:ascii="Times New Roman" w:hAnsi="Times New Roman"/>
          <w:b w:val="0"/>
          <w:color w:val="000000"/>
          <w:sz w:val="24"/>
          <w:szCs w:val="24"/>
        </w:rPr>
        <w:t>.</w:t>
      </w:r>
      <w:bookmarkEnd w:id="8"/>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523"/>
        <w:gridCol w:w="2070"/>
        <w:gridCol w:w="2152"/>
        <w:gridCol w:w="1916"/>
      </w:tblGrid>
      <w:tr w:rsidR="00E21D81" w:rsidRPr="00135A78" w:rsidTr="00032B09">
        <w:tc>
          <w:tcPr>
            <w:tcW w:w="1717" w:type="dxa"/>
            <w:vMerge w:val="restart"/>
          </w:tcPr>
          <w:p w:rsidR="00E21D81" w:rsidRPr="00135A78" w:rsidRDefault="00E21D81" w:rsidP="00032B09">
            <w:pPr>
              <w:spacing w:after="0" w:line="360" w:lineRule="auto"/>
              <w:jc w:val="center"/>
              <w:rPr>
                <w:rFonts w:ascii="Times New Roman" w:hAnsi="Times New Roman"/>
                <w:bCs/>
                <w:color w:val="000000"/>
                <w:sz w:val="18"/>
                <w:szCs w:val="18"/>
              </w:rPr>
            </w:pPr>
          </w:p>
          <w:p w:rsidR="00E21D81" w:rsidRPr="00135A78" w:rsidRDefault="00E21D81" w:rsidP="00032B09">
            <w:pPr>
              <w:spacing w:line="360" w:lineRule="auto"/>
              <w:jc w:val="center"/>
              <w:rPr>
                <w:rFonts w:ascii="Times New Roman" w:hAnsi="Times New Roman"/>
                <w:bCs/>
                <w:color w:val="000000"/>
                <w:sz w:val="18"/>
                <w:szCs w:val="18"/>
              </w:rPr>
            </w:pPr>
          </w:p>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Indicator</w:t>
            </w:r>
          </w:p>
        </w:tc>
        <w:tc>
          <w:tcPr>
            <w:tcW w:w="7661" w:type="dxa"/>
            <w:gridSpan w:val="4"/>
          </w:tcPr>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Classification</w:t>
            </w:r>
          </w:p>
        </w:tc>
      </w:tr>
      <w:tr w:rsidR="00E21D81" w:rsidRPr="00135A78" w:rsidTr="00032B09">
        <w:tc>
          <w:tcPr>
            <w:tcW w:w="1717" w:type="dxa"/>
            <w:vMerge/>
          </w:tcPr>
          <w:p w:rsidR="00E21D81" w:rsidRPr="00135A78" w:rsidRDefault="00E21D81" w:rsidP="00032B09">
            <w:pPr>
              <w:spacing w:line="360" w:lineRule="auto"/>
              <w:jc w:val="both"/>
              <w:rPr>
                <w:rFonts w:ascii="Times New Roman" w:hAnsi="Times New Roman"/>
                <w:bCs/>
                <w:color w:val="000000"/>
                <w:sz w:val="18"/>
                <w:szCs w:val="18"/>
              </w:rPr>
            </w:pPr>
          </w:p>
        </w:tc>
        <w:tc>
          <w:tcPr>
            <w:tcW w:w="1523" w:type="dxa"/>
          </w:tcPr>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Food secure</w:t>
            </w:r>
          </w:p>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(1)</w:t>
            </w:r>
          </w:p>
        </w:tc>
        <w:tc>
          <w:tcPr>
            <w:tcW w:w="2070" w:type="dxa"/>
          </w:tcPr>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Mildly food insecure</w:t>
            </w:r>
          </w:p>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(2)</w:t>
            </w:r>
          </w:p>
        </w:tc>
        <w:tc>
          <w:tcPr>
            <w:tcW w:w="2152" w:type="dxa"/>
          </w:tcPr>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Moderately food insecure</w:t>
            </w:r>
          </w:p>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(3)</w:t>
            </w:r>
          </w:p>
        </w:tc>
        <w:tc>
          <w:tcPr>
            <w:tcW w:w="1916" w:type="dxa"/>
          </w:tcPr>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Severely food insecure</w:t>
            </w:r>
          </w:p>
          <w:p w:rsidR="00E21D81" w:rsidRPr="00135A78" w:rsidRDefault="00E21D81" w:rsidP="00032B09">
            <w:pPr>
              <w:spacing w:line="360" w:lineRule="auto"/>
              <w:jc w:val="center"/>
              <w:rPr>
                <w:rFonts w:ascii="Times New Roman" w:hAnsi="Times New Roman"/>
                <w:bCs/>
                <w:color w:val="000000"/>
                <w:sz w:val="18"/>
                <w:szCs w:val="18"/>
              </w:rPr>
            </w:pPr>
            <w:r w:rsidRPr="00135A78">
              <w:rPr>
                <w:rFonts w:ascii="Times New Roman" w:hAnsi="Times New Roman"/>
                <w:bCs/>
                <w:color w:val="000000"/>
                <w:sz w:val="18"/>
                <w:szCs w:val="18"/>
              </w:rPr>
              <w:t>(4)</w:t>
            </w:r>
          </w:p>
        </w:tc>
      </w:tr>
      <w:tr w:rsidR="00E21D81" w:rsidRPr="00135A78" w:rsidTr="00032B09">
        <w:tc>
          <w:tcPr>
            <w:tcW w:w="1717" w:type="dxa"/>
          </w:tcPr>
          <w:p w:rsidR="00E21D81" w:rsidRPr="00135A78" w:rsidRDefault="00E21D81" w:rsidP="00032B09">
            <w:pPr>
              <w:spacing w:line="360" w:lineRule="auto"/>
              <w:jc w:val="both"/>
              <w:rPr>
                <w:rFonts w:ascii="Times New Roman" w:hAnsi="Times New Roman"/>
                <w:bCs/>
                <w:color w:val="000000"/>
                <w:sz w:val="18"/>
                <w:szCs w:val="18"/>
              </w:rPr>
            </w:pPr>
            <w:r w:rsidRPr="00135A78">
              <w:rPr>
                <w:rFonts w:ascii="Times New Roman" w:hAnsi="Times New Roman"/>
                <w:bCs/>
                <w:color w:val="000000"/>
                <w:sz w:val="18"/>
                <w:szCs w:val="18"/>
              </w:rPr>
              <w:t xml:space="preserve">Food Energy Intake </w:t>
            </w:r>
          </w:p>
        </w:tc>
        <w:tc>
          <w:tcPr>
            <w:tcW w:w="1523" w:type="dxa"/>
          </w:tcPr>
          <w:p w:rsidR="00E21D81" w:rsidRPr="00135A78" w:rsidRDefault="00E21D81" w:rsidP="00032B09">
            <w:pPr>
              <w:pStyle w:val="Default"/>
              <w:jc w:val="both"/>
              <w:rPr>
                <w:sz w:val="18"/>
                <w:szCs w:val="18"/>
              </w:rPr>
            </w:pPr>
            <w:r w:rsidRPr="00135A78">
              <w:rPr>
                <w:sz w:val="18"/>
                <w:szCs w:val="18"/>
              </w:rPr>
              <w:t xml:space="preserve">kcal/p/d ≥ 2100 </w:t>
            </w:r>
          </w:p>
        </w:tc>
        <w:tc>
          <w:tcPr>
            <w:tcW w:w="2070" w:type="dxa"/>
          </w:tcPr>
          <w:p w:rsidR="00E21D81" w:rsidRPr="00135A78" w:rsidRDefault="00E21D81" w:rsidP="00032B09">
            <w:pPr>
              <w:pStyle w:val="Default"/>
              <w:jc w:val="both"/>
              <w:rPr>
                <w:sz w:val="18"/>
                <w:szCs w:val="18"/>
              </w:rPr>
            </w:pPr>
            <w:r w:rsidRPr="00135A78">
              <w:rPr>
                <w:sz w:val="18"/>
                <w:szCs w:val="18"/>
              </w:rPr>
              <w:t>kcal/p/d &lt; 2100 kcal/p/d ≥ mean (MDER, 2100) i.e. ≥1925</w:t>
            </w:r>
          </w:p>
        </w:tc>
        <w:tc>
          <w:tcPr>
            <w:tcW w:w="2152" w:type="dxa"/>
          </w:tcPr>
          <w:p w:rsidR="00E21D81" w:rsidRPr="00135A78" w:rsidRDefault="00E21D81" w:rsidP="00032B09">
            <w:pPr>
              <w:pStyle w:val="Default"/>
              <w:jc w:val="both"/>
              <w:rPr>
                <w:sz w:val="18"/>
                <w:szCs w:val="18"/>
              </w:rPr>
            </w:pPr>
            <w:r w:rsidRPr="00135A78">
              <w:rPr>
                <w:sz w:val="18"/>
                <w:szCs w:val="18"/>
              </w:rPr>
              <w:t>kcal/p/d &lt; mean (MDER, 2100) i.e. &lt; 1925, kcal/p/d ≥ MDER i.e. ≥ 1750</w:t>
            </w:r>
          </w:p>
        </w:tc>
        <w:tc>
          <w:tcPr>
            <w:tcW w:w="1916" w:type="dxa"/>
          </w:tcPr>
          <w:p w:rsidR="00E21D81" w:rsidRPr="00135A78" w:rsidRDefault="00E21D81" w:rsidP="00032B09">
            <w:pPr>
              <w:pStyle w:val="Default"/>
              <w:jc w:val="both"/>
              <w:rPr>
                <w:sz w:val="18"/>
                <w:szCs w:val="18"/>
              </w:rPr>
            </w:pPr>
            <w:r w:rsidRPr="00135A78">
              <w:rPr>
                <w:sz w:val="18"/>
                <w:szCs w:val="18"/>
              </w:rPr>
              <w:t>kcal/p/d &lt; MDER i.e. &lt; 1750</w:t>
            </w:r>
          </w:p>
        </w:tc>
      </w:tr>
    </w:tbl>
    <w:p w:rsidR="00E21D81" w:rsidRPr="00135A78" w:rsidRDefault="00E21D81" w:rsidP="00E21D81">
      <w:pPr>
        <w:spacing w:after="0" w:line="360" w:lineRule="auto"/>
        <w:jc w:val="both"/>
        <w:rPr>
          <w:rFonts w:ascii="Times New Roman" w:hAnsi="Times New Roman"/>
          <w:bCs/>
          <w:i/>
          <w:color w:val="000000"/>
          <w:sz w:val="18"/>
          <w:szCs w:val="18"/>
        </w:rPr>
      </w:pPr>
      <w:r w:rsidRPr="00135A78">
        <w:rPr>
          <w:rFonts w:ascii="Times New Roman" w:hAnsi="Times New Roman"/>
          <w:bCs/>
          <w:i/>
          <w:color w:val="000000"/>
          <w:sz w:val="24"/>
          <w:szCs w:val="24"/>
        </w:rPr>
        <w:t xml:space="preserve">Note: </w:t>
      </w:r>
    </w:p>
    <w:p w:rsidR="00E21D81" w:rsidRPr="005C70EC" w:rsidRDefault="00E21D81" w:rsidP="00E21D81">
      <w:pPr>
        <w:pStyle w:val="ListParagraph"/>
        <w:numPr>
          <w:ilvl w:val="0"/>
          <w:numId w:val="1"/>
        </w:numPr>
        <w:tabs>
          <w:tab w:val="left" w:pos="360"/>
        </w:tabs>
        <w:spacing w:after="0" w:line="360" w:lineRule="auto"/>
        <w:ind w:left="0" w:firstLine="0"/>
        <w:jc w:val="both"/>
        <w:rPr>
          <w:rFonts w:ascii="Times New Roman" w:hAnsi="Times New Roman"/>
          <w:color w:val="000000"/>
          <w:sz w:val="20"/>
          <w:szCs w:val="20"/>
        </w:rPr>
      </w:pPr>
      <w:r w:rsidRPr="005C70EC">
        <w:rPr>
          <w:rFonts w:ascii="Times New Roman" w:hAnsi="Times New Roman"/>
          <w:color w:val="000000"/>
          <w:sz w:val="20"/>
          <w:szCs w:val="20"/>
        </w:rPr>
        <w:t>Households with a d</w:t>
      </w:r>
      <w:r w:rsidRPr="005C70EC">
        <w:rPr>
          <w:rFonts w:ascii="Times New Roman" w:hAnsi="Times New Roman"/>
          <w:bCs/>
          <w:color w:val="000000"/>
          <w:sz w:val="20"/>
          <w:szCs w:val="20"/>
        </w:rPr>
        <w:t xml:space="preserve">aily calorie intake per adult equivalent </w:t>
      </w:r>
      <w:r w:rsidRPr="005C70EC">
        <w:rPr>
          <w:rFonts w:ascii="Times New Roman" w:hAnsi="Times New Roman"/>
          <w:color w:val="000000"/>
          <w:sz w:val="20"/>
          <w:szCs w:val="20"/>
        </w:rPr>
        <w:t>greater than 2,100 calories</w:t>
      </w:r>
    </w:p>
    <w:p w:rsidR="00E21D81" w:rsidRPr="005C70EC" w:rsidRDefault="00E21D81" w:rsidP="00E21D81">
      <w:pPr>
        <w:pStyle w:val="ListParagraph"/>
        <w:numPr>
          <w:ilvl w:val="0"/>
          <w:numId w:val="1"/>
        </w:numPr>
        <w:tabs>
          <w:tab w:val="left" w:pos="360"/>
        </w:tabs>
        <w:spacing w:after="0" w:line="360" w:lineRule="auto"/>
        <w:ind w:left="0" w:firstLine="0"/>
        <w:jc w:val="both"/>
        <w:rPr>
          <w:rFonts w:ascii="Times New Roman" w:hAnsi="Times New Roman"/>
          <w:color w:val="000000"/>
          <w:sz w:val="20"/>
          <w:szCs w:val="20"/>
        </w:rPr>
      </w:pPr>
      <w:r w:rsidRPr="005C70EC">
        <w:rPr>
          <w:rFonts w:ascii="Times New Roman" w:hAnsi="Times New Roman"/>
          <w:color w:val="000000"/>
          <w:sz w:val="20"/>
          <w:szCs w:val="20"/>
        </w:rPr>
        <w:t>Households with a d</w:t>
      </w:r>
      <w:r w:rsidRPr="005C70EC">
        <w:rPr>
          <w:rFonts w:ascii="Times New Roman" w:hAnsi="Times New Roman"/>
          <w:bCs/>
          <w:color w:val="000000"/>
          <w:sz w:val="20"/>
          <w:szCs w:val="20"/>
        </w:rPr>
        <w:t xml:space="preserve">aily calorie intake per adult equivalent </w:t>
      </w:r>
      <w:r w:rsidRPr="005C70EC">
        <w:rPr>
          <w:rFonts w:ascii="Times New Roman" w:hAnsi="Times New Roman"/>
          <w:color w:val="000000"/>
          <w:sz w:val="20"/>
          <w:szCs w:val="20"/>
        </w:rPr>
        <w:t xml:space="preserve">less than 2,100 calories but greater than the mean of a) the national Minimum Dietary Energy Requirement (MDER) (which is the weighted average of the minimum energy requirements of the different gender-age groups in the population) and b) 2,100. The national MDER is obtained from Food and Agriculture organization of the United Nations (FAO). FAO has established MDER for 182 countries based on the gender and age and different levels of physical activity to estimate the prevalence (percentage) of the undernourished population in each country. For Ethiopia, MDER was estimated at 1730 (1990 to 1992), 1730 (1995 to 1997), 1740 (2000 to 2002), and at 1750 (2006 and 2008). We used </w:t>
      </w:r>
      <w:r w:rsidRPr="005C70EC">
        <w:rPr>
          <w:rFonts w:ascii="Times New Roman" w:hAnsi="Times New Roman"/>
          <w:b/>
          <w:i/>
          <w:color w:val="000000"/>
          <w:sz w:val="20"/>
          <w:szCs w:val="20"/>
        </w:rPr>
        <w:t>1750</w:t>
      </w:r>
      <w:r w:rsidRPr="005C70EC">
        <w:rPr>
          <w:rFonts w:ascii="Times New Roman" w:hAnsi="Times New Roman"/>
          <w:color w:val="000000"/>
          <w:sz w:val="20"/>
          <w:szCs w:val="20"/>
        </w:rPr>
        <w:t xml:space="preserve"> as the national MDER. Therefore, the mean of the national MDER (1750) and 2100 is 1925 (i.e. 1750+2100/2=1925). </w:t>
      </w:r>
    </w:p>
    <w:p w:rsidR="00E21D81" w:rsidRPr="005C70EC" w:rsidRDefault="00E21D81" w:rsidP="00E21D81">
      <w:pPr>
        <w:pStyle w:val="ListParagraph"/>
        <w:numPr>
          <w:ilvl w:val="0"/>
          <w:numId w:val="1"/>
        </w:numPr>
        <w:tabs>
          <w:tab w:val="left" w:pos="360"/>
        </w:tabs>
        <w:spacing w:after="0" w:line="360" w:lineRule="auto"/>
        <w:ind w:left="0" w:firstLine="0"/>
        <w:jc w:val="both"/>
        <w:rPr>
          <w:rFonts w:ascii="Times New Roman" w:hAnsi="Times New Roman"/>
          <w:color w:val="000000"/>
          <w:sz w:val="20"/>
          <w:szCs w:val="20"/>
        </w:rPr>
      </w:pPr>
      <w:r w:rsidRPr="005C70EC">
        <w:rPr>
          <w:rFonts w:ascii="Times New Roman" w:hAnsi="Times New Roman"/>
          <w:color w:val="000000"/>
          <w:sz w:val="20"/>
          <w:szCs w:val="20"/>
        </w:rPr>
        <w:t>Households with a d</w:t>
      </w:r>
      <w:r w:rsidRPr="005C70EC">
        <w:rPr>
          <w:rFonts w:ascii="Times New Roman" w:hAnsi="Times New Roman"/>
          <w:bCs/>
          <w:color w:val="000000"/>
          <w:sz w:val="20"/>
          <w:szCs w:val="20"/>
        </w:rPr>
        <w:t xml:space="preserve">aily calorie intake per adult equivalent </w:t>
      </w:r>
      <w:r w:rsidRPr="005C70EC">
        <w:rPr>
          <w:rFonts w:ascii="Times New Roman" w:hAnsi="Times New Roman"/>
          <w:color w:val="000000"/>
          <w:sz w:val="20"/>
          <w:szCs w:val="20"/>
        </w:rPr>
        <w:t>greater than or equal to the national MDER (i.e. 1750) but less than the mean of 1) the MDER and 2) 2,100 (i.e. 1925).</w:t>
      </w:r>
    </w:p>
    <w:p w:rsidR="00E21D81" w:rsidRDefault="00E21D81" w:rsidP="00E21D81">
      <w:pPr>
        <w:pStyle w:val="ListParagraph"/>
        <w:numPr>
          <w:ilvl w:val="0"/>
          <w:numId w:val="1"/>
        </w:numPr>
        <w:tabs>
          <w:tab w:val="left" w:pos="360"/>
        </w:tabs>
        <w:spacing w:after="60" w:line="360" w:lineRule="auto"/>
        <w:ind w:left="0" w:firstLine="0"/>
        <w:jc w:val="both"/>
        <w:rPr>
          <w:rFonts w:ascii="Times New Roman" w:hAnsi="Times New Roman"/>
          <w:color w:val="000000"/>
          <w:sz w:val="20"/>
          <w:szCs w:val="20"/>
        </w:rPr>
      </w:pPr>
      <w:r w:rsidRPr="005C70EC">
        <w:rPr>
          <w:rFonts w:ascii="Times New Roman" w:hAnsi="Times New Roman"/>
          <w:color w:val="000000"/>
          <w:sz w:val="20"/>
          <w:szCs w:val="20"/>
        </w:rPr>
        <w:t>Households with a d</w:t>
      </w:r>
      <w:r w:rsidRPr="005C70EC">
        <w:rPr>
          <w:rFonts w:ascii="Times New Roman" w:hAnsi="Times New Roman"/>
          <w:bCs/>
          <w:color w:val="000000"/>
          <w:sz w:val="20"/>
          <w:szCs w:val="20"/>
        </w:rPr>
        <w:t xml:space="preserve">aily calorie intake per adult equivalent </w:t>
      </w:r>
      <w:r w:rsidRPr="005C70EC">
        <w:rPr>
          <w:rFonts w:ascii="Times New Roman" w:hAnsi="Times New Roman"/>
          <w:color w:val="000000"/>
          <w:sz w:val="20"/>
          <w:szCs w:val="20"/>
        </w:rPr>
        <w:t xml:space="preserve">less than the national MDER (1750). </w:t>
      </w:r>
    </w:p>
    <w:p w:rsidR="00E21D81" w:rsidRDefault="00E21D81" w:rsidP="00E21D81">
      <w:pPr>
        <w:pStyle w:val="ListParagraph"/>
        <w:tabs>
          <w:tab w:val="left" w:pos="360"/>
        </w:tabs>
        <w:spacing w:after="60" w:line="360" w:lineRule="auto"/>
        <w:ind w:left="0"/>
        <w:jc w:val="both"/>
        <w:rPr>
          <w:rFonts w:ascii="Times New Roman" w:hAnsi="Times New Roman"/>
          <w:color w:val="000000"/>
          <w:sz w:val="20"/>
          <w:szCs w:val="20"/>
        </w:rPr>
      </w:pPr>
    </w:p>
    <w:p w:rsidR="00E21D81" w:rsidRDefault="00E21D81" w:rsidP="00E21D81">
      <w:pPr>
        <w:pStyle w:val="ListParagraph"/>
        <w:tabs>
          <w:tab w:val="left" w:pos="360"/>
        </w:tabs>
        <w:spacing w:after="60" w:line="360" w:lineRule="auto"/>
        <w:ind w:left="0"/>
        <w:jc w:val="both"/>
        <w:rPr>
          <w:rFonts w:ascii="Times New Roman" w:hAnsi="Times New Roman"/>
          <w:color w:val="000000"/>
          <w:sz w:val="20"/>
          <w:szCs w:val="20"/>
        </w:rPr>
      </w:pPr>
    </w:p>
    <w:p w:rsidR="00E21D81" w:rsidRPr="005C70EC" w:rsidRDefault="00E21D81" w:rsidP="00E21D81">
      <w:pPr>
        <w:pStyle w:val="ListParagraph"/>
        <w:tabs>
          <w:tab w:val="left" w:pos="360"/>
        </w:tabs>
        <w:spacing w:after="60" w:line="360" w:lineRule="auto"/>
        <w:ind w:left="0"/>
        <w:jc w:val="both"/>
        <w:rPr>
          <w:rFonts w:ascii="Times New Roman" w:hAnsi="Times New Roman"/>
          <w:color w:val="000000"/>
          <w:sz w:val="20"/>
          <w:szCs w:val="20"/>
        </w:rPr>
      </w:pPr>
    </w:p>
    <w:p w:rsidR="00E21D81" w:rsidRPr="00135A78" w:rsidRDefault="00E21D81" w:rsidP="00E21D81">
      <w:pPr>
        <w:pStyle w:val="Default"/>
        <w:spacing w:after="60" w:line="360" w:lineRule="auto"/>
        <w:jc w:val="both"/>
      </w:pPr>
      <w:r w:rsidRPr="00135A78">
        <w:t xml:space="preserve">The second indicator used to estimate household food availability is Months of Adequate Household Food Provision (MAHFP). This indicator is emerged as food security measure since 1990s where </w:t>
      </w:r>
      <w:proofErr w:type="spellStart"/>
      <w:r w:rsidRPr="00135A78">
        <w:t>Africare</w:t>
      </w:r>
      <w:proofErr w:type="spellEnd"/>
      <w:r w:rsidRPr="00135A78">
        <w:t xml:space="preserve"> developed the tool to identify vulnerable groups and measure its program impact </w:t>
      </w:r>
      <w:r w:rsidR="00EE5A56">
        <w:t xml:space="preserve">[4]. </w:t>
      </w:r>
      <w:r w:rsidRPr="00135A78">
        <w:rPr>
          <w:bCs/>
        </w:rPr>
        <w:t xml:space="preserve">The indicator </w:t>
      </w:r>
      <w:r w:rsidRPr="00135A78">
        <w:t xml:space="preserve">captures changes in the household’s ability to deal with exposure to food insecurity in such a way that ensures food availability over a minimum level the year round </w:t>
      </w:r>
      <w:r w:rsidR="00EE5A56">
        <w:t xml:space="preserve">[5]. </w:t>
      </w:r>
      <w:r w:rsidRPr="00135A78">
        <w:t xml:space="preserve">The main purpose of this indicator is to identify the months in which a household is unable to get adequate food in spite of source of the food (be it production, purchase, barter or food aid) </w:t>
      </w:r>
      <w:r w:rsidR="00EE5A56">
        <w:t xml:space="preserve">[5]. </w:t>
      </w:r>
      <w:r w:rsidRPr="00135A78">
        <w:t xml:space="preserve">First, respondents were asked to indicate whether or not they had enough food (from all sources) to eat during all the months in the past twelve months. And then, those households that were unable to provide adequate food for their family during all the months were asked to specify in which month(s) during the past twelve months they </w:t>
      </w:r>
      <w:r w:rsidRPr="00135A78">
        <w:rPr>
          <w:bCs/>
        </w:rPr>
        <w:t xml:space="preserve">did not have </w:t>
      </w:r>
      <w:r w:rsidRPr="00135A78">
        <w:t xml:space="preserve">enough food to meet their family’s food needs. As suggested by </w:t>
      </w:r>
      <w:proofErr w:type="spellStart"/>
      <w:r w:rsidRPr="00135A78">
        <w:t>Bilinsky</w:t>
      </w:r>
      <w:proofErr w:type="spellEnd"/>
      <w:r w:rsidRPr="00135A78">
        <w:t xml:space="preserve"> &amp; </w:t>
      </w:r>
      <w:proofErr w:type="spellStart"/>
      <w:r w:rsidRPr="00135A78">
        <w:t>Swindale</w:t>
      </w:r>
      <w:proofErr w:type="spellEnd"/>
      <w:r w:rsidRPr="00135A78">
        <w:t xml:space="preserve"> </w:t>
      </w:r>
      <w:r w:rsidR="00EE5A56">
        <w:t>[5]</w:t>
      </w:r>
      <w:r w:rsidRPr="00135A78">
        <w:t xml:space="preserve">, albeit in our questionnaire the response options for the months start with the January, to facilitate easy recall period and get correct information, we asked the respondents to think back over the past twelve months, starting with the month the interview is being carried out. Values such as 0 and 1 were assigned for each month where 0 indicates the absence of food shortage while 1 shows the household had encountered food scarcity to meet family’s food need in that month. To compute the MAHFP for each household, we carried out a simple computation by deducting the total number of months out of the past twelve months that the household was unable to meet family’s food needs from twelve months of the year. </w:t>
      </w:r>
    </w:p>
    <w:p w:rsidR="00E21D81" w:rsidRPr="00135A78" w:rsidRDefault="00E21D81" w:rsidP="00E21D81">
      <w:pPr>
        <w:autoSpaceDE w:val="0"/>
        <w:autoSpaceDN w:val="0"/>
        <w:adjustRightInd w:val="0"/>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Based on the MAHFP value of each household, to</w:t>
      </w:r>
      <w:r w:rsidRPr="00135A78">
        <w:rPr>
          <w:rFonts w:ascii="Times New Roman" w:hAnsi="Times New Roman"/>
          <w:bCs/>
          <w:color w:val="000000"/>
          <w:sz w:val="24"/>
          <w:szCs w:val="24"/>
        </w:rPr>
        <w:t xml:space="preserve"> determine the status and prevalence of household food security we </w:t>
      </w:r>
      <w:r w:rsidRPr="00135A78">
        <w:rPr>
          <w:rFonts w:ascii="Times New Roman" w:hAnsi="Times New Roman"/>
          <w:color w:val="000000"/>
          <w:sz w:val="24"/>
          <w:szCs w:val="24"/>
        </w:rPr>
        <w:t>classified households into four food security scale categories</w:t>
      </w:r>
      <w:r w:rsidRPr="00135A78">
        <w:rPr>
          <w:rFonts w:ascii="Times New Roman" w:hAnsi="Times New Roman"/>
          <w:bCs/>
          <w:color w:val="000000"/>
          <w:sz w:val="24"/>
          <w:szCs w:val="24"/>
        </w:rPr>
        <w:t xml:space="preserve">. We conducted these classifications based on the previous empirical research carried out by </w:t>
      </w:r>
      <w:proofErr w:type="spellStart"/>
      <w:r w:rsidRPr="00135A78">
        <w:rPr>
          <w:rFonts w:ascii="Times New Roman" w:hAnsi="Times New Roman"/>
          <w:color w:val="000000"/>
          <w:sz w:val="24"/>
          <w:szCs w:val="24"/>
        </w:rPr>
        <w:t>Namana</w:t>
      </w:r>
      <w:proofErr w:type="spellEnd"/>
      <w:r w:rsidRPr="00135A78">
        <w:rPr>
          <w:rFonts w:ascii="Times New Roman" w:hAnsi="Times New Roman"/>
          <w:color w:val="000000"/>
          <w:sz w:val="24"/>
          <w:szCs w:val="24"/>
        </w:rPr>
        <w:t xml:space="preserve"> &amp; </w:t>
      </w:r>
      <w:proofErr w:type="spellStart"/>
      <w:r w:rsidRPr="00135A78">
        <w:rPr>
          <w:rFonts w:ascii="Times New Roman" w:hAnsi="Times New Roman"/>
          <w:color w:val="000000"/>
          <w:sz w:val="24"/>
          <w:szCs w:val="24"/>
        </w:rPr>
        <w:t>Souli</w:t>
      </w:r>
      <w:proofErr w:type="spellEnd"/>
      <w:r w:rsidRPr="00135A78">
        <w:rPr>
          <w:rFonts w:ascii="Times New Roman" w:hAnsi="Times New Roman"/>
          <w:bCs/>
          <w:color w:val="000000"/>
          <w:sz w:val="24"/>
          <w:szCs w:val="24"/>
        </w:rPr>
        <w:t xml:space="preserve"> </w:t>
      </w:r>
      <w:r w:rsidR="00EE5A56">
        <w:rPr>
          <w:rFonts w:ascii="Times New Roman" w:hAnsi="Times New Roman"/>
          <w:bCs/>
          <w:color w:val="000000"/>
          <w:sz w:val="24"/>
          <w:szCs w:val="24"/>
        </w:rPr>
        <w:t xml:space="preserve">[4] </w:t>
      </w:r>
      <w:r w:rsidRPr="00135A78">
        <w:rPr>
          <w:rFonts w:ascii="Times New Roman" w:hAnsi="Times New Roman"/>
          <w:bCs/>
          <w:color w:val="000000"/>
          <w:sz w:val="24"/>
          <w:szCs w:val="24"/>
        </w:rPr>
        <w:t xml:space="preserve">in Burkina Faso and </w:t>
      </w:r>
      <w:proofErr w:type="spellStart"/>
      <w:r w:rsidRPr="00135A78">
        <w:rPr>
          <w:rFonts w:ascii="Times New Roman" w:hAnsi="Times New Roman"/>
          <w:color w:val="000000"/>
          <w:sz w:val="24"/>
          <w:szCs w:val="24"/>
        </w:rPr>
        <w:t>Getachew</w:t>
      </w:r>
      <w:proofErr w:type="spellEnd"/>
      <w:r w:rsidRPr="00135A78">
        <w:rPr>
          <w:rFonts w:ascii="Times New Roman" w:hAnsi="Times New Roman"/>
          <w:color w:val="000000"/>
          <w:sz w:val="24"/>
          <w:szCs w:val="24"/>
        </w:rPr>
        <w:t xml:space="preserve"> </w:t>
      </w:r>
      <w:r w:rsidRPr="00BF5E8E">
        <w:rPr>
          <w:rFonts w:ascii="Times New Roman" w:hAnsi="Times New Roman"/>
          <w:iCs/>
          <w:color w:val="000000"/>
          <w:sz w:val="24"/>
          <w:szCs w:val="24"/>
        </w:rPr>
        <w:t>et al.</w:t>
      </w:r>
      <w:r w:rsidRPr="00135A78">
        <w:rPr>
          <w:rFonts w:ascii="Times New Roman" w:hAnsi="Times New Roman"/>
          <w:iCs/>
          <w:color w:val="000000"/>
          <w:sz w:val="24"/>
          <w:szCs w:val="24"/>
        </w:rPr>
        <w:t xml:space="preserve"> </w:t>
      </w:r>
      <w:r w:rsidR="00BF5E8E">
        <w:rPr>
          <w:rFonts w:ascii="Times New Roman" w:hAnsi="Times New Roman"/>
          <w:iCs/>
          <w:color w:val="000000"/>
          <w:sz w:val="24"/>
          <w:szCs w:val="24"/>
        </w:rPr>
        <w:t xml:space="preserve">[6] </w:t>
      </w:r>
      <w:r w:rsidRPr="00135A78">
        <w:rPr>
          <w:rFonts w:ascii="Times New Roman" w:hAnsi="Times New Roman"/>
          <w:iCs/>
          <w:color w:val="000000"/>
          <w:sz w:val="24"/>
          <w:szCs w:val="24"/>
        </w:rPr>
        <w:t xml:space="preserve">in Ethiopia. The authors classified households into three categories with some differences. For example, </w:t>
      </w:r>
      <w:proofErr w:type="spellStart"/>
      <w:r w:rsidRPr="00135A78">
        <w:rPr>
          <w:rFonts w:ascii="Times New Roman" w:hAnsi="Times New Roman"/>
          <w:color w:val="000000"/>
          <w:sz w:val="24"/>
          <w:szCs w:val="24"/>
        </w:rPr>
        <w:t>Namana</w:t>
      </w:r>
      <w:proofErr w:type="spellEnd"/>
      <w:r w:rsidRPr="00135A78">
        <w:rPr>
          <w:rFonts w:ascii="Times New Roman" w:hAnsi="Times New Roman"/>
          <w:color w:val="000000"/>
          <w:sz w:val="24"/>
          <w:szCs w:val="24"/>
        </w:rPr>
        <w:t xml:space="preserve"> &amp; </w:t>
      </w:r>
      <w:proofErr w:type="spellStart"/>
      <w:r w:rsidRPr="00135A78">
        <w:rPr>
          <w:rFonts w:ascii="Times New Roman" w:hAnsi="Times New Roman"/>
          <w:color w:val="000000"/>
          <w:sz w:val="24"/>
          <w:szCs w:val="24"/>
        </w:rPr>
        <w:t>Souli</w:t>
      </w:r>
      <w:proofErr w:type="spellEnd"/>
      <w:r w:rsidRPr="00135A78">
        <w:rPr>
          <w:rFonts w:ascii="Times New Roman" w:hAnsi="Times New Roman"/>
          <w:bCs/>
          <w:color w:val="000000"/>
          <w:sz w:val="24"/>
          <w:szCs w:val="24"/>
        </w:rPr>
        <w:t xml:space="preserve"> </w:t>
      </w:r>
      <w:r w:rsidR="00EE5A56">
        <w:rPr>
          <w:rFonts w:ascii="Times New Roman" w:hAnsi="Times New Roman"/>
          <w:bCs/>
          <w:color w:val="000000"/>
          <w:sz w:val="24"/>
          <w:szCs w:val="24"/>
        </w:rPr>
        <w:t xml:space="preserve">[4] </w:t>
      </w:r>
      <w:r w:rsidRPr="00135A78">
        <w:rPr>
          <w:rFonts w:ascii="Times New Roman" w:hAnsi="Times New Roman"/>
          <w:bCs/>
          <w:color w:val="000000"/>
          <w:sz w:val="24"/>
          <w:szCs w:val="24"/>
        </w:rPr>
        <w:t xml:space="preserve">classified households as food secure when they were </w:t>
      </w:r>
      <w:r w:rsidRPr="00135A78">
        <w:rPr>
          <w:rFonts w:ascii="Times New Roman" w:hAnsi="Times New Roman"/>
          <w:color w:val="000000"/>
          <w:sz w:val="24"/>
          <w:szCs w:val="24"/>
        </w:rPr>
        <w:t xml:space="preserve">able to meet their family’s food needs for all 12 months, moderately food insecure when they were able to fulfill their food needs for nine months, and most food insecure when they were unable to meet their family’s needs for more than three months during the past year. On the other hand, </w:t>
      </w:r>
      <w:proofErr w:type="spellStart"/>
      <w:r w:rsidRPr="00135A78">
        <w:rPr>
          <w:rFonts w:ascii="Times New Roman" w:hAnsi="Times New Roman"/>
          <w:color w:val="000000"/>
          <w:sz w:val="24"/>
          <w:szCs w:val="24"/>
        </w:rPr>
        <w:t>Getachew</w:t>
      </w:r>
      <w:proofErr w:type="spellEnd"/>
      <w:r w:rsidRPr="00135A78">
        <w:rPr>
          <w:rFonts w:ascii="Times New Roman" w:hAnsi="Times New Roman"/>
          <w:color w:val="000000"/>
          <w:sz w:val="24"/>
          <w:szCs w:val="24"/>
        </w:rPr>
        <w:t xml:space="preserve"> </w:t>
      </w:r>
      <w:r w:rsidRPr="00EE5A56">
        <w:rPr>
          <w:rFonts w:ascii="Times New Roman" w:hAnsi="Times New Roman"/>
          <w:color w:val="000000"/>
          <w:sz w:val="24"/>
          <w:szCs w:val="24"/>
        </w:rPr>
        <w:t>et al.</w:t>
      </w:r>
      <w:r w:rsidRPr="00135A78">
        <w:rPr>
          <w:rFonts w:ascii="Times New Roman" w:hAnsi="Times New Roman"/>
          <w:color w:val="000000"/>
          <w:sz w:val="24"/>
          <w:szCs w:val="24"/>
        </w:rPr>
        <w:t xml:space="preserve"> </w:t>
      </w:r>
      <w:r w:rsidR="00EE5A56">
        <w:rPr>
          <w:rFonts w:ascii="Times New Roman" w:hAnsi="Times New Roman"/>
          <w:color w:val="000000"/>
          <w:sz w:val="24"/>
          <w:szCs w:val="24"/>
        </w:rPr>
        <w:t xml:space="preserve">[6] </w:t>
      </w:r>
      <w:r w:rsidRPr="00135A78">
        <w:rPr>
          <w:rFonts w:ascii="Times New Roman" w:hAnsi="Times New Roman"/>
          <w:color w:val="000000"/>
          <w:sz w:val="24"/>
          <w:szCs w:val="24"/>
        </w:rPr>
        <w:t xml:space="preserve">classified households that were able to satisfy their food requirement for 10–12 months,  7-9 months, and 6 and less months as food secure, moderately food insecure, and the most food insecure, respectively. </w:t>
      </w:r>
    </w:p>
    <w:p w:rsidR="00E21D81" w:rsidRDefault="00E21D81" w:rsidP="00E21D81">
      <w:pPr>
        <w:spacing w:after="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We modified the authors’ categorization and classified the households into four categories. We categorized households as food secure when they were able to satisfy their family’s food needs for all twelve months, mildly food insecure when they were able to meet their family’s food requirements for 10 to 11 months, moderately food insecure when they were able to meet their food needs for 8 to 9 months, and severely food insecure when they encountered food shortage for 5 and above months.  </w:t>
      </w:r>
    </w:p>
    <w:p w:rsidR="00E21D81" w:rsidRPr="00014D9C" w:rsidRDefault="00E21D81" w:rsidP="00E21D81">
      <w:pPr>
        <w:tabs>
          <w:tab w:val="left" w:pos="630"/>
        </w:tabs>
        <w:spacing w:after="0" w:line="360" w:lineRule="auto"/>
        <w:jc w:val="both"/>
        <w:outlineLvl w:val="3"/>
        <w:rPr>
          <w:rFonts w:ascii="Times New Roman" w:hAnsi="Times New Roman"/>
          <w:b/>
          <w:color w:val="000000"/>
          <w:sz w:val="24"/>
          <w:szCs w:val="24"/>
        </w:rPr>
      </w:pPr>
      <w:bookmarkStart w:id="9" w:name="_Toc255170200"/>
      <w:bookmarkStart w:id="10" w:name="_Toc255174876"/>
      <w:r w:rsidRPr="00014D9C">
        <w:rPr>
          <w:rFonts w:ascii="Times New Roman" w:hAnsi="Times New Roman"/>
          <w:b/>
          <w:color w:val="000000"/>
          <w:sz w:val="24"/>
          <w:szCs w:val="24"/>
        </w:rPr>
        <w:t xml:space="preserve"> </w:t>
      </w:r>
      <w:bookmarkStart w:id="11" w:name="_Toc255181227"/>
      <w:r w:rsidRPr="00014D9C">
        <w:rPr>
          <w:rFonts w:ascii="Times New Roman" w:hAnsi="Times New Roman"/>
          <w:b/>
          <w:color w:val="000000"/>
          <w:sz w:val="24"/>
          <w:szCs w:val="24"/>
        </w:rPr>
        <w:t>Food Access Component</w:t>
      </w:r>
      <w:bookmarkEnd w:id="9"/>
      <w:bookmarkEnd w:id="10"/>
      <w:bookmarkEnd w:id="11"/>
      <w:r w:rsidRPr="00014D9C">
        <w:rPr>
          <w:rFonts w:ascii="Times New Roman" w:hAnsi="Times New Roman"/>
          <w:b/>
          <w:color w:val="000000"/>
          <w:sz w:val="24"/>
          <w:szCs w:val="24"/>
        </w:rPr>
        <w:t xml:space="preserve"> </w:t>
      </w:r>
    </w:p>
    <w:p w:rsidR="00E21D81" w:rsidRPr="00135A78"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Household’s food access depends on his/her ability to acquire food either from its own production, purchases, gathering, stocks, or obtain via food transfers from relatives, the community, government or donors. In this study food access is conceptualized as households’ capacity (in terms of having sufficient income or other resources) to purchase or procure or obtain adequate levels of appropriate food needed to maintain consumption of sufficient diet/nutrition level </w:t>
      </w:r>
      <w:r w:rsidR="00EE5A56">
        <w:rPr>
          <w:rFonts w:ascii="Times New Roman" w:hAnsi="Times New Roman"/>
          <w:color w:val="000000"/>
          <w:sz w:val="24"/>
          <w:szCs w:val="24"/>
        </w:rPr>
        <w:t xml:space="preserve">[7]. </w:t>
      </w:r>
      <w:r w:rsidRPr="00135A78">
        <w:rPr>
          <w:rFonts w:ascii="Times New Roman" w:hAnsi="Times New Roman"/>
          <w:color w:val="000000"/>
          <w:sz w:val="24"/>
          <w:szCs w:val="24"/>
        </w:rPr>
        <w:t xml:space="preserve">This definition shows that food access represents the demand side of food security. </w:t>
      </w:r>
    </w:p>
    <w:p w:rsidR="00E21D81" w:rsidRPr="00A85BF5" w:rsidRDefault="00E21D81" w:rsidP="00E21D81">
      <w:pPr>
        <w:spacing w:after="60" w:line="360" w:lineRule="auto"/>
        <w:jc w:val="both"/>
        <w:rPr>
          <w:rFonts w:ascii="Times New Roman" w:hAnsi="Times New Roman"/>
          <w:color w:val="000000"/>
          <w:sz w:val="23"/>
          <w:szCs w:val="23"/>
        </w:rPr>
      </w:pPr>
      <w:r w:rsidRPr="00A85BF5">
        <w:rPr>
          <w:rFonts w:ascii="Times New Roman" w:hAnsi="Times New Roman"/>
          <w:color w:val="000000"/>
          <w:sz w:val="23"/>
          <w:szCs w:val="23"/>
        </w:rPr>
        <w:t xml:space="preserve">In this study, we used </w:t>
      </w:r>
      <w:r w:rsidRPr="00A85BF5">
        <w:rPr>
          <w:rFonts w:ascii="Times New Roman" w:hAnsi="Times New Roman"/>
          <w:bCs/>
          <w:color w:val="000000"/>
          <w:sz w:val="23"/>
          <w:szCs w:val="23"/>
        </w:rPr>
        <w:t>Household Food Insecurity Access Scale</w:t>
      </w:r>
      <w:r w:rsidRPr="00A85BF5">
        <w:rPr>
          <w:rFonts w:ascii="Times New Roman" w:hAnsi="Times New Roman"/>
          <w:color w:val="000000"/>
          <w:sz w:val="23"/>
          <w:szCs w:val="23"/>
        </w:rPr>
        <w:t xml:space="preserve"> (henceforward HFIAS) as an indicator to measure access part of food (in</w:t>
      </w:r>
      <w:proofErr w:type="gramStart"/>
      <w:r w:rsidRPr="00A85BF5">
        <w:rPr>
          <w:rFonts w:ascii="Times New Roman" w:hAnsi="Times New Roman"/>
          <w:color w:val="000000"/>
          <w:sz w:val="23"/>
          <w:szCs w:val="23"/>
        </w:rPr>
        <w:t>)security</w:t>
      </w:r>
      <w:proofErr w:type="gramEnd"/>
      <w:r w:rsidRPr="00A85BF5">
        <w:rPr>
          <w:rFonts w:ascii="Times New Roman" w:hAnsi="Times New Roman"/>
          <w:color w:val="000000"/>
          <w:sz w:val="23"/>
          <w:szCs w:val="23"/>
        </w:rPr>
        <w:t>. The HFIAS is one of the recent food security measurement tools that is designed to capture the common experience of household food (in</w:t>
      </w:r>
      <w:proofErr w:type="gramStart"/>
      <w:r w:rsidRPr="00A85BF5">
        <w:rPr>
          <w:rFonts w:ascii="Times New Roman" w:hAnsi="Times New Roman"/>
          <w:color w:val="000000"/>
          <w:sz w:val="23"/>
          <w:szCs w:val="23"/>
        </w:rPr>
        <w:t>)security</w:t>
      </w:r>
      <w:proofErr w:type="gramEnd"/>
      <w:r w:rsidRPr="00A85BF5">
        <w:rPr>
          <w:rFonts w:ascii="Times New Roman" w:hAnsi="Times New Roman"/>
          <w:color w:val="000000"/>
          <w:sz w:val="23"/>
          <w:szCs w:val="23"/>
        </w:rPr>
        <w:t xml:space="preserve">  throughout countries and cultures </w:t>
      </w:r>
      <w:r w:rsidR="00EE5A56">
        <w:rPr>
          <w:rFonts w:ascii="Times New Roman" w:hAnsi="Times New Roman"/>
          <w:color w:val="000000"/>
          <w:sz w:val="23"/>
          <w:szCs w:val="23"/>
        </w:rPr>
        <w:t xml:space="preserve">[7], </w:t>
      </w:r>
      <w:r w:rsidRPr="00A85BF5">
        <w:rPr>
          <w:rFonts w:ascii="Times New Roman" w:hAnsi="Times New Roman"/>
          <w:color w:val="000000"/>
          <w:sz w:val="23"/>
          <w:szCs w:val="23"/>
        </w:rPr>
        <w:t xml:space="preserve">but needs just a slight adjustment to the local contexts </w:t>
      </w:r>
      <w:r w:rsidR="00EE5A56">
        <w:rPr>
          <w:rFonts w:ascii="Times New Roman" w:hAnsi="Times New Roman"/>
          <w:color w:val="000000"/>
          <w:sz w:val="23"/>
          <w:szCs w:val="23"/>
        </w:rPr>
        <w:t xml:space="preserve">[8]. </w:t>
      </w:r>
      <w:r w:rsidRPr="00A85BF5">
        <w:rPr>
          <w:rFonts w:ascii="Times New Roman" w:hAnsi="Times New Roman"/>
          <w:color w:val="000000"/>
          <w:sz w:val="23"/>
          <w:szCs w:val="23"/>
        </w:rPr>
        <w:t xml:space="preserve">The argument behind HFIAS method is that when households experience food insecurity (access) they often roused to develop foreseeable reactions or responses that can be described and measured through a household survey </w:t>
      </w:r>
      <w:r w:rsidR="00EE5A56">
        <w:rPr>
          <w:rFonts w:ascii="Times New Roman" w:hAnsi="Times New Roman"/>
          <w:color w:val="000000"/>
          <w:sz w:val="23"/>
          <w:szCs w:val="23"/>
        </w:rPr>
        <w:t xml:space="preserve">[7]. </w:t>
      </w:r>
    </w:p>
    <w:p w:rsidR="00E21D81" w:rsidRPr="00135A78"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The HFIAS is designed as an easy to use and a simple measurement tool in such a way that capture household’s experience of difficulties in accessing food based on the three domains of food insecurity believed to be universal across socio-cultural contexts </w:t>
      </w:r>
      <w:r w:rsidR="00EE5A56">
        <w:rPr>
          <w:rFonts w:ascii="Times New Roman" w:hAnsi="Times New Roman"/>
          <w:color w:val="000000"/>
          <w:sz w:val="24"/>
          <w:szCs w:val="24"/>
        </w:rPr>
        <w:t xml:space="preserve">[7]. </w:t>
      </w:r>
      <w:r w:rsidRPr="00135A78">
        <w:rPr>
          <w:rFonts w:ascii="Times New Roman" w:hAnsi="Times New Roman"/>
          <w:color w:val="000000"/>
          <w:sz w:val="24"/>
          <w:szCs w:val="24"/>
        </w:rPr>
        <w:t xml:space="preserve">The domains include (a) feelings of anxiety and uncertainty about the household food access, (b) perceptions of the households that food is of insufficient quality (including variety, preferences, and social acceptability), and (c) inadequate food intake and its physical consequences </w:t>
      </w:r>
      <w:r w:rsidR="00EE5A56">
        <w:rPr>
          <w:rFonts w:ascii="Times New Roman" w:hAnsi="Times New Roman"/>
          <w:color w:val="000000"/>
          <w:sz w:val="24"/>
          <w:szCs w:val="24"/>
        </w:rPr>
        <w:t xml:space="preserve">[7]. </w:t>
      </w:r>
      <w:r>
        <w:rPr>
          <w:rFonts w:ascii="Times New Roman" w:hAnsi="Times New Roman"/>
          <w:color w:val="000000"/>
          <w:sz w:val="24"/>
          <w:szCs w:val="24"/>
        </w:rPr>
        <w:t xml:space="preserve">The </w:t>
      </w:r>
      <w:r w:rsidRPr="00135A78">
        <w:rPr>
          <w:rFonts w:ascii="Times New Roman" w:hAnsi="Times New Roman"/>
          <w:color w:val="000000"/>
          <w:sz w:val="24"/>
          <w:szCs w:val="24"/>
        </w:rPr>
        <w:t>HFIAS as an indicator of the access component of food (in</w:t>
      </w:r>
      <w:proofErr w:type="gramStart"/>
      <w:r w:rsidRPr="00135A78">
        <w:rPr>
          <w:rFonts w:ascii="Times New Roman" w:hAnsi="Times New Roman"/>
          <w:color w:val="000000"/>
          <w:sz w:val="24"/>
          <w:szCs w:val="24"/>
        </w:rPr>
        <w:t>)security</w:t>
      </w:r>
      <w:proofErr w:type="gramEnd"/>
      <w:r w:rsidRPr="00135A78">
        <w:rPr>
          <w:rFonts w:ascii="Times New Roman" w:hAnsi="Times New Roman"/>
          <w:color w:val="000000"/>
          <w:sz w:val="24"/>
          <w:szCs w:val="24"/>
        </w:rPr>
        <w:t xml:space="preserve"> has been validated and in use in many developing countries including Ethiopia</w:t>
      </w:r>
      <w:r w:rsidRPr="00135A78">
        <w:rPr>
          <w:rFonts w:ascii="TpskqhAdvTT86d47313" w:hAnsi="TpskqhAdvTT86d47313" w:cs="TpskqhAdvTT86d47313"/>
          <w:color w:val="000000"/>
          <w:sz w:val="20"/>
          <w:szCs w:val="20"/>
        </w:rPr>
        <w:t xml:space="preserve">. </w:t>
      </w:r>
    </w:p>
    <w:p w:rsidR="00E21D81" w:rsidRPr="001C6235" w:rsidRDefault="00E21D81" w:rsidP="00E21D81">
      <w:pPr>
        <w:spacing w:after="60" w:line="360" w:lineRule="auto"/>
        <w:jc w:val="both"/>
        <w:rPr>
          <w:rFonts w:ascii="Times New Roman" w:hAnsi="Times New Roman"/>
          <w:color w:val="000000"/>
          <w:sz w:val="23"/>
          <w:szCs w:val="23"/>
        </w:rPr>
      </w:pPr>
      <w:r w:rsidRPr="001C6235">
        <w:rPr>
          <w:rFonts w:ascii="Times New Roman" w:hAnsi="Times New Roman"/>
          <w:color w:val="000000"/>
          <w:sz w:val="23"/>
          <w:szCs w:val="23"/>
          <w:shd w:val="clear" w:color="auto" w:fill="FFFFFF"/>
        </w:rPr>
        <w:t xml:space="preserve">We used standard HFIAS questionnaire (tested and validated in the developing countries – including Ethiopian - context), which has a list of 9 detailed questions (occurrence questions) representing universal  features of the experience of problems of food access such as worry and availability of and accessibility to food for the household during the previous seven days. These questions were followed by other nine frequencies – of - occurrence questions that were asked as follow-up questions to every occurrence question to find out how often the event occurred. We followed the standard scoring procedure recommended in the literature </w:t>
      </w:r>
      <w:r w:rsidR="00EE5A56">
        <w:rPr>
          <w:rFonts w:ascii="Times New Roman" w:hAnsi="Times New Roman"/>
          <w:color w:val="000000"/>
          <w:sz w:val="23"/>
          <w:szCs w:val="23"/>
          <w:shd w:val="clear" w:color="auto" w:fill="FFFFFF"/>
        </w:rPr>
        <w:t xml:space="preserve">[7]. </w:t>
      </w:r>
      <w:r w:rsidRPr="001C6235">
        <w:rPr>
          <w:rFonts w:ascii="Times New Roman" w:hAnsi="Times New Roman"/>
          <w:color w:val="000000"/>
          <w:sz w:val="23"/>
          <w:szCs w:val="23"/>
        </w:rPr>
        <w:t xml:space="preserve">We computed </w:t>
      </w:r>
      <w:r w:rsidRPr="001C6235">
        <w:rPr>
          <w:rFonts w:ascii="Times New Roman" w:hAnsi="Times New Roman"/>
          <w:color w:val="000000"/>
          <w:sz w:val="23"/>
          <w:szCs w:val="23"/>
          <w:shd w:val="clear" w:color="auto" w:fill="FFFFFF"/>
        </w:rPr>
        <w:t>the HFIAS score for each household by adding</w:t>
      </w:r>
      <w:r w:rsidRPr="001C6235">
        <w:rPr>
          <w:rFonts w:ascii="Times New Roman" w:hAnsi="Times New Roman"/>
          <w:color w:val="000000"/>
          <w:sz w:val="23"/>
          <w:szCs w:val="23"/>
        </w:rPr>
        <w:t xml:space="preserve"> up the frequency of occurrence question responses code (that is, </w:t>
      </w:r>
      <w:r w:rsidRPr="001C6235">
        <w:rPr>
          <w:rFonts w:ascii="Times New Roman" w:hAnsi="Times New Roman"/>
          <w:bCs/>
          <w:color w:val="000000"/>
          <w:sz w:val="23"/>
          <w:szCs w:val="23"/>
        </w:rPr>
        <w:t xml:space="preserve">Q1a + Q2a + Q3a + Q4a + Q5a + Q6a + Q7a + Q8a +Q9a) which </w:t>
      </w:r>
      <w:r w:rsidRPr="001C6235">
        <w:rPr>
          <w:rFonts w:ascii="Times New Roman" w:hAnsi="Times New Roman"/>
          <w:color w:val="000000"/>
          <w:sz w:val="23"/>
          <w:szCs w:val="23"/>
          <w:shd w:val="clear" w:color="auto" w:fill="FFFFFF"/>
        </w:rPr>
        <w:t xml:space="preserve">could range from 0 (food security) to 27 (severely food insecurity). </w:t>
      </w:r>
      <w:r w:rsidRPr="001C6235">
        <w:rPr>
          <w:rFonts w:ascii="Times New Roman" w:hAnsi="Times New Roman"/>
          <w:color w:val="000000"/>
          <w:sz w:val="23"/>
          <w:szCs w:val="23"/>
        </w:rPr>
        <w:t xml:space="preserve">The maximum score for a household whose response to all frequency-of-occurrence questions is “often” (coded as 3) could be 27 and the minimum score for a household whose response is “no” to all occurrence questions could be 0. The higher HFIAS shows the household had experienced more food insecurity (access) and vice versa </w:t>
      </w:r>
      <w:r w:rsidR="00EE5A56">
        <w:rPr>
          <w:rFonts w:ascii="Times New Roman" w:hAnsi="Times New Roman"/>
          <w:color w:val="000000"/>
          <w:sz w:val="23"/>
          <w:szCs w:val="23"/>
        </w:rPr>
        <w:t xml:space="preserve">[7]. </w:t>
      </w:r>
    </w:p>
    <w:p w:rsidR="00E21D81" w:rsidRPr="001C6235" w:rsidRDefault="00E21D81" w:rsidP="00E21D81">
      <w:pPr>
        <w:spacing w:after="0" w:line="360" w:lineRule="auto"/>
        <w:jc w:val="both"/>
        <w:rPr>
          <w:rFonts w:ascii="Times New Roman" w:hAnsi="Times New Roman"/>
          <w:color w:val="000000"/>
          <w:sz w:val="23"/>
          <w:szCs w:val="23"/>
        </w:rPr>
      </w:pPr>
      <w:r w:rsidRPr="001C6235">
        <w:rPr>
          <w:rFonts w:ascii="Times New Roman" w:hAnsi="Times New Roman"/>
          <w:color w:val="000000"/>
          <w:sz w:val="23"/>
          <w:szCs w:val="23"/>
        </w:rPr>
        <w:t>To determine food (in</w:t>
      </w:r>
      <w:proofErr w:type="gramStart"/>
      <w:r w:rsidRPr="001C6235">
        <w:rPr>
          <w:rFonts w:ascii="Times New Roman" w:hAnsi="Times New Roman"/>
          <w:color w:val="000000"/>
          <w:sz w:val="23"/>
          <w:szCs w:val="23"/>
        </w:rPr>
        <w:t>)security</w:t>
      </w:r>
      <w:proofErr w:type="gramEnd"/>
      <w:r w:rsidRPr="001C6235">
        <w:rPr>
          <w:rFonts w:ascii="Times New Roman" w:hAnsi="Times New Roman"/>
          <w:color w:val="000000"/>
          <w:sz w:val="23"/>
          <w:szCs w:val="23"/>
        </w:rPr>
        <w:t xml:space="preserve"> status and prevalence, we computed a categorical indicator called the Household Food Insecurity Access Prevalence (HFIAP). We categorized households into four hierarchies of household food insecurity (access): food secure (coded as 1), mildly food insecure (coded as 2), moderately food insecure (coded as 3) and severely food insecure (coded as 4) based on the respondents’ reply to </w:t>
      </w:r>
      <w:r w:rsidRPr="001C6235">
        <w:rPr>
          <w:rFonts w:ascii="Times New Roman" w:hAnsi="Times New Roman"/>
          <w:color w:val="000000"/>
          <w:sz w:val="23"/>
          <w:szCs w:val="23"/>
          <w:shd w:val="clear" w:color="auto" w:fill="FFFFFF"/>
        </w:rPr>
        <w:t xml:space="preserve">frequency – of - occurrence questions. Those households that gave affirmative </w:t>
      </w:r>
      <w:r w:rsidRPr="001C6235">
        <w:rPr>
          <w:rFonts w:ascii="Times New Roman" w:hAnsi="Times New Roman"/>
          <w:color w:val="000000"/>
          <w:sz w:val="23"/>
          <w:szCs w:val="23"/>
        </w:rPr>
        <w:t xml:space="preserve">response (i.e. yes) to more sever conditions and experienced those conditions more frequently are classified as steadily food insecure and vice versa. We created these categories through the following algorithm classification process </w:t>
      </w:r>
      <w:r>
        <w:rPr>
          <w:rFonts w:ascii="Times New Roman" w:hAnsi="Times New Roman"/>
          <w:color w:val="000000"/>
          <w:sz w:val="23"/>
          <w:szCs w:val="23"/>
        </w:rPr>
        <w:t>(see Table D</w:t>
      </w:r>
      <w:r w:rsidRPr="001C6235">
        <w:rPr>
          <w:rFonts w:ascii="Times New Roman" w:hAnsi="Times New Roman"/>
          <w:color w:val="000000"/>
          <w:sz w:val="23"/>
          <w:szCs w:val="23"/>
        </w:rPr>
        <w:t>) by using STATA software version 13.</w:t>
      </w:r>
    </w:p>
    <w:p w:rsidR="00E21D81" w:rsidRPr="00A85BF5" w:rsidRDefault="00E21D81" w:rsidP="00E21D81">
      <w:pPr>
        <w:pStyle w:val="Heading1"/>
        <w:spacing w:before="0"/>
        <w:rPr>
          <w:rFonts w:ascii="Times New Roman" w:hAnsi="Times New Roman"/>
          <w:color w:val="000000"/>
          <w:sz w:val="24"/>
          <w:szCs w:val="24"/>
        </w:rPr>
      </w:pPr>
      <w:bookmarkStart w:id="12" w:name="_Toc255170201"/>
      <w:bookmarkStart w:id="13" w:name="_Toc255174877"/>
      <w:bookmarkStart w:id="14" w:name="_Toc255181228"/>
      <w:r>
        <w:rPr>
          <w:rFonts w:ascii="Times New Roman" w:hAnsi="Times New Roman"/>
          <w:b w:val="0"/>
          <w:color w:val="000000"/>
          <w:sz w:val="24"/>
          <w:szCs w:val="24"/>
        </w:rPr>
        <w:t xml:space="preserve">Table </w:t>
      </w:r>
      <w:r w:rsidR="008A7673">
        <w:rPr>
          <w:rFonts w:ascii="Times New Roman" w:hAnsi="Times New Roman"/>
          <w:b w:val="0"/>
          <w:color w:val="000000"/>
          <w:sz w:val="24"/>
          <w:szCs w:val="24"/>
        </w:rPr>
        <w:t>S4</w:t>
      </w:r>
      <w:r w:rsidRPr="00A85BF5">
        <w:rPr>
          <w:rFonts w:ascii="Times New Roman" w:hAnsi="Times New Roman"/>
          <w:b w:val="0"/>
          <w:color w:val="000000"/>
          <w:sz w:val="24"/>
          <w:szCs w:val="24"/>
        </w:rPr>
        <w:t>:</w:t>
      </w:r>
      <w:r w:rsidRPr="00A85BF5">
        <w:rPr>
          <w:rFonts w:ascii="Times New Roman" w:hAnsi="Times New Roman"/>
          <w:color w:val="000000"/>
          <w:sz w:val="24"/>
          <w:szCs w:val="24"/>
        </w:rPr>
        <w:t xml:space="preserve"> </w:t>
      </w:r>
      <w:r w:rsidRPr="00A85BF5">
        <w:rPr>
          <w:rFonts w:ascii="Times New Roman" w:hAnsi="Times New Roman"/>
          <w:b w:val="0"/>
          <w:color w:val="000000"/>
          <w:sz w:val="24"/>
          <w:szCs w:val="24"/>
        </w:rPr>
        <w:t>HFIAS Classification Algorithm</w:t>
      </w:r>
      <w:bookmarkEnd w:id="12"/>
      <w:bookmarkEnd w:id="13"/>
      <w:r w:rsidRPr="00A85BF5">
        <w:rPr>
          <w:rFonts w:ascii="Times New Roman" w:hAnsi="Times New Roman"/>
          <w:b w:val="0"/>
          <w:color w:val="000000"/>
          <w:sz w:val="24"/>
          <w:szCs w:val="24"/>
        </w:rPr>
        <w:t>.</w:t>
      </w:r>
      <w:bookmarkEnd w:id="14"/>
    </w:p>
    <w:tbl>
      <w:tblPr>
        <w:tblW w:w="0" w:type="auto"/>
        <w:tblLook w:val="04A0" w:firstRow="1" w:lastRow="0" w:firstColumn="1" w:lastColumn="0" w:noHBand="0" w:noVBand="1"/>
      </w:tblPr>
      <w:tblGrid>
        <w:gridCol w:w="2088"/>
        <w:gridCol w:w="7380"/>
      </w:tblGrid>
      <w:tr w:rsidR="00E21D81" w:rsidRPr="00135A78" w:rsidTr="00032B09">
        <w:trPr>
          <w:trHeight w:val="211"/>
        </w:trPr>
        <w:tc>
          <w:tcPr>
            <w:tcW w:w="2088" w:type="dxa"/>
            <w:tcBorders>
              <w:top w:val="single" w:sz="12" w:space="0" w:color="auto"/>
              <w:bottom w:val="single" w:sz="12" w:space="0" w:color="auto"/>
            </w:tcBorders>
          </w:tcPr>
          <w:p w:rsidR="00E21D81" w:rsidRPr="00135A78" w:rsidRDefault="00E21D81" w:rsidP="00032B09">
            <w:pPr>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HFIAS category</w:t>
            </w:r>
          </w:p>
        </w:tc>
        <w:tc>
          <w:tcPr>
            <w:tcW w:w="7380" w:type="dxa"/>
            <w:tcBorders>
              <w:top w:val="single" w:sz="12" w:space="0" w:color="auto"/>
              <w:bottom w:val="single" w:sz="12" w:space="0" w:color="auto"/>
            </w:tcBorders>
          </w:tcPr>
          <w:p w:rsidR="00E21D81" w:rsidRPr="00135A78" w:rsidRDefault="00E21D81" w:rsidP="00032B09">
            <w:pPr>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Algorithm classification process</w:t>
            </w:r>
          </w:p>
        </w:tc>
      </w:tr>
      <w:tr w:rsidR="00E21D81" w:rsidRPr="00135A78" w:rsidTr="00032B09">
        <w:tc>
          <w:tcPr>
            <w:tcW w:w="2088" w:type="dxa"/>
            <w:tcBorders>
              <w:bottom w:val="single" w:sz="12" w:space="0" w:color="auto"/>
            </w:tcBorders>
          </w:tcPr>
          <w:p w:rsidR="00E21D81" w:rsidRPr="00135A78" w:rsidRDefault="00E21D81" w:rsidP="00032B09">
            <w:pPr>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 xml:space="preserve">Category 1 = Food secure </w:t>
            </w:r>
          </w:p>
        </w:tc>
        <w:tc>
          <w:tcPr>
            <w:tcW w:w="7380" w:type="dxa"/>
            <w:tcBorders>
              <w:bottom w:val="single" w:sz="12" w:space="0" w:color="auto"/>
            </w:tcBorders>
          </w:tcPr>
          <w:p w:rsidR="00E21D81" w:rsidRPr="00135A78" w:rsidRDefault="00E21D81" w:rsidP="00032B09">
            <w:pPr>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If [(Q1a=0 or Q1a=1) &amp; Q2a=0 &amp; Q3a=0 &amp; Q4a=0 &amp; Q5a=0 &amp; Q6a=0 &amp; Q7a=0 &amp; Q8a=0 &amp; Q9a=0]</w:t>
            </w:r>
          </w:p>
        </w:tc>
      </w:tr>
      <w:tr w:rsidR="00E21D81" w:rsidRPr="00135A78" w:rsidTr="00032B09">
        <w:tc>
          <w:tcPr>
            <w:tcW w:w="2088" w:type="dxa"/>
            <w:tcBorders>
              <w:top w:val="single" w:sz="12" w:space="0" w:color="auto"/>
              <w:bottom w:val="single" w:sz="12" w:space="0" w:color="auto"/>
            </w:tcBorders>
          </w:tcPr>
          <w:p w:rsidR="00E21D81" w:rsidRPr="00135A78" w:rsidRDefault="00E21D81" w:rsidP="00032B09">
            <w:pPr>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Category 2 = Mildly food insecure</w:t>
            </w:r>
          </w:p>
        </w:tc>
        <w:tc>
          <w:tcPr>
            <w:tcW w:w="7380" w:type="dxa"/>
            <w:tcBorders>
              <w:top w:val="single" w:sz="12" w:space="0" w:color="auto"/>
              <w:bottom w:val="single" w:sz="12" w:space="0" w:color="auto"/>
            </w:tcBorders>
          </w:tcPr>
          <w:p w:rsidR="00E21D81" w:rsidRPr="00135A78" w:rsidRDefault="00E21D81" w:rsidP="00032B09">
            <w:pPr>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If [(Q1a=2 or Q1a=3 or Q2a=1 or Q2a=2 or Q2a=3 or Q3a=1 or Q4a=1) &amp; Q5a=0 &amp; Q6a=0 &amp; Q7a=0 &amp; Q8a=0 &amp; Q9a=0]</w:t>
            </w:r>
          </w:p>
        </w:tc>
      </w:tr>
      <w:tr w:rsidR="00E21D81" w:rsidRPr="00135A78" w:rsidTr="00032B09">
        <w:tc>
          <w:tcPr>
            <w:tcW w:w="2088" w:type="dxa"/>
            <w:tcBorders>
              <w:top w:val="single" w:sz="12" w:space="0" w:color="auto"/>
              <w:bottom w:val="single" w:sz="12" w:space="0" w:color="auto"/>
            </w:tcBorders>
          </w:tcPr>
          <w:p w:rsidR="00E21D81" w:rsidRPr="00135A78" w:rsidRDefault="00E21D81" w:rsidP="00032B09">
            <w:pPr>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Category 3 = Moderately food insecure</w:t>
            </w:r>
          </w:p>
        </w:tc>
        <w:tc>
          <w:tcPr>
            <w:tcW w:w="7380" w:type="dxa"/>
            <w:tcBorders>
              <w:top w:val="single" w:sz="12" w:space="0" w:color="auto"/>
              <w:bottom w:val="single" w:sz="12" w:space="0" w:color="auto"/>
            </w:tcBorders>
          </w:tcPr>
          <w:p w:rsidR="00E21D81" w:rsidRPr="00135A78" w:rsidRDefault="00E21D81" w:rsidP="00032B09">
            <w:pPr>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If [(Q3a=2 or Q3a=3 or Q4a=2 or Q4a=3 or Q5a=1 or Q5a=2 or Q6a=1 or Q6a=2) &amp; Q7a=0 &amp;Q8a=0 &amp; Q9a=0]</w:t>
            </w:r>
          </w:p>
        </w:tc>
      </w:tr>
      <w:tr w:rsidR="00E21D81" w:rsidRPr="00135A78" w:rsidTr="00032B09">
        <w:tc>
          <w:tcPr>
            <w:tcW w:w="2088" w:type="dxa"/>
            <w:tcBorders>
              <w:top w:val="single" w:sz="12" w:space="0" w:color="auto"/>
              <w:bottom w:val="single" w:sz="12" w:space="0" w:color="auto"/>
            </w:tcBorders>
          </w:tcPr>
          <w:p w:rsidR="00E21D81" w:rsidRPr="00135A78" w:rsidRDefault="00E21D81" w:rsidP="00032B09">
            <w:pPr>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Category 4 = severely food insecure</w:t>
            </w:r>
          </w:p>
        </w:tc>
        <w:tc>
          <w:tcPr>
            <w:tcW w:w="7380" w:type="dxa"/>
            <w:tcBorders>
              <w:top w:val="single" w:sz="12" w:space="0" w:color="auto"/>
              <w:bottom w:val="single" w:sz="12" w:space="0" w:color="auto"/>
            </w:tcBorders>
          </w:tcPr>
          <w:p w:rsidR="00E21D81" w:rsidRPr="00135A78" w:rsidRDefault="00E21D81" w:rsidP="00032B09">
            <w:pPr>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If [Q5a=3 or Q6a=3 or Q7a=1 or Q7a=2 or Q7a=3 or Q8a=1 or Q8a=2 or Q8a=3 or Q9a=1 or Q9a=2 or Q9a=3]</w:t>
            </w:r>
          </w:p>
        </w:tc>
      </w:tr>
    </w:tbl>
    <w:p w:rsidR="00E21D81" w:rsidRDefault="00E21D81" w:rsidP="00E21D81">
      <w:pPr>
        <w:spacing w:after="60"/>
        <w:jc w:val="both"/>
        <w:rPr>
          <w:rFonts w:ascii="Times New Roman" w:hAnsi="Times New Roman"/>
          <w:color w:val="000000"/>
          <w:sz w:val="24"/>
          <w:szCs w:val="24"/>
        </w:rPr>
      </w:pPr>
      <w:r w:rsidRPr="00135A78">
        <w:rPr>
          <w:rFonts w:ascii="Times New Roman" w:hAnsi="Times New Roman"/>
          <w:color w:val="000000"/>
          <w:sz w:val="24"/>
          <w:szCs w:val="24"/>
        </w:rPr>
        <w:t xml:space="preserve">Source: Coates </w:t>
      </w:r>
      <w:r w:rsidRPr="00587718">
        <w:rPr>
          <w:rFonts w:ascii="Times New Roman" w:hAnsi="Times New Roman"/>
          <w:i/>
          <w:color w:val="000000"/>
          <w:sz w:val="24"/>
          <w:szCs w:val="24"/>
        </w:rPr>
        <w:t>et al.</w:t>
      </w:r>
      <w:r w:rsidRPr="00135A78">
        <w:rPr>
          <w:rFonts w:ascii="Times New Roman" w:hAnsi="Times New Roman"/>
          <w:i/>
          <w:color w:val="000000"/>
          <w:sz w:val="24"/>
          <w:szCs w:val="24"/>
        </w:rPr>
        <w:t xml:space="preserve"> </w:t>
      </w:r>
      <w:r w:rsidRPr="00135A78">
        <w:rPr>
          <w:rFonts w:ascii="Times New Roman" w:hAnsi="Times New Roman"/>
          <w:color w:val="000000"/>
          <w:sz w:val="24"/>
          <w:szCs w:val="24"/>
        </w:rPr>
        <w:t>(2007)</w:t>
      </w:r>
    </w:p>
    <w:p w:rsidR="00E21D81" w:rsidRDefault="00E21D81" w:rsidP="00E21D81">
      <w:pPr>
        <w:spacing w:after="60"/>
        <w:jc w:val="both"/>
        <w:rPr>
          <w:rFonts w:ascii="Times New Roman" w:hAnsi="Times New Roman"/>
          <w:color w:val="000000"/>
          <w:sz w:val="24"/>
          <w:szCs w:val="24"/>
        </w:rPr>
      </w:pPr>
    </w:p>
    <w:p w:rsidR="00E21D81" w:rsidRDefault="00E21D81" w:rsidP="00E21D81">
      <w:pPr>
        <w:spacing w:after="60"/>
        <w:jc w:val="both"/>
        <w:rPr>
          <w:rFonts w:ascii="Times New Roman" w:hAnsi="Times New Roman"/>
          <w:color w:val="000000"/>
          <w:sz w:val="24"/>
          <w:szCs w:val="24"/>
        </w:rPr>
      </w:pPr>
    </w:p>
    <w:p w:rsidR="00EE5A56" w:rsidRDefault="00EE5A56" w:rsidP="00E21D81">
      <w:pPr>
        <w:spacing w:after="60"/>
        <w:jc w:val="both"/>
        <w:rPr>
          <w:rFonts w:ascii="Times New Roman" w:hAnsi="Times New Roman"/>
          <w:color w:val="000000"/>
          <w:sz w:val="24"/>
          <w:szCs w:val="24"/>
        </w:rPr>
      </w:pPr>
    </w:p>
    <w:p w:rsidR="00EE5A56" w:rsidRDefault="00EE5A56" w:rsidP="00E21D81">
      <w:pPr>
        <w:spacing w:after="60"/>
        <w:jc w:val="both"/>
        <w:rPr>
          <w:rFonts w:ascii="Times New Roman" w:hAnsi="Times New Roman"/>
          <w:color w:val="000000"/>
          <w:sz w:val="24"/>
          <w:szCs w:val="24"/>
        </w:rPr>
      </w:pPr>
    </w:p>
    <w:p w:rsidR="00EE5A56" w:rsidRPr="00135A78" w:rsidRDefault="00EE5A56" w:rsidP="00E21D81">
      <w:pPr>
        <w:spacing w:after="60"/>
        <w:jc w:val="both"/>
        <w:rPr>
          <w:rFonts w:ascii="Times New Roman" w:hAnsi="Times New Roman"/>
          <w:color w:val="000000"/>
          <w:sz w:val="24"/>
          <w:szCs w:val="24"/>
        </w:rPr>
      </w:pPr>
    </w:p>
    <w:p w:rsidR="00E21D81" w:rsidRPr="00014D9C" w:rsidRDefault="00E21D81" w:rsidP="00E21D81">
      <w:pPr>
        <w:tabs>
          <w:tab w:val="left" w:pos="630"/>
        </w:tabs>
        <w:spacing w:after="0" w:line="360" w:lineRule="auto"/>
        <w:jc w:val="both"/>
        <w:outlineLvl w:val="3"/>
        <w:rPr>
          <w:rFonts w:ascii="Times New Roman" w:hAnsi="Times New Roman"/>
          <w:b/>
          <w:color w:val="000000"/>
          <w:sz w:val="24"/>
          <w:szCs w:val="24"/>
          <w:shd w:val="clear" w:color="auto" w:fill="FFFFFF"/>
        </w:rPr>
      </w:pPr>
      <w:bookmarkStart w:id="15" w:name="_Toc255170202"/>
      <w:bookmarkStart w:id="16" w:name="_Toc255174878"/>
      <w:r w:rsidRPr="00014D9C">
        <w:rPr>
          <w:rFonts w:ascii="Times New Roman" w:hAnsi="Times New Roman"/>
          <w:color w:val="000000"/>
          <w:sz w:val="24"/>
          <w:szCs w:val="24"/>
          <w:shd w:val="clear" w:color="auto" w:fill="FFFFFF"/>
        </w:rPr>
        <w:t xml:space="preserve"> </w:t>
      </w:r>
      <w:bookmarkStart w:id="17" w:name="_Toc255181229"/>
      <w:r w:rsidRPr="00014D9C">
        <w:rPr>
          <w:rFonts w:ascii="Times New Roman" w:hAnsi="Times New Roman"/>
          <w:b/>
          <w:color w:val="000000"/>
          <w:sz w:val="24"/>
          <w:szCs w:val="24"/>
          <w:shd w:val="clear" w:color="auto" w:fill="FFFFFF"/>
        </w:rPr>
        <w:t>Food Utilization Component</w:t>
      </w:r>
      <w:bookmarkEnd w:id="15"/>
      <w:bookmarkEnd w:id="16"/>
      <w:bookmarkEnd w:id="17"/>
      <w:r w:rsidRPr="00014D9C">
        <w:rPr>
          <w:rFonts w:ascii="Times New Roman" w:hAnsi="Times New Roman"/>
          <w:b/>
          <w:color w:val="000000"/>
          <w:sz w:val="24"/>
          <w:szCs w:val="24"/>
          <w:shd w:val="clear" w:color="auto" w:fill="FFFFFF"/>
        </w:rPr>
        <w:t xml:space="preserve"> </w:t>
      </w:r>
    </w:p>
    <w:p w:rsidR="00E21D81" w:rsidRPr="00135A78"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shd w:val="clear" w:color="auto" w:fill="FFFFFF"/>
        </w:rPr>
        <w:t>As indicated in chapter two, f</w:t>
      </w:r>
      <w:r w:rsidRPr="00135A78">
        <w:rPr>
          <w:rFonts w:ascii="Times New Roman" w:hAnsi="Times New Roman"/>
          <w:color w:val="000000"/>
          <w:sz w:val="24"/>
          <w:szCs w:val="24"/>
        </w:rPr>
        <w:t xml:space="preserve">ood utilization mainly involves the ability of people to obtain complete biological benefits from food, based on food safety, food quality and diversity, health care, and sanitation </w:t>
      </w:r>
      <w:r w:rsidR="00EE5A56">
        <w:rPr>
          <w:rFonts w:ascii="Times New Roman" w:hAnsi="Times New Roman"/>
          <w:color w:val="000000"/>
          <w:sz w:val="24"/>
          <w:szCs w:val="24"/>
        </w:rPr>
        <w:t xml:space="preserve">[9]. </w:t>
      </w:r>
      <w:r w:rsidRPr="00135A78">
        <w:rPr>
          <w:rFonts w:ascii="Times New Roman" w:hAnsi="Times New Roman"/>
          <w:color w:val="000000"/>
          <w:sz w:val="24"/>
          <w:szCs w:val="24"/>
        </w:rPr>
        <w:t>Following this, we conceptualized foo</w:t>
      </w:r>
      <w:r>
        <w:rPr>
          <w:rFonts w:ascii="Times New Roman" w:hAnsi="Times New Roman"/>
          <w:color w:val="000000"/>
          <w:sz w:val="24"/>
          <w:szCs w:val="24"/>
        </w:rPr>
        <w:t>d utilization as the household’s</w:t>
      </w:r>
      <w:r w:rsidRPr="00135A78">
        <w:rPr>
          <w:rFonts w:ascii="Times New Roman" w:hAnsi="Times New Roman"/>
          <w:color w:val="000000"/>
          <w:sz w:val="24"/>
          <w:szCs w:val="24"/>
        </w:rPr>
        <w:t xml:space="preserve"> capacity to fulfill his/her biological needs derived from nutritious food (food with quality and diversity). We measure utilization aspect of food security by using two indicators: Household Dietary Diversity Score (HDDS) and Food Consumption Score (FCS). These indicators are often used as proxy indicators to capt</w:t>
      </w:r>
      <w:r>
        <w:rPr>
          <w:rFonts w:ascii="Times New Roman" w:hAnsi="Times New Roman"/>
          <w:color w:val="000000"/>
          <w:sz w:val="24"/>
          <w:szCs w:val="24"/>
        </w:rPr>
        <w:t>ure nutritional quality of diet</w:t>
      </w:r>
      <w:r w:rsidRPr="00135A78">
        <w:rPr>
          <w:rFonts w:ascii="Times New Roman" w:hAnsi="Times New Roman"/>
          <w:color w:val="000000"/>
          <w:sz w:val="24"/>
          <w:szCs w:val="24"/>
        </w:rPr>
        <w:t xml:space="preserve"> </w:t>
      </w:r>
      <w:r w:rsidR="00EE5A56">
        <w:rPr>
          <w:rFonts w:ascii="Times New Roman" w:hAnsi="Times New Roman"/>
          <w:color w:val="000000"/>
          <w:sz w:val="24"/>
          <w:szCs w:val="24"/>
        </w:rPr>
        <w:t xml:space="preserve">[10] </w:t>
      </w:r>
      <w:r w:rsidRPr="00135A78">
        <w:rPr>
          <w:rFonts w:ascii="Times New Roman" w:hAnsi="Times New Roman"/>
          <w:color w:val="000000"/>
          <w:sz w:val="24"/>
          <w:szCs w:val="24"/>
        </w:rPr>
        <w:t xml:space="preserve">since a variety of foods in the diet is required to ensure a sufficient intake of important nutrients </w:t>
      </w:r>
      <w:r w:rsidR="00EE5A56">
        <w:rPr>
          <w:rFonts w:ascii="Times New Roman" w:hAnsi="Times New Roman"/>
          <w:color w:val="000000"/>
          <w:sz w:val="24"/>
          <w:szCs w:val="24"/>
        </w:rPr>
        <w:t xml:space="preserve">[11]. </w:t>
      </w:r>
    </w:p>
    <w:p w:rsidR="00E21D81" w:rsidRPr="00135A78"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Twelve set of food groups proposed by FANTA </w:t>
      </w:r>
      <w:r w:rsidR="00EE5A56">
        <w:rPr>
          <w:rFonts w:ascii="Times New Roman" w:hAnsi="Times New Roman"/>
          <w:color w:val="000000"/>
          <w:sz w:val="24"/>
          <w:szCs w:val="24"/>
        </w:rPr>
        <w:t xml:space="preserve">[10] </w:t>
      </w:r>
      <w:r w:rsidRPr="00135A78">
        <w:rPr>
          <w:rFonts w:ascii="Times New Roman" w:hAnsi="Times New Roman"/>
          <w:color w:val="000000"/>
          <w:sz w:val="24"/>
          <w:szCs w:val="24"/>
        </w:rPr>
        <w:t>such as: cereals; root and tubers; vegetables; fruits; meat, poultry, offal; eggs; fish and seafood; pulses/legumes/nuts; milk and milk products; oil/fats; and sugar/honey were used to examine the dietary diversity status of the households in the study areas. Households were asked to indicate which food group did they consume in the last 24 four hours. The responses were coded as one if a household had consumed a particular food group and zero if it had not consumed. We focused on the number of food groups rather than the number of different foods consumed for the reason that consumption of food groups offers a number of diversity in both macro- and micronutrients</w:t>
      </w:r>
      <w:r w:rsidRPr="00135A78">
        <w:rPr>
          <w:color w:val="000000"/>
          <w:sz w:val="24"/>
          <w:szCs w:val="24"/>
        </w:rPr>
        <w:t xml:space="preserve"> </w:t>
      </w:r>
      <w:r w:rsidR="00EE5A56">
        <w:rPr>
          <w:color w:val="000000"/>
          <w:sz w:val="24"/>
          <w:szCs w:val="24"/>
        </w:rPr>
        <w:t xml:space="preserve">[12] </w:t>
      </w:r>
      <w:r w:rsidRPr="00135A78">
        <w:rPr>
          <w:rFonts w:ascii="Times New Roman" w:eastAsia="Times New Roman" w:hAnsi="Times New Roman"/>
          <w:color w:val="000000"/>
          <w:sz w:val="24"/>
          <w:szCs w:val="24"/>
        </w:rPr>
        <w:t xml:space="preserve">and is </w:t>
      </w:r>
      <w:r w:rsidRPr="00135A78">
        <w:rPr>
          <w:rFonts w:ascii="Times New Roman" w:hAnsi="Times New Roman"/>
          <w:color w:val="000000"/>
          <w:sz w:val="24"/>
          <w:szCs w:val="24"/>
          <w:shd w:val="clear" w:color="auto" w:fill="FFFFFF"/>
        </w:rPr>
        <w:t>a stronger predictor of dietary quality</w:t>
      </w:r>
      <w:r w:rsidRPr="00135A78">
        <w:rPr>
          <w:rFonts w:ascii="Times New Roman" w:eastAsia="Times New Roman" w:hAnsi="Times New Roman"/>
          <w:color w:val="000000"/>
          <w:sz w:val="24"/>
          <w:szCs w:val="24"/>
        </w:rPr>
        <w:t xml:space="preserve"> </w:t>
      </w:r>
      <w:r w:rsidR="00EE5A56">
        <w:rPr>
          <w:rFonts w:ascii="Times New Roman" w:eastAsia="Times New Roman" w:hAnsi="Times New Roman"/>
          <w:color w:val="000000"/>
          <w:sz w:val="24"/>
          <w:szCs w:val="24"/>
        </w:rPr>
        <w:t xml:space="preserve">[13]. </w:t>
      </w:r>
      <w:r w:rsidRPr="00135A78">
        <w:rPr>
          <w:rFonts w:ascii="Times New Roman" w:hAnsi="Times New Roman"/>
          <w:color w:val="000000"/>
          <w:sz w:val="24"/>
          <w:szCs w:val="24"/>
        </w:rPr>
        <w:t xml:space="preserve">For example, a household that consumed five different foods which might all be cereals (rice, maize, sorghum, wheat, and </w:t>
      </w:r>
      <w:proofErr w:type="spellStart"/>
      <w:r w:rsidRPr="00135A78">
        <w:rPr>
          <w:rFonts w:ascii="Times New Roman" w:hAnsi="Times New Roman"/>
          <w:color w:val="000000"/>
          <w:sz w:val="24"/>
          <w:szCs w:val="24"/>
        </w:rPr>
        <w:t>Teff</w:t>
      </w:r>
      <w:proofErr w:type="spellEnd"/>
      <w:r w:rsidRPr="00135A78">
        <w:rPr>
          <w:rFonts w:ascii="Times New Roman" w:hAnsi="Times New Roman"/>
          <w:color w:val="000000"/>
          <w:sz w:val="24"/>
          <w:szCs w:val="24"/>
        </w:rPr>
        <w:t>) is dietary poor than the one that on average consumed five different food groups (cereals, fruits, meat, egg, and fish). Therefore, the computation of HDDS for each household is based upon the 12 food groups mentioned above.</w:t>
      </w:r>
      <w:r w:rsidRPr="00135A78">
        <w:rPr>
          <w:rFonts w:ascii="Times New Roman" w:hAnsi="Times New Roman"/>
          <w:color w:val="000000"/>
        </w:rPr>
        <w:t xml:space="preserve"> </w:t>
      </w:r>
      <w:r w:rsidRPr="00135A78">
        <w:rPr>
          <w:rFonts w:ascii="Times New Roman" w:hAnsi="Times New Roman"/>
          <w:color w:val="000000"/>
          <w:sz w:val="24"/>
          <w:szCs w:val="24"/>
        </w:rPr>
        <w:t xml:space="preserve">  </w:t>
      </w:r>
    </w:p>
    <w:p w:rsidR="00E21D81" w:rsidRPr="00135A78" w:rsidRDefault="00E21D81" w:rsidP="00E21D81">
      <w:pPr>
        <w:spacing w:after="12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We calculated HDDS by adding up the number of food groups consumed by each household during the last 24 hours. The value of the scores range from 0 to 12 wherein the lowest value indicates poor dietary diversity (sever food insecurity) and the other way round </w:t>
      </w:r>
      <w:r w:rsidR="00EE5A56">
        <w:rPr>
          <w:rFonts w:ascii="Times New Roman" w:hAnsi="Times New Roman"/>
          <w:color w:val="000000"/>
          <w:sz w:val="24"/>
          <w:szCs w:val="24"/>
        </w:rPr>
        <w:t xml:space="preserve">[10]. </w:t>
      </w:r>
      <w:r w:rsidRPr="00135A78">
        <w:rPr>
          <w:rFonts w:ascii="Times New Roman" w:hAnsi="Times New Roman"/>
          <w:color w:val="000000"/>
          <w:sz w:val="24"/>
          <w:szCs w:val="24"/>
        </w:rPr>
        <w:t xml:space="preserve">There are no accepted standards or </w:t>
      </w:r>
      <w:r w:rsidRPr="00135A78">
        <w:rPr>
          <w:rFonts w:ascii="Times New Roman" w:hAnsi="Times New Roman"/>
          <w:color w:val="000000"/>
          <w:sz w:val="24"/>
          <w:szCs w:val="24"/>
          <w:shd w:val="clear" w:color="auto" w:fill="FFFFFF"/>
        </w:rPr>
        <w:t xml:space="preserve">internationally </w:t>
      </w:r>
      <w:r w:rsidRPr="00135A78">
        <w:rPr>
          <w:rFonts w:ascii="Times New Roman" w:hAnsi="Times New Roman"/>
          <w:color w:val="000000"/>
          <w:sz w:val="24"/>
          <w:szCs w:val="24"/>
        </w:rPr>
        <w:t xml:space="preserve">agreed upon cut off points for HDDS in the literature. It is suggested that cut off points should be defined in the context where they are adopted by taking into consideration local food systems and dietary patterns </w:t>
      </w:r>
      <w:r w:rsidR="00EE5A56">
        <w:rPr>
          <w:rFonts w:ascii="Times New Roman" w:hAnsi="Times New Roman"/>
          <w:color w:val="000000"/>
          <w:sz w:val="24"/>
          <w:szCs w:val="24"/>
        </w:rPr>
        <w:t xml:space="preserve">[14]. </w:t>
      </w:r>
      <w:r w:rsidRPr="00135A78">
        <w:rPr>
          <w:rFonts w:ascii="Times New Roman" w:hAnsi="Times New Roman"/>
          <w:color w:val="000000"/>
          <w:sz w:val="24"/>
          <w:szCs w:val="24"/>
        </w:rPr>
        <w:t xml:space="preserve">For example, </w:t>
      </w:r>
      <w:proofErr w:type="spellStart"/>
      <w:r w:rsidRPr="00135A78">
        <w:rPr>
          <w:rFonts w:ascii="Times New Roman" w:eastAsia="Times New Roman" w:hAnsi="Times New Roman"/>
          <w:color w:val="000000"/>
          <w:sz w:val="24"/>
          <w:szCs w:val="24"/>
        </w:rPr>
        <w:t>Hatløy</w:t>
      </w:r>
      <w:proofErr w:type="spellEnd"/>
      <w:r w:rsidRPr="00135A78">
        <w:rPr>
          <w:rFonts w:ascii="Times New Roman" w:eastAsia="Times New Roman" w:hAnsi="Times New Roman"/>
          <w:color w:val="000000"/>
          <w:sz w:val="24"/>
          <w:szCs w:val="24"/>
        </w:rPr>
        <w:t xml:space="preserve"> </w:t>
      </w:r>
      <w:r w:rsidRPr="00EE5A56">
        <w:rPr>
          <w:rFonts w:ascii="Times New Roman" w:eastAsia="Times New Roman" w:hAnsi="Times New Roman"/>
          <w:color w:val="000000"/>
          <w:sz w:val="24"/>
          <w:szCs w:val="24"/>
        </w:rPr>
        <w:t xml:space="preserve">et al. </w:t>
      </w:r>
      <w:r w:rsidR="00EE5A56">
        <w:rPr>
          <w:rFonts w:ascii="Times New Roman" w:eastAsia="Times New Roman" w:hAnsi="Times New Roman"/>
          <w:color w:val="000000"/>
          <w:sz w:val="24"/>
          <w:szCs w:val="24"/>
        </w:rPr>
        <w:t xml:space="preserve">[13] </w:t>
      </w:r>
      <w:r w:rsidRPr="00135A78">
        <w:rPr>
          <w:rFonts w:ascii="Times New Roman" w:eastAsia="Times New Roman" w:hAnsi="Times New Roman"/>
          <w:color w:val="000000"/>
          <w:sz w:val="24"/>
          <w:szCs w:val="24"/>
        </w:rPr>
        <w:t>used 6 as a threshold to classify households into two categories based on their dietary diversity scores.</w:t>
      </w:r>
      <w:r w:rsidRPr="00135A78">
        <w:rPr>
          <w:rFonts w:ascii="Times New Roman" w:eastAsia="Times New Roman" w:hAnsi="Times New Roman"/>
          <w:color w:val="000000"/>
          <w:sz w:val="24"/>
          <w:szCs w:val="24"/>
          <w:shd w:val="clear" w:color="auto" w:fill="FFFFFF"/>
        </w:rPr>
        <w:t xml:space="preserve"> </w:t>
      </w:r>
      <w:r w:rsidRPr="00135A78">
        <w:rPr>
          <w:rFonts w:ascii="Times New Roman" w:hAnsi="Times New Roman"/>
          <w:color w:val="000000"/>
          <w:sz w:val="24"/>
          <w:szCs w:val="24"/>
        </w:rPr>
        <w:t xml:space="preserve">Faber </w:t>
      </w:r>
      <w:r w:rsidRPr="00EE5A56">
        <w:rPr>
          <w:rFonts w:ascii="Times New Roman" w:hAnsi="Times New Roman"/>
          <w:color w:val="000000"/>
          <w:sz w:val="24"/>
          <w:szCs w:val="24"/>
        </w:rPr>
        <w:t>et al.</w:t>
      </w:r>
      <w:r w:rsidRPr="00135A78">
        <w:rPr>
          <w:rFonts w:ascii="Times New Roman" w:hAnsi="Times New Roman"/>
          <w:color w:val="000000"/>
          <w:sz w:val="24"/>
          <w:szCs w:val="24"/>
        </w:rPr>
        <w:t xml:space="preserve"> </w:t>
      </w:r>
      <w:r w:rsidR="00EE5A56">
        <w:rPr>
          <w:rFonts w:ascii="Times New Roman" w:hAnsi="Times New Roman"/>
          <w:color w:val="000000"/>
          <w:sz w:val="24"/>
          <w:szCs w:val="24"/>
        </w:rPr>
        <w:t xml:space="preserve">[11] </w:t>
      </w:r>
      <w:r w:rsidRPr="00135A78">
        <w:rPr>
          <w:rFonts w:ascii="Times New Roman" w:hAnsi="Times New Roman"/>
          <w:color w:val="000000"/>
          <w:sz w:val="24"/>
          <w:szCs w:val="24"/>
        </w:rPr>
        <w:t xml:space="preserve">used 4 as cut off point and classified households with DDS less than or equal to 4 as low dietary diversity (food insecure) and above 4 as high dietary diversity (food secure). On the other hand, </w:t>
      </w:r>
      <w:proofErr w:type="spellStart"/>
      <w:r w:rsidRPr="00135A78">
        <w:rPr>
          <w:rFonts w:ascii="Times New Roman" w:hAnsi="Times New Roman"/>
          <w:color w:val="000000"/>
          <w:sz w:val="24"/>
          <w:szCs w:val="24"/>
        </w:rPr>
        <w:t>Getachew</w:t>
      </w:r>
      <w:proofErr w:type="spellEnd"/>
      <w:r w:rsidRPr="00135A78">
        <w:rPr>
          <w:rFonts w:ascii="Times New Roman" w:hAnsi="Times New Roman"/>
          <w:color w:val="000000"/>
          <w:sz w:val="24"/>
          <w:szCs w:val="24"/>
        </w:rPr>
        <w:t xml:space="preserve"> </w:t>
      </w:r>
      <w:r w:rsidRPr="00EE5A56">
        <w:rPr>
          <w:rFonts w:ascii="Times New Roman" w:hAnsi="Times New Roman"/>
          <w:color w:val="000000"/>
          <w:sz w:val="24"/>
          <w:szCs w:val="24"/>
        </w:rPr>
        <w:t>et al.</w:t>
      </w:r>
      <w:r w:rsidRPr="00135A78">
        <w:rPr>
          <w:rFonts w:ascii="Times New Roman" w:hAnsi="Times New Roman"/>
          <w:color w:val="000000"/>
          <w:sz w:val="24"/>
          <w:szCs w:val="24"/>
        </w:rPr>
        <w:t xml:space="preserve"> </w:t>
      </w:r>
      <w:r w:rsidR="00EE5A56">
        <w:rPr>
          <w:rFonts w:ascii="Times New Roman" w:hAnsi="Times New Roman"/>
          <w:color w:val="000000"/>
          <w:sz w:val="24"/>
          <w:szCs w:val="24"/>
        </w:rPr>
        <w:t xml:space="preserve">[6] </w:t>
      </w:r>
      <w:r w:rsidRPr="00135A78">
        <w:rPr>
          <w:rFonts w:ascii="Times New Roman" w:hAnsi="Times New Roman"/>
          <w:color w:val="000000"/>
          <w:sz w:val="24"/>
          <w:szCs w:val="24"/>
        </w:rPr>
        <w:t>categorized households into three groups based on the HDDS as follows: HDDS ≤ 5 low dietary diversity (severely food insecure), HDDS 6-7 medium dietary diversity (moderately food insecure), and HDDS ≥ 8 high dietary diversity (food secure). By taking the local context into account, we adopted thresholds recommended by IFPRI (i.e. HDDS &gt; 6 good dietary diversity, HDDS 4.5-6 medium dietary diversity, and HDDS &lt; 4.5 low dietary diversity).</w:t>
      </w:r>
      <w:r w:rsidRPr="00135A78">
        <w:rPr>
          <w:rFonts w:ascii="Times New Roman" w:hAnsi="Times New Roman"/>
          <w:color w:val="000000"/>
          <w:sz w:val="20"/>
          <w:szCs w:val="20"/>
        </w:rPr>
        <w:t xml:space="preserve"> </w:t>
      </w:r>
    </w:p>
    <w:p w:rsidR="00E21D81" w:rsidRPr="00135A78"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bCs/>
          <w:color w:val="000000"/>
          <w:sz w:val="24"/>
          <w:szCs w:val="24"/>
        </w:rPr>
        <w:t>FCS is another indicator that we used to examine the unitization dimension of food security. This indictor mainly captures the</w:t>
      </w:r>
      <w:r w:rsidRPr="00135A78">
        <w:rPr>
          <w:rFonts w:ascii="Times New Roman" w:eastAsia="TimesNewRomanPSMT" w:hAnsi="Times New Roman"/>
          <w:color w:val="000000"/>
          <w:sz w:val="24"/>
          <w:szCs w:val="24"/>
        </w:rPr>
        <w:t xml:space="preserve"> dietary diversity, food frequency, and the relative nutrient quality of various food</w:t>
      </w:r>
      <w:r w:rsidRPr="00135A78">
        <w:rPr>
          <w:rFonts w:ascii="Times New Roman" w:hAnsi="Times New Roman"/>
          <w:bCs/>
          <w:color w:val="000000"/>
          <w:sz w:val="24"/>
          <w:szCs w:val="24"/>
        </w:rPr>
        <w:t xml:space="preserve"> </w:t>
      </w:r>
      <w:r w:rsidRPr="00135A78">
        <w:rPr>
          <w:rFonts w:ascii="Times New Roman" w:eastAsia="TimesNewRomanPSMT" w:hAnsi="Times New Roman"/>
          <w:color w:val="000000"/>
          <w:sz w:val="24"/>
          <w:szCs w:val="24"/>
        </w:rPr>
        <w:t xml:space="preserve">groups </w:t>
      </w:r>
      <w:r w:rsidR="00EE5A56">
        <w:rPr>
          <w:rFonts w:ascii="Times New Roman" w:eastAsia="TimesNewRomanPSMT" w:hAnsi="Times New Roman"/>
          <w:color w:val="000000"/>
          <w:sz w:val="24"/>
          <w:szCs w:val="24"/>
        </w:rPr>
        <w:t xml:space="preserve">[13-14]. </w:t>
      </w:r>
      <w:r w:rsidRPr="00135A78">
        <w:rPr>
          <w:rFonts w:ascii="Times New Roman" w:eastAsia="TimesNewRomanPSMT" w:hAnsi="Times New Roman"/>
          <w:color w:val="000000"/>
          <w:sz w:val="24"/>
          <w:szCs w:val="24"/>
        </w:rPr>
        <w:t xml:space="preserve">It is a composite score describing the frequency of weighted diet diversity through a standard weight </w:t>
      </w:r>
      <w:r>
        <w:rPr>
          <w:rFonts w:ascii="Times New Roman" w:eastAsia="TimesNewRomanPSMT" w:hAnsi="Times New Roman"/>
          <w:color w:val="000000"/>
          <w:sz w:val="24"/>
          <w:szCs w:val="24"/>
        </w:rPr>
        <w:t>for eight food groups (Table E</w:t>
      </w:r>
      <w:r w:rsidRPr="00135A78">
        <w:rPr>
          <w:rFonts w:ascii="Times New Roman" w:eastAsia="TimesNewRomanPSMT" w:hAnsi="Times New Roman"/>
          <w:color w:val="000000"/>
          <w:sz w:val="24"/>
          <w:szCs w:val="24"/>
        </w:rPr>
        <w:t>) which reflects nutr</w:t>
      </w:r>
      <w:r w:rsidR="00C955BF">
        <w:rPr>
          <w:rFonts w:ascii="Times New Roman" w:eastAsia="TimesNewRomanPSMT" w:hAnsi="Times New Roman"/>
          <w:color w:val="000000"/>
          <w:sz w:val="24"/>
          <w:szCs w:val="24"/>
        </w:rPr>
        <w:t>ient density. Based on the work</w:t>
      </w:r>
      <w:r w:rsidRPr="00135A78">
        <w:rPr>
          <w:rFonts w:ascii="Times New Roman" w:eastAsia="TimesNewRomanPSMT" w:hAnsi="Times New Roman"/>
          <w:color w:val="000000"/>
          <w:sz w:val="24"/>
          <w:szCs w:val="24"/>
        </w:rPr>
        <w:t xml:space="preserve"> of </w:t>
      </w:r>
      <w:proofErr w:type="spellStart"/>
      <w:r w:rsidRPr="00135A78">
        <w:rPr>
          <w:rFonts w:ascii="Times New Roman" w:hAnsi="Times New Roman"/>
          <w:color w:val="000000"/>
          <w:sz w:val="24"/>
          <w:szCs w:val="24"/>
        </w:rPr>
        <w:t>Ruel</w:t>
      </w:r>
      <w:proofErr w:type="spellEnd"/>
      <w:r w:rsidRPr="00135A78">
        <w:rPr>
          <w:rFonts w:ascii="Times New Roman" w:hAnsi="Times New Roman"/>
          <w:color w:val="000000"/>
          <w:sz w:val="24"/>
          <w:szCs w:val="24"/>
        </w:rPr>
        <w:t xml:space="preserve"> </w:t>
      </w:r>
      <w:r w:rsidR="00EE5A56">
        <w:rPr>
          <w:rFonts w:ascii="Times New Roman" w:hAnsi="Times New Roman"/>
          <w:color w:val="000000"/>
          <w:sz w:val="24"/>
          <w:szCs w:val="24"/>
        </w:rPr>
        <w:t>[14]</w:t>
      </w:r>
      <w:r w:rsidRPr="00135A78">
        <w:rPr>
          <w:rFonts w:ascii="Times New Roman" w:hAnsi="Times New Roman"/>
          <w:color w:val="000000"/>
          <w:sz w:val="24"/>
          <w:szCs w:val="24"/>
        </w:rPr>
        <w:t xml:space="preserve"> and </w:t>
      </w:r>
      <w:proofErr w:type="spellStart"/>
      <w:r w:rsidRPr="00135A78">
        <w:rPr>
          <w:rFonts w:ascii="Times New Roman" w:hAnsi="Times New Roman"/>
          <w:color w:val="000000"/>
          <w:sz w:val="24"/>
          <w:szCs w:val="24"/>
        </w:rPr>
        <w:t>Hoddinott</w:t>
      </w:r>
      <w:proofErr w:type="spellEnd"/>
      <w:r w:rsidRPr="00135A78">
        <w:rPr>
          <w:rFonts w:ascii="Times New Roman" w:hAnsi="Times New Roman"/>
          <w:color w:val="000000"/>
          <w:sz w:val="24"/>
          <w:szCs w:val="24"/>
        </w:rPr>
        <w:t xml:space="preserve"> &amp; </w:t>
      </w:r>
      <w:proofErr w:type="spellStart"/>
      <w:r w:rsidRPr="00135A78">
        <w:rPr>
          <w:rFonts w:ascii="Times New Roman" w:hAnsi="Times New Roman"/>
          <w:color w:val="000000"/>
          <w:sz w:val="24"/>
          <w:szCs w:val="24"/>
        </w:rPr>
        <w:t>Yohannes</w:t>
      </w:r>
      <w:proofErr w:type="spellEnd"/>
      <w:r w:rsidRPr="00135A78">
        <w:rPr>
          <w:rFonts w:ascii="Times New Roman" w:hAnsi="Times New Roman"/>
          <w:color w:val="000000"/>
          <w:sz w:val="24"/>
          <w:szCs w:val="24"/>
        </w:rPr>
        <w:t xml:space="preserve"> </w:t>
      </w:r>
      <w:r w:rsidR="00C955BF">
        <w:rPr>
          <w:rFonts w:ascii="Times New Roman" w:hAnsi="Times New Roman"/>
          <w:color w:val="000000"/>
          <w:sz w:val="24"/>
          <w:szCs w:val="24"/>
        </w:rPr>
        <w:t>[12</w:t>
      </w:r>
      <w:r w:rsidR="00EE5A56">
        <w:rPr>
          <w:rFonts w:ascii="Times New Roman" w:hAnsi="Times New Roman"/>
          <w:color w:val="000000"/>
          <w:sz w:val="24"/>
          <w:szCs w:val="24"/>
        </w:rPr>
        <w:t xml:space="preserve">], </w:t>
      </w:r>
      <w:r w:rsidRPr="00135A78">
        <w:rPr>
          <w:rFonts w:ascii="Times New Roman" w:hAnsi="Times New Roman"/>
          <w:color w:val="000000"/>
          <w:sz w:val="24"/>
          <w:szCs w:val="24"/>
        </w:rPr>
        <w:t xml:space="preserve">the World Food </w:t>
      </w:r>
      <w:r w:rsidR="00683680">
        <w:rPr>
          <w:rFonts w:ascii="Times New Roman" w:hAnsi="Times New Roman"/>
          <w:color w:val="000000"/>
          <w:sz w:val="24"/>
          <w:szCs w:val="24"/>
        </w:rPr>
        <w:t>Program</w:t>
      </w:r>
      <w:r w:rsidRPr="00135A78">
        <w:rPr>
          <w:rFonts w:ascii="Times New Roman" w:hAnsi="Times New Roman"/>
          <w:color w:val="000000"/>
          <w:sz w:val="24"/>
          <w:szCs w:val="24"/>
        </w:rPr>
        <w:t xml:space="preserve"> </w:t>
      </w:r>
      <w:r w:rsidR="00683680">
        <w:rPr>
          <w:rFonts w:ascii="Times New Roman" w:hAnsi="Times New Roman"/>
          <w:color w:val="000000"/>
          <w:sz w:val="24"/>
          <w:szCs w:val="24"/>
        </w:rPr>
        <w:t xml:space="preserve">[15] </w:t>
      </w:r>
      <w:r w:rsidRPr="00135A78">
        <w:rPr>
          <w:rFonts w:ascii="Times New Roman" w:hAnsi="Times New Roman"/>
          <w:color w:val="000000"/>
          <w:sz w:val="24"/>
          <w:szCs w:val="24"/>
        </w:rPr>
        <w:t xml:space="preserve">has developed FCS as a proxy indicator of food security where data are collected from households on a seven-day recall period of frequency of consumption of numerous food groups. In our case, respondents were asked to indicate the number of days they consumed a particular food item or group in the last seven days (the number of days ranges from 0 to seven). The responses were coded based on the number of days a household consumed a distinctive food item or group. For example, if a household did not consume any food item or group in the last seven days, the response was coded as zero and when consumed all seven days it was coded as 7. </w:t>
      </w:r>
    </w:p>
    <w:p w:rsidR="00E21D81" w:rsidRPr="00135A78" w:rsidRDefault="00E21D81" w:rsidP="00E21D81">
      <w:pPr>
        <w:autoSpaceDE w:val="0"/>
        <w:autoSpaceDN w:val="0"/>
        <w:adjustRightInd w:val="0"/>
        <w:spacing w:after="0" w:line="360" w:lineRule="auto"/>
        <w:jc w:val="both"/>
        <w:rPr>
          <w:rFonts w:ascii="Times New Roman" w:hAnsi="Times New Roman"/>
          <w:color w:val="000000"/>
          <w:sz w:val="24"/>
          <w:szCs w:val="24"/>
        </w:rPr>
      </w:pPr>
      <w:r w:rsidRPr="00135A78">
        <w:rPr>
          <w:rFonts w:ascii="Times New Roman" w:hAnsi="Times New Roman"/>
          <w:color w:val="000000"/>
          <w:sz w:val="24"/>
          <w:szCs w:val="24"/>
        </w:rPr>
        <w:t>We calculated FCS using the frequency of consumption of eight food groups consumed by a household during the seven days before the survey</w:t>
      </w:r>
      <w:r>
        <w:rPr>
          <w:rFonts w:ascii="Times New Roman" w:eastAsia="TimesNewRomanPSMT" w:hAnsi="Times New Roman"/>
          <w:color w:val="000000"/>
          <w:sz w:val="24"/>
          <w:szCs w:val="24"/>
        </w:rPr>
        <w:t xml:space="preserve"> </w:t>
      </w:r>
      <w:r w:rsidRPr="00135A78">
        <w:rPr>
          <w:rFonts w:ascii="Times New Roman" w:hAnsi="Times New Roman"/>
          <w:color w:val="000000"/>
          <w:sz w:val="24"/>
          <w:szCs w:val="24"/>
        </w:rPr>
        <w:t xml:space="preserve">by using the following formula: </w:t>
      </w:r>
    </w:p>
    <w:p w:rsidR="00E21D81" w:rsidRPr="00135A78" w:rsidRDefault="00E21D81" w:rsidP="00E21D81">
      <w:pPr>
        <w:autoSpaceDE w:val="0"/>
        <w:autoSpaceDN w:val="0"/>
        <w:adjustRightInd w:val="0"/>
        <w:spacing w:after="0"/>
        <w:jc w:val="center"/>
        <w:rPr>
          <w:rFonts w:ascii="Times New Roman" w:hAnsi="Times New Roman"/>
          <w:color w:val="000000"/>
          <w:sz w:val="24"/>
          <w:szCs w:val="24"/>
        </w:rPr>
      </w:pPr>
      <w:r w:rsidRPr="00135A78">
        <w:rPr>
          <w:rFonts w:ascii="Times New Roman" w:hAnsi="Times New Roman"/>
          <w:color w:val="000000"/>
          <w:sz w:val="24"/>
          <w:szCs w:val="24"/>
        </w:rPr>
        <w:t>FCS = (</w:t>
      </w:r>
      <w:r w:rsidRPr="00135A78">
        <w:rPr>
          <w:rFonts w:ascii="Times New Roman" w:hAnsi="Times New Roman"/>
          <w:i/>
          <w:color w:val="000000"/>
          <w:sz w:val="24"/>
          <w:szCs w:val="24"/>
        </w:rPr>
        <w:t>a</w:t>
      </w:r>
      <w:r w:rsidRPr="00135A78">
        <w:rPr>
          <w:rFonts w:ascii="Times New Roman" w:hAnsi="Times New Roman"/>
          <w:color w:val="000000"/>
          <w:sz w:val="24"/>
          <w:szCs w:val="24"/>
        </w:rPr>
        <w:t xml:space="preserve"> cereals*</w:t>
      </w:r>
      <w:proofErr w:type="spellStart"/>
      <w:r w:rsidRPr="00135A78">
        <w:rPr>
          <w:rFonts w:ascii="Times New Roman" w:hAnsi="Times New Roman"/>
          <w:i/>
          <w:color w:val="000000"/>
          <w:sz w:val="24"/>
          <w:szCs w:val="24"/>
        </w:rPr>
        <w:t>X</w:t>
      </w:r>
      <w:r w:rsidRPr="00135A78">
        <w:rPr>
          <w:rFonts w:ascii="Times New Roman" w:hAnsi="Times New Roman"/>
          <w:color w:val="000000"/>
          <w:sz w:val="24"/>
          <w:szCs w:val="24"/>
          <w:vertAlign w:val="subscript"/>
        </w:rPr>
        <w:t>cereals</w:t>
      </w:r>
      <w:proofErr w:type="spellEnd"/>
      <w:r w:rsidRPr="00135A78">
        <w:rPr>
          <w:rFonts w:ascii="Times New Roman" w:hAnsi="Times New Roman"/>
          <w:color w:val="000000"/>
          <w:sz w:val="24"/>
          <w:szCs w:val="24"/>
        </w:rPr>
        <w:t>) + (</w:t>
      </w:r>
      <w:r w:rsidRPr="00135A78">
        <w:rPr>
          <w:rFonts w:ascii="Times New Roman" w:hAnsi="Times New Roman"/>
          <w:i/>
          <w:color w:val="000000"/>
          <w:sz w:val="24"/>
          <w:szCs w:val="24"/>
        </w:rPr>
        <w:t>a</w:t>
      </w:r>
      <w:r w:rsidRPr="00135A78">
        <w:rPr>
          <w:rFonts w:ascii="Times New Roman" w:hAnsi="Times New Roman"/>
          <w:color w:val="000000"/>
          <w:sz w:val="24"/>
          <w:szCs w:val="24"/>
        </w:rPr>
        <w:t xml:space="preserve"> pulses*</w:t>
      </w:r>
      <w:proofErr w:type="spellStart"/>
      <w:r w:rsidRPr="00135A78">
        <w:rPr>
          <w:rFonts w:ascii="Times New Roman" w:hAnsi="Times New Roman"/>
          <w:i/>
          <w:color w:val="000000"/>
          <w:sz w:val="24"/>
          <w:szCs w:val="24"/>
        </w:rPr>
        <w:t>X</w:t>
      </w:r>
      <w:r w:rsidRPr="00135A78">
        <w:rPr>
          <w:rFonts w:ascii="Times New Roman" w:hAnsi="Times New Roman"/>
          <w:color w:val="000000"/>
          <w:sz w:val="24"/>
          <w:szCs w:val="24"/>
          <w:vertAlign w:val="subscript"/>
        </w:rPr>
        <w:t>pulses</w:t>
      </w:r>
      <w:proofErr w:type="spellEnd"/>
      <w:r w:rsidRPr="00135A78">
        <w:rPr>
          <w:rFonts w:ascii="Times New Roman" w:hAnsi="Times New Roman"/>
          <w:color w:val="000000"/>
          <w:sz w:val="24"/>
          <w:szCs w:val="24"/>
        </w:rPr>
        <w:t>) + (</w:t>
      </w:r>
      <w:r w:rsidRPr="00135A78">
        <w:rPr>
          <w:rFonts w:ascii="Times New Roman" w:hAnsi="Times New Roman"/>
          <w:i/>
          <w:color w:val="000000"/>
          <w:sz w:val="24"/>
          <w:szCs w:val="24"/>
        </w:rPr>
        <w:t>a</w:t>
      </w:r>
      <w:r w:rsidRPr="00135A78">
        <w:rPr>
          <w:rFonts w:ascii="Times New Roman" w:hAnsi="Times New Roman"/>
          <w:color w:val="000000"/>
          <w:sz w:val="24"/>
          <w:szCs w:val="24"/>
        </w:rPr>
        <w:t xml:space="preserve"> vegetables*</w:t>
      </w:r>
      <w:proofErr w:type="spellStart"/>
      <w:r w:rsidRPr="00135A78">
        <w:rPr>
          <w:rFonts w:ascii="Times New Roman" w:hAnsi="Times New Roman"/>
          <w:i/>
          <w:color w:val="000000"/>
          <w:sz w:val="24"/>
          <w:szCs w:val="24"/>
        </w:rPr>
        <w:t>X</w:t>
      </w:r>
      <w:r w:rsidRPr="00135A78">
        <w:rPr>
          <w:rFonts w:ascii="Times New Roman" w:hAnsi="Times New Roman"/>
          <w:color w:val="000000"/>
          <w:sz w:val="24"/>
          <w:szCs w:val="24"/>
          <w:vertAlign w:val="subscript"/>
        </w:rPr>
        <w:t>vegetables</w:t>
      </w:r>
      <w:proofErr w:type="spellEnd"/>
      <w:r w:rsidRPr="00135A78">
        <w:rPr>
          <w:rFonts w:ascii="Times New Roman" w:hAnsi="Times New Roman"/>
          <w:color w:val="000000"/>
          <w:sz w:val="24"/>
          <w:szCs w:val="24"/>
        </w:rPr>
        <w:t>)</w:t>
      </w:r>
      <w:r w:rsidRPr="00135A78">
        <w:rPr>
          <w:rFonts w:ascii="Times New Roman" w:hAnsi="Times New Roman"/>
          <w:color w:val="000000"/>
          <w:sz w:val="24"/>
          <w:szCs w:val="24"/>
          <w:vertAlign w:val="subscript"/>
        </w:rPr>
        <w:t xml:space="preserve"> </w:t>
      </w:r>
      <w:r w:rsidRPr="00135A78">
        <w:rPr>
          <w:rFonts w:ascii="Times New Roman" w:hAnsi="Times New Roman"/>
          <w:color w:val="000000"/>
          <w:sz w:val="24"/>
          <w:szCs w:val="24"/>
        </w:rPr>
        <w:t>+ (</w:t>
      </w:r>
      <w:r w:rsidRPr="00135A78">
        <w:rPr>
          <w:rFonts w:ascii="Times New Roman" w:hAnsi="Times New Roman"/>
          <w:i/>
          <w:color w:val="000000"/>
          <w:sz w:val="24"/>
          <w:szCs w:val="24"/>
        </w:rPr>
        <w:t>a</w:t>
      </w:r>
      <w:r w:rsidRPr="00135A78">
        <w:rPr>
          <w:rFonts w:ascii="Times New Roman" w:hAnsi="Times New Roman"/>
          <w:color w:val="000000"/>
          <w:sz w:val="24"/>
          <w:szCs w:val="24"/>
        </w:rPr>
        <w:t xml:space="preserve"> fruits*</w:t>
      </w:r>
      <w:proofErr w:type="spellStart"/>
      <w:r w:rsidRPr="00135A78">
        <w:rPr>
          <w:rFonts w:ascii="Times New Roman" w:hAnsi="Times New Roman"/>
          <w:i/>
          <w:color w:val="000000"/>
          <w:sz w:val="24"/>
          <w:szCs w:val="24"/>
        </w:rPr>
        <w:t>X</w:t>
      </w:r>
      <w:r w:rsidRPr="00135A78">
        <w:rPr>
          <w:rFonts w:ascii="Times New Roman" w:hAnsi="Times New Roman"/>
          <w:color w:val="000000"/>
          <w:sz w:val="24"/>
          <w:szCs w:val="24"/>
          <w:vertAlign w:val="subscript"/>
        </w:rPr>
        <w:t>fruits</w:t>
      </w:r>
      <w:proofErr w:type="spellEnd"/>
      <w:r w:rsidRPr="00135A78">
        <w:rPr>
          <w:rFonts w:ascii="Times New Roman" w:hAnsi="Times New Roman"/>
          <w:color w:val="000000"/>
          <w:sz w:val="24"/>
          <w:szCs w:val="24"/>
        </w:rPr>
        <w:t>) + (</w:t>
      </w:r>
      <w:proofErr w:type="spellStart"/>
      <w:r w:rsidRPr="00135A78">
        <w:rPr>
          <w:rFonts w:ascii="Times New Roman" w:hAnsi="Times New Roman"/>
          <w:i/>
          <w:color w:val="000000"/>
          <w:sz w:val="24"/>
          <w:szCs w:val="24"/>
        </w:rPr>
        <w:t>a</w:t>
      </w:r>
      <w:proofErr w:type="spellEnd"/>
      <w:r w:rsidRPr="00135A78">
        <w:rPr>
          <w:rFonts w:ascii="Times New Roman" w:hAnsi="Times New Roman"/>
          <w:i/>
          <w:color w:val="000000"/>
          <w:sz w:val="24"/>
          <w:szCs w:val="24"/>
        </w:rPr>
        <w:t xml:space="preserve"> </w:t>
      </w:r>
      <w:r w:rsidRPr="00135A78">
        <w:rPr>
          <w:rFonts w:ascii="Times New Roman" w:hAnsi="Times New Roman"/>
          <w:color w:val="000000"/>
          <w:sz w:val="24"/>
          <w:szCs w:val="24"/>
        </w:rPr>
        <w:t>animal*</w:t>
      </w:r>
      <w:proofErr w:type="spellStart"/>
      <w:r w:rsidRPr="00135A78">
        <w:rPr>
          <w:rFonts w:ascii="Times New Roman" w:hAnsi="Times New Roman"/>
          <w:i/>
          <w:color w:val="000000"/>
          <w:sz w:val="24"/>
          <w:szCs w:val="24"/>
        </w:rPr>
        <w:t>X</w:t>
      </w:r>
      <w:r w:rsidRPr="00135A78">
        <w:rPr>
          <w:rFonts w:ascii="Times New Roman" w:hAnsi="Times New Roman"/>
          <w:color w:val="000000"/>
          <w:sz w:val="24"/>
          <w:szCs w:val="24"/>
          <w:vertAlign w:val="subscript"/>
        </w:rPr>
        <w:t>animal</w:t>
      </w:r>
      <w:proofErr w:type="spellEnd"/>
      <w:r w:rsidRPr="00135A78">
        <w:rPr>
          <w:rFonts w:ascii="Times New Roman" w:hAnsi="Times New Roman"/>
          <w:color w:val="000000"/>
          <w:sz w:val="24"/>
          <w:szCs w:val="24"/>
        </w:rPr>
        <w:t>) + (</w:t>
      </w:r>
      <w:r w:rsidRPr="00135A78">
        <w:rPr>
          <w:rFonts w:ascii="Times New Roman" w:hAnsi="Times New Roman"/>
          <w:i/>
          <w:color w:val="000000"/>
          <w:sz w:val="24"/>
          <w:szCs w:val="24"/>
        </w:rPr>
        <w:t>a</w:t>
      </w:r>
      <w:r w:rsidRPr="00135A78">
        <w:rPr>
          <w:rFonts w:ascii="Times New Roman" w:hAnsi="Times New Roman"/>
          <w:color w:val="000000"/>
          <w:sz w:val="24"/>
          <w:szCs w:val="24"/>
        </w:rPr>
        <w:t xml:space="preserve"> milk*</w:t>
      </w:r>
      <w:proofErr w:type="spellStart"/>
      <w:r w:rsidRPr="00135A78">
        <w:rPr>
          <w:rFonts w:ascii="Times New Roman" w:hAnsi="Times New Roman"/>
          <w:i/>
          <w:color w:val="000000"/>
          <w:sz w:val="24"/>
          <w:szCs w:val="24"/>
        </w:rPr>
        <w:t>X</w:t>
      </w:r>
      <w:r w:rsidRPr="00135A78">
        <w:rPr>
          <w:rFonts w:ascii="Times New Roman" w:hAnsi="Times New Roman"/>
          <w:color w:val="000000"/>
          <w:sz w:val="24"/>
          <w:szCs w:val="24"/>
          <w:vertAlign w:val="subscript"/>
        </w:rPr>
        <w:t>milk</w:t>
      </w:r>
      <w:proofErr w:type="spellEnd"/>
      <w:r w:rsidRPr="00135A78">
        <w:rPr>
          <w:rFonts w:ascii="Times New Roman" w:hAnsi="Times New Roman"/>
          <w:color w:val="000000"/>
          <w:sz w:val="24"/>
          <w:szCs w:val="24"/>
        </w:rPr>
        <w:t>) + (</w:t>
      </w:r>
      <w:r w:rsidRPr="00135A78">
        <w:rPr>
          <w:rFonts w:ascii="Times New Roman" w:hAnsi="Times New Roman"/>
          <w:i/>
          <w:color w:val="000000"/>
          <w:sz w:val="24"/>
          <w:szCs w:val="24"/>
        </w:rPr>
        <w:t>a</w:t>
      </w:r>
      <w:r w:rsidRPr="00135A78">
        <w:rPr>
          <w:rFonts w:ascii="Times New Roman" w:hAnsi="Times New Roman"/>
          <w:color w:val="000000"/>
          <w:sz w:val="24"/>
          <w:szCs w:val="24"/>
        </w:rPr>
        <w:t xml:space="preserve"> sugar*</w:t>
      </w:r>
      <w:proofErr w:type="spellStart"/>
      <w:r w:rsidRPr="00135A78">
        <w:rPr>
          <w:rFonts w:ascii="Times New Roman" w:hAnsi="Times New Roman"/>
          <w:i/>
          <w:color w:val="000000"/>
          <w:sz w:val="24"/>
          <w:szCs w:val="24"/>
        </w:rPr>
        <w:t>X</w:t>
      </w:r>
      <w:r w:rsidRPr="00135A78">
        <w:rPr>
          <w:rFonts w:ascii="Times New Roman" w:hAnsi="Times New Roman"/>
          <w:color w:val="000000"/>
          <w:sz w:val="24"/>
          <w:szCs w:val="24"/>
          <w:vertAlign w:val="subscript"/>
        </w:rPr>
        <w:t>sugar</w:t>
      </w:r>
      <w:proofErr w:type="spellEnd"/>
      <w:r w:rsidRPr="00135A78">
        <w:rPr>
          <w:rFonts w:ascii="Times New Roman" w:hAnsi="Times New Roman"/>
          <w:color w:val="000000"/>
          <w:sz w:val="24"/>
          <w:szCs w:val="24"/>
        </w:rPr>
        <w:t>) + (</w:t>
      </w:r>
      <w:proofErr w:type="spellStart"/>
      <w:r w:rsidRPr="00135A78">
        <w:rPr>
          <w:rFonts w:ascii="Times New Roman" w:hAnsi="Times New Roman"/>
          <w:i/>
          <w:color w:val="000000"/>
          <w:sz w:val="24"/>
          <w:szCs w:val="24"/>
        </w:rPr>
        <w:t>a</w:t>
      </w:r>
      <w:proofErr w:type="spellEnd"/>
      <w:r w:rsidRPr="00135A78">
        <w:rPr>
          <w:rFonts w:ascii="Times New Roman" w:hAnsi="Times New Roman"/>
          <w:color w:val="000000"/>
          <w:sz w:val="24"/>
          <w:szCs w:val="24"/>
        </w:rPr>
        <w:t xml:space="preserve"> oil*</w:t>
      </w:r>
      <w:proofErr w:type="spellStart"/>
      <w:r w:rsidRPr="00135A78">
        <w:rPr>
          <w:rFonts w:ascii="Times New Roman" w:hAnsi="Times New Roman"/>
          <w:i/>
          <w:color w:val="000000"/>
          <w:sz w:val="24"/>
          <w:szCs w:val="24"/>
        </w:rPr>
        <w:t>X</w:t>
      </w:r>
      <w:r w:rsidRPr="00135A78">
        <w:rPr>
          <w:rFonts w:ascii="Times New Roman" w:hAnsi="Times New Roman"/>
          <w:color w:val="000000"/>
          <w:sz w:val="24"/>
          <w:szCs w:val="24"/>
          <w:vertAlign w:val="subscript"/>
        </w:rPr>
        <w:t>oil</w:t>
      </w:r>
      <w:proofErr w:type="spellEnd"/>
      <w:r w:rsidRPr="00135A78">
        <w:rPr>
          <w:rFonts w:ascii="Times New Roman" w:hAnsi="Times New Roman"/>
          <w:color w:val="000000"/>
          <w:sz w:val="24"/>
          <w:szCs w:val="24"/>
        </w:rPr>
        <w:t>)</w:t>
      </w:r>
    </w:p>
    <w:p w:rsidR="00E21D81" w:rsidRPr="005C70EC" w:rsidRDefault="00E21D81" w:rsidP="00E21D81">
      <w:pPr>
        <w:spacing w:after="0"/>
        <w:rPr>
          <w:color w:val="000000"/>
        </w:rPr>
      </w:pPr>
      <m:oMathPara>
        <m:oMath>
          <m:r>
            <w:rPr>
              <w:rFonts w:ascii="Cambria Math" w:eastAsia="Cambria Math" w:hAnsi="Times New Roman"/>
              <w:sz w:val="24"/>
              <w:szCs w:val="24"/>
            </w:rPr>
            <m:t xml:space="preserve">                                              = </m:t>
          </m:r>
          <m:nary>
            <m:naryPr>
              <m:chr m:val="∑"/>
              <m:grow m:val="1"/>
              <m:ctrlPr>
                <w:rPr>
                  <w:rFonts w:ascii="Cambria Math" w:hAnsi="Times New Roman"/>
                  <w:sz w:val="24"/>
                  <w:szCs w:val="24"/>
                </w:rPr>
              </m:ctrlPr>
            </m:naryPr>
            <m:sub>
              <m:r>
                <w:rPr>
                  <w:rFonts w:ascii="Cambria Math" w:eastAsia="Cambria Math" w:hAnsi="Cambria Math"/>
                  <w:sz w:val="24"/>
                  <w:szCs w:val="24"/>
                </w:rPr>
                <m:t>i</m:t>
              </m:r>
              <m:r>
                <w:rPr>
                  <w:rFonts w:ascii="Cambria Math" w:eastAsia="Cambria Math" w:hAnsi="Times New Roman"/>
                  <w:sz w:val="24"/>
                  <w:szCs w:val="24"/>
                </w:rPr>
                <m:t>=1</m:t>
              </m:r>
            </m:sub>
            <m:sup>
              <m:r>
                <w:rPr>
                  <w:rFonts w:ascii="Cambria Math" w:eastAsia="Cambria Math" w:hAnsi="Times New Roman"/>
                  <w:sz w:val="24"/>
                  <w:szCs w:val="24"/>
                </w:rPr>
                <m:t xml:space="preserve"> </m:t>
              </m:r>
              <m:r>
                <w:rPr>
                  <w:rFonts w:ascii="Cambria Math" w:eastAsia="Cambria Math" w:hAnsi="Cambria Math"/>
                  <w:sz w:val="24"/>
                  <w:szCs w:val="24"/>
                </w:rPr>
                <m:t>m</m:t>
              </m:r>
            </m:sup>
            <m:e>
              <m:sSub>
                <m:sSubPr>
                  <m:ctrlPr>
                    <w:rPr>
                      <w:rFonts w:ascii="Cambria Math" w:hAnsi="Times New Roman"/>
                      <w:sz w:val="24"/>
                      <w:szCs w:val="24"/>
                    </w:rPr>
                  </m:ctrlPr>
                </m:sSubPr>
                <m:e>
                  <m:r>
                    <m:rPr>
                      <m:sty m:val="p"/>
                    </m:rPr>
                    <w:rPr>
                      <w:rFonts w:ascii="Cambria Math" w:hAnsi="Times New Roman"/>
                      <w:sz w:val="24"/>
                      <w:szCs w:val="24"/>
                    </w:rPr>
                    <m:t>a</m:t>
                  </m:r>
                </m:e>
                <m:sub>
                  <m:r>
                    <m:rPr>
                      <m:sty m:val="p"/>
                    </m:rPr>
                    <w:rPr>
                      <w:rFonts w:ascii="Cambria Math" w:hAnsi="Times New Roman"/>
                      <w:sz w:val="24"/>
                      <w:szCs w:val="24"/>
                    </w:rPr>
                    <m:t>i</m:t>
                  </m:r>
                </m:sub>
              </m:sSub>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 xml:space="preserve">i </m:t>
                  </m:r>
                </m:sub>
              </m:sSub>
            </m:e>
          </m:nary>
          <m:r>
            <m:rPr>
              <m:sty m:val="p"/>
            </m:rPr>
            <w:rPr>
              <w:rFonts w:ascii="Cambria Math" w:hAnsi="Times New Roman"/>
              <w:sz w:val="24"/>
              <w:szCs w:val="24"/>
            </w:rPr>
            <m:t xml:space="preserve">                                                                               </m:t>
          </m:r>
        </m:oMath>
      </m:oMathPara>
    </w:p>
    <w:p w:rsidR="00E21D81" w:rsidRDefault="00E21D81" w:rsidP="00E21D81">
      <w:pPr>
        <w:autoSpaceDE w:val="0"/>
        <w:autoSpaceDN w:val="0"/>
        <w:adjustRightInd w:val="0"/>
        <w:spacing w:after="60" w:line="360" w:lineRule="auto"/>
        <w:jc w:val="both"/>
        <w:rPr>
          <w:rFonts w:ascii="Times New Roman" w:hAnsi="Times New Roman"/>
          <w:color w:val="000000"/>
          <w:sz w:val="24"/>
          <w:szCs w:val="24"/>
        </w:rPr>
      </w:pPr>
      <w:proofErr w:type="gramStart"/>
      <w:r w:rsidRPr="00135A78">
        <w:rPr>
          <w:rFonts w:ascii="Times New Roman" w:hAnsi="Times New Roman"/>
          <w:color w:val="000000"/>
          <w:sz w:val="24"/>
          <w:szCs w:val="24"/>
        </w:rPr>
        <w:t>where</w:t>
      </w:r>
      <w:proofErr w:type="gramEnd"/>
      <w:r w:rsidRPr="00135A78">
        <w:rPr>
          <w:rFonts w:ascii="Times New Roman" w:hAnsi="Times New Roman"/>
          <w:color w:val="000000"/>
          <w:sz w:val="24"/>
          <w:szCs w:val="24"/>
        </w:rPr>
        <w:t xml:space="preserve"> </w:t>
      </w:r>
      <w:proofErr w:type="spellStart"/>
      <w:r w:rsidRPr="00135A78">
        <w:rPr>
          <w:rFonts w:ascii="Times New Roman" w:hAnsi="Times New Roman"/>
          <w:i/>
          <w:color w:val="000000"/>
          <w:sz w:val="24"/>
          <w:szCs w:val="24"/>
        </w:rPr>
        <w:t>a</w:t>
      </w:r>
      <w:r w:rsidRPr="00135A78">
        <w:rPr>
          <w:rFonts w:ascii="Times New Roman" w:hAnsi="Times New Roman"/>
          <w:i/>
          <w:color w:val="000000"/>
          <w:sz w:val="24"/>
          <w:szCs w:val="24"/>
          <w:vertAlign w:val="subscript"/>
        </w:rPr>
        <w:t>i</w:t>
      </w:r>
      <w:proofErr w:type="spellEnd"/>
      <w:r w:rsidRPr="00135A78">
        <w:rPr>
          <w:rFonts w:ascii="Times New Roman" w:hAnsi="Times New Roman"/>
          <w:color w:val="000000"/>
          <w:sz w:val="24"/>
          <w:szCs w:val="24"/>
          <w:vertAlign w:val="subscript"/>
        </w:rPr>
        <w:t xml:space="preserve">  </w:t>
      </w:r>
      <w:r w:rsidRPr="00135A78">
        <w:rPr>
          <w:rFonts w:ascii="Times New Roman" w:hAnsi="Times New Roman"/>
          <w:color w:val="000000"/>
          <w:sz w:val="24"/>
          <w:szCs w:val="24"/>
        </w:rPr>
        <w:t xml:space="preserve">is a relative nutritional weight of food group, </w:t>
      </w:r>
      <w:r w:rsidRPr="00135A78">
        <w:rPr>
          <w:rFonts w:ascii="Times New Roman" w:hAnsi="Times New Roman"/>
          <w:i/>
          <w:color w:val="000000"/>
          <w:sz w:val="24"/>
          <w:szCs w:val="24"/>
        </w:rPr>
        <w:t>X</w:t>
      </w:r>
      <w:r w:rsidRPr="00135A78">
        <w:rPr>
          <w:rFonts w:ascii="Times New Roman" w:hAnsi="Times New Roman"/>
          <w:i/>
          <w:color w:val="000000"/>
          <w:sz w:val="24"/>
          <w:szCs w:val="24"/>
          <w:vertAlign w:val="subscript"/>
        </w:rPr>
        <w:t>i</w:t>
      </w:r>
      <w:r w:rsidRPr="00135A78">
        <w:rPr>
          <w:rFonts w:ascii="Times New Roman" w:hAnsi="Times New Roman"/>
          <w:color w:val="000000"/>
          <w:sz w:val="24"/>
          <w:szCs w:val="24"/>
          <w:vertAlign w:val="subscript"/>
        </w:rPr>
        <w:t xml:space="preserve"> </w:t>
      </w:r>
      <w:r w:rsidRPr="00135A78">
        <w:rPr>
          <w:rFonts w:ascii="Times New Roman" w:hAnsi="Times New Roman"/>
          <w:color w:val="000000"/>
          <w:sz w:val="24"/>
          <w:szCs w:val="24"/>
        </w:rPr>
        <w:t xml:space="preserve">is the number of days of consumption (frequency) for each food group (&lt;= seven days), and </w:t>
      </w:r>
      <w:r w:rsidRPr="00135A78">
        <w:rPr>
          <w:rFonts w:ascii="Times New Roman" w:hAnsi="Times New Roman"/>
          <w:i/>
          <w:color w:val="000000"/>
          <w:sz w:val="24"/>
          <w:szCs w:val="24"/>
        </w:rPr>
        <w:t>m</w:t>
      </w:r>
      <w:r w:rsidRPr="00135A78">
        <w:rPr>
          <w:rFonts w:ascii="Times New Roman" w:hAnsi="Times New Roman"/>
          <w:color w:val="000000"/>
          <w:sz w:val="24"/>
          <w:szCs w:val="24"/>
        </w:rPr>
        <w:t xml:space="preserve"> is the number of food groups. We dropped condiments food group from our calculation due to its zero nutritional value. The weighted score of FCS has a range of 0 to 112, the maximum value (112) indicating that </w:t>
      </w:r>
      <w:r w:rsidRPr="00135A78">
        <w:rPr>
          <w:rFonts w:ascii="Times New Roman" w:hAnsi="Times New Roman"/>
          <w:bCs/>
          <w:color w:val="000000"/>
          <w:sz w:val="24"/>
          <w:szCs w:val="24"/>
        </w:rPr>
        <w:t>all food groups are consumed by a household every single day a week and vice versa</w:t>
      </w:r>
      <w:r>
        <w:rPr>
          <w:rFonts w:ascii="Times New Roman" w:hAnsi="Times New Roman"/>
          <w:bCs/>
          <w:color w:val="000000"/>
          <w:sz w:val="24"/>
          <w:szCs w:val="24"/>
        </w:rPr>
        <w:t xml:space="preserve">. </w:t>
      </w:r>
      <w:r w:rsidRPr="00135A78">
        <w:rPr>
          <w:rFonts w:ascii="Times New Roman" w:hAnsi="Times New Roman"/>
          <w:color w:val="000000"/>
          <w:sz w:val="24"/>
          <w:szCs w:val="24"/>
        </w:rPr>
        <w:t xml:space="preserve">Once we obtained FCS, standard thresholds of 21 and 35 proposed by </w:t>
      </w:r>
      <w:r w:rsidR="00EE5A56">
        <w:rPr>
          <w:rFonts w:ascii="Times New Roman" w:hAnsi="Times New Roman"/>
          <w:color w:val="000000"/>
          <w:sz w:val="24"/>
          <w:szCs w:val="24"/>
        </w:rPr>
        <w:t xml:space="preserve">World Food Program </w:t>
      </w:r>
      <w:r w:rsidR="00683680">
        <w:rPr>
          <w:rFonts w:ascii="Times New Roman" w:hAnsi="Times New Roman"/>
          <w:color w:val="000000"/>
          <w:sz w:val="24"/>
          <w:szCs w:val="24"/>
        </w:rPr>
        <w:t>[15</w:t>
      </w:r>
      <w:r w:rsidR="00EE5A56">
        <w:rPr>
          <w:rFonts w:ascii="Times New Roman" w:hAnsi="Times New Roman"/>
          <w:color w:val="000000"/>
          <w:sz w:val="24"/>
          <w:szCs w:val="24"/>
        </w:rPr>
        <w:t xml:space="preserve">] </w:t>
      </w:r>
      <w:r w:rsidRPr="00135A78">
        <w:rPr>
          <w:rFonts w:ascii="Times New Roman" w:hAnsi="Times New Roman"/>
          <w:color w:val="000000"/>
          <w:sz w:val="24"/>
          <w:szCs w:val="24"/>
        </w:rPr>
        <w:t xml:space="preserve">were used to define the three food consumption groups. We recoded FCS variable to a categorical one to identify and understand the status and prevalence (the </w:t>
      </w:r>
      <w:r w:rsidRPr="00135A78">
        <w:rPr>
          <w:rFonts w:ascii="Times New Roman" w:hAnsi="Times New Roman"/>
          <w:bCs/>
          <w:color w:val="000000"/>
          <w:sz w:val="24"/>
          <w:szCs w:val="24"/>
        </w:rPr>
        <w:t>percentage of food secure and food insecure households). And so, h</w:t>
      </w:r>
      <w:r w:rsidRPr="00135A78">
        <w:rPr>
          <w:rFonts w:ascii="Times New Roman" w:hAnsi="Times New Roman"/>
          <w:color w:val="000000"/>
          <w:sz w:val="24"/>
          <w:szCs w:val="24"/>
        </w:rPr>
        <w:t xml:space="preserve">ouseholds’ with FCS ≤ 21 were classified as having poor food consumption (severely food insecure), those households whose FCS falls between 21.5 and 35 were categorized as having borderline consumption or vulnerable group (moderately food insecure), and households with FCS &gt;35 were classified as having acceptable consumption (food secure). </w:t>
      </w:r>
    </w:p>
    <w:p w:rsidR="00E21D81" w:rsidRPr="00A85BF5" w:rsidRDefault="00E21D81" w:rsidP="00E21D81">
      <w:pPr>
        <w:pStyle w:val="Heading1"/>
        <w:spacing w:before="0"/>
        <w:rPr>
          <w:rFonts w:ascii="Times New Roman" w:hAnsi="Times New Roman"/>
          <w:color w:val="000000"/>
          <w:sz w:val="24"/>
          <w:szCs w:val="24"/>
        </w:rPr>
      </w:pPr>
      <w:bookmarkStart w:id="18" w:name="_Toc255170203"/>
      <w:bookmarkStart w:id="19" w:name="_Toc255174879"/>
      <w:bookmarkStart w:id="20" w:name="_Toc255181230"/>
      <w:r>
        <w:rPr>
          <w:rFonts w:ascii="Times New Roman" w:hAnsi="Times New Roman"/>
          <w:b w:val="0"/>
          <w:color w:val="000000"/>
          <w:sz w:val="24"/>
          <w:szCs w:val="24"/>
        </w:rPr>
        <w:t>Table</w:t>
      </w:r>
      <w:r w:rsidR="008A7673">
        <w:rPr>
          <w:rFonts w:ascii="Times New Roman" w:hAnsi="Times New Roman"/>
          <w:b w:val="0"/>
          <w:color w:val="000000"/>
          <w:sz w:val="24"/>
          <w:szCs w:val="24"/>
        </w:rPr>
        <w:t xml:space="preserve"> S5</w:t>
      </w:r>
      <w:r w:rsidRPr="00A85BF5">
        <w:rPr>
          <w:rFonts w:ascii="Times New Roman" w:hAnsi="Times New Roman"/>
          <w:b w:val="0"/>
          <w:color w:val="000000"/>
          <w:sz w:val="24"/>
          <w:szCs w:val="24"/>
        </w:rPr>
        <w:t>:</w:t>
      </w:r>
      <w:r w:rsidRPr="00A85BF5">
        <w:rPr>
          <w:rFonts w:ascii="Times New Roman" w:hAnsi="Times New Roman"/>
          <w:color w:val="000000"/>
          <w:sz w:val="24"/>
          <w:szCs w:val="24"/>
        </w:rPr>
        <w:t xml:space="preserve"> </w:t>
      </w:r>
      <w:r w:rsidRPr="00A85BF5">
        <w:rPr>
          <w:rFonts w:ascii="Times New Roman" w:hAnsi="Times New Roman"/>
          <w:b w:val="0"/>
          <w:color w:val="000000"/>
          <w:sz w:val="24"/>
          <w:szCs w:val="24"/>
        </w:rPr>
        <w:t>Food groups and their weight in the FCS Approach</w:t>
      </w:r>
      <w:bookmarkEnd w:id="18"/>
      <w:bookmarkEnd w:id="19"/>
      <w:r w:rsidRPr="00A85BF5">
        <w:rPr>
          <w:rFonts w:ascii="Times New Roman" w:hAnsi="Times New Roman"/>
          <w:color w:val="000000"/>
          <w:sz w:val="24"/>
          <w:szCs w:val="24"/>
        </w:rPr>
        <w:t>.</w:t>
      </w:r>
      <w:bookmarkEnd w:id="20"/>
      <w:r w:rsidRPr="00A85BF5">
        <w:rPr>
          <w:rFonts w:ascii="Times New Roman" w:hAnsi="Times New Roman"/>
          <w:color w:val="000000"/>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170"/>
        <w:gridCol w:w="1080"/>
        <w:gridCol w:w="4140"/>
      </w:tblGrid>
      <w:tr w:rsidR="00E21D81" w:rsidRPr="00135A78" w:rsidTr="00032B09">
        <w:trPr>
          <w:trHeight w:val="530"/>
        </w:trPr>
        <w:tc>
          <w:tcPr>
            <w:tcW w:w="29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Food Items</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Food Groups (definitive)</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Weight (definitive)</w:t>
            </w:r>
          </w:p>
        </w:tc>
        <w:tc>
          <w:tcPr>
            <w:tcW w:w="414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p>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 xml:space="preserve">Justification </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Maize, maize porridge, rice, sorghum, millet pasta, bread, and other cereals</w:t>
            </w:r>
          </w:p>
        </w:tc>
        <w:tc>
          <w:tcPr>
            <w:tcW w:w="1170" w:type="dxa"/>
            <w:vMerge w:val="restart"/>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Main staples (cereals and tubers)</w:t>
            </w:r>
          </w:p>
        </w:tc>
        <w:tc>
          <w:tcPr>
            <w:tcW w:w="1080" w:type="dxa"/>
            <w:vMerge w:val="restart"/>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p>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2</w:t>
            </w:r>
          </w:p>
        </w:tc>
        <w:tc>
          <w:tcPr>
            <w:tcW w:w="4140" w:type="dxa"/>
            <w:vMerge w:val="restart"/>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 xml:space="preserve">Energy dense, protein content lower and poorer quality than legumes, micronutrients (bound by </w:t>
            </w:r>
            <w:proofErr w:type="spellStart"/>
            <w:r w:rsidRPr="00135A78">
              <w:rPr>
                <w:rFonts w:ascii="Times New Roman" w:hAnsi="Times New Roman"/>
                <w:color w:val="000000"/>
                <w:sz w:val="18"/>
                <w:szCs w:val="18"/>
              </w:rPr>
              <w:t>phytates</w:t>
            </w:r>
            <w:proofErr w:type="spellEnd"/>
            <w:r w:rsidRPr="00135A78">
              <w:rPr>
                <w:rFonts w:ascii="Times New Roman" w:hAnsi="Times New Roman"/>
                <w:color w:val="000000"/>
                <w:sz w:val="18"/>
                <w:szCs w:val="18"/>
              </w:rPr>
              <w:t>)</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Cassava, potatoes, and sweet potatoes</w:t>
            </w:r>
          </w:p>
        </w:tc>
        <w:tc>
          <w:tcPr>
            <w:tcW w:w="1170" w:type="dxa"/>
            <w:vMerge/>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p>
        </w:tc>
        <w:tc>
          <w:tcPr>
            <w:tcW w:w="1080" w:type="dxa"/>
            <w:vMerge/>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p>
        </w:tc>
        <w:tc>
          <w:tcPr>
            <w:tcW w:w="4140" w:type="dxa"/>
            <w:vMerge/>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Beans, peas, groundnuts, and cashew nuts</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Pulses</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3</w:t>
            </w:r>
          </w:p>
        </w:tc>
        <w:tc>
          <w:tcPr>
            <w:tcW w:w="4140" w:type="dxa"/>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 xml:space="preserve">Energy dense, high amount of protein but of lower quality than meat, micronutrients (inhibited by </w:t>
            </w:r>
            <w:proofErr w:type="spellStart"/>
            <w:r w:rsidRPr="00135A78">
              <w:rPr>
                <w:rFonts w:ascii="Times New Roman" w:hAnsi="Times New Roman"/>
                <w:color w:val="000000"/>
                <w:sz w:val="18"/>
                <w:szCs w:val="18"/>
              </w:rPr>
              <w:t>phytates</w:t>
            </w:r>
            <w:proofErr w:type="spellEnd"/>
            <w:r w:rsidRPr="00135A78">
              <w:rPr>
                <w:rFonts w:ascii="Times New Roman" w:hAnsi="Times New Roman"/>
                <w:color w:val="000000"/>
                <w:sz w:val="18"/>
                <w:szCs w:val="18"/>
              </w:rPr>
              <w:t xml:space="preserve">), low fat </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Vegetables and leaves</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Vegetables</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1</w:t>
            </w:r>
          </w:p>
        </w:tc>
        <w:tc>
          <w:tcPr>
            <w:tcW w:w="4140" w:type="dxa"/>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 xml:space="preserve">Low energy, low protein, no fat, micronutrients </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 xml:space="preserve">Fruits </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Fruits</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1</w:t>
            </w:r>
          </w:p>
        </w:tc>
        <w:tc>
          <w:tcPr>
            <w:tcW w:w="4140" w:type="dxa"/>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 xml:space="preserve">Low energy, low protein, no fat, micro nutrients </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p>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Beef, goat, poultry, pork, eggs, and fish</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Animals (meat and fish)</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4</w:t>
            </w:r>
          </w:p>
        </w:tc>
        <w:tc>
          <w:tcPr>
            <w:tcW w:w="4140" w:type="dxa"/>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 xml:space="preserve">Highest quality protein, easily absorbable micronutrients (no </w:t>
            </w:r>
            <w:proofErr w:type="spellStart"/>
            <w:r w:rsidRPr="00135A78">
              <w:rPr>
                <w:rFonts w:ascii="Times New Roman" w:hAnsi="Times New Roman"/>
                <w:color w:val="000000"/>
                <w:sz w:val="18"/>
                <w:szCs w:val="18"/>
              </w:rPr>
              <w:t>phytates</w:t>
            </w:r>
            <w:proofErr w:type="spellEnd"/>
            <w:r w:rsidRPr="00135A78">
              <w:rPr>
                <w:rFonts w:ascii="Times New Roman" w:hAnsi="Times New Roman"/>
                <w:color w:val="000000"/>
                <w:sz w:val="18"/>
                <w:szCs w:val="18"/>
              </w:rPr>
              <w:t>), energy dense, fat. Even when consumed in small quantities, improvements to the quality of diet are large.</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p>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Milk, yogurt, and other diary</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p>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Milk</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4</w:t>
            </w:r>
          </w:p>
        </w:tc>
        <w:tc>
          <w:tcPr>
            <w:tcW w:w="4140" w:type="dxa"/>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Highest quality protein, easily absorbable micronutrients, vitamin A, energy. But milk could be consumed in very small amounts and should then be treated as condiments, and so reclassification in such cases is needed.</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Sugar and sugar products</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Sugar</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0.5</w:t>
            </w:r>
          </w:p>
        </w:tc>
        <w:tc>
          <w:tcPr>
            <w:tcW w:w="4140" w:type="dxa"/>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Empty calories. Usually consumed in small quantities.</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p>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 xml:space="preserve">Oil, fat, and butter </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p>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Oil</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0.5</w:t>
            </w:r>
          </w:p>
        </w:tc>
        <w:tc>
          <w:tcPr>
            <w:tcW w:w="4140" w:type="dxa"/>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r w:rsidRPr="00135A78">
              <w:rPr>
                <w:rFonts w:ascii="Times New Roman" w:hAnsi="Times New Roman"/>
                <w:color w:val="000000"/>
                <w:sz w:val="18"/>
                <w:szCs w:val="18"/>
              </w:rPr>
              <w:t xml:space="preserve">Energy dense but usually no other micronutrients. Often consumed in small quantities.  </w:t>
            </w:r>
          </w:p>
        </w:tc>
      </w:tr>
      <w:tr w:rsidR="00E21D81" w:rsidRPr="00135A78" w:rsidTr="00032B09">
        <w:tc>
          <w:tcPr>
            <w:tcW w:w="2970" w:type="dxa"/>
          </w:tcPr>
          <w:p w:rsidR="00E21D81" w:rsidRPr="00135A78" w:rsidRDefault="00E21D81" w:rsidP="00032B09">
            <w:pPr>
              <w:autoSpaceDE w:val="0"/>
              <w:autoSpaceDN w:val="0"/>
              <w:adjustRightInd w:val="0"/>
              <w:spacing w:after="0" w:line="240" w:lineRule="auto"/>
              <w:rPr>
                <w:rFonts w:ascii="Times New Roman" w:hAnsi="Times New Roman"/>
                <w:color w:val="000000"/>
                <w:sz w:val="18"/>
                <w:szCs w:val="18"/>
              </w:rPr>
            </w:pPr>
            <w:r w:rsidRPr="00135A78">
              <w:rPr>
                <w:rFonts w:ascii="Times New Roman" w:hAnsi="Times New Roman"/>
                <w:color w:val="000000"/>
                <w:sz w:val="18"/>
                <w:szCs w:val="18"/>
              </w:rPr>
              <w:t>Spices, tea, coffee, salt, fish power, small amount of milk for tea</w:t>
            </w:r>
          </w:p>
        </w:tc>
        <w:tc>
          <w:tcPr>
            <w:tcW w:w="117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Condiments</w:t>
            </w:r>
          </w:p>
        </w:tc>
        <w:tc>
          <w:tcPr>
            <w:tcW w:w="1080" w:type="dxa"/>
          </w:tcPr>
          <w:p w:rsidR="00E21D81" w:rsidRPr="00135A78" w:rsidRDefault="00E21D81" w:rsidP="00032B09">
            <w:pPr>
              <w:autoSpaceDE w:val="0"/>
              <w:autoSpaceDN w:val="0"/>
              <w:adjustRightInd w:val="0"/>
              <w:spacing w:after="0" w:line="240" w:lineRule="auto"/>
              <w:jc w:val="center"/>
              <w:rPr>
                <w:rFonts w:ascii="Times New Roman" w:hAnsi="Times New Roman"/>
                <w:color w:val="000000"/>
                <w:sz w:val="18"/>
                <w:szCs w:val="18"/>
              </w:rPr>
            </w:pPr>
            <w:r w:rsidRPr="00135A78">
              <w:rPr>
                <w:rFonts w:ascii="Times New Roman" w:hAnsi="Times New Roman"/>
                <w:color w:val="000000"/>
                <w:sz w:val="18"/>
                <w:szCs w:val="18"/>
              </w:rPr>
              <w:t>0</w:t>
            </w:r>
          </w:p>
        </w:tc>
        <w:tc>
          <w:tcPr>
            <w:tcW w:w="4140" w:type="dxa"/>
          </w:tcPr>
          <w:p w:rsidR="00E21D81" w:rsidRPr="00135A78" w:rsidRDefault="00E21D81" w:rsidP="00032B09">
            <w:pPr>
              <w:autoSpaceDE w:val="0"/>
              <w:autoSpaceDN w:val="0"/>
              <w:adjustRightInd w:val="0"/>
              <w:spacing w:after="0" w:line="240" w:lineRule="auto"/>
              <w:jc w:val="both"/>
              <w:rPr>
                <w:rFonts w:ascii="Times New Roman" w:hAnsi="Times New Roman"/>
                <w:color w:val="000000"/>
                <w:sz w:val="18"/>
                <w:szCs w:val="18"/>
              </w:rPr>
            </w:pPr>
          </w:p>
        </w:tc>
      </w:tr>
    </w:tbl>
    <w:p w:rsidR="00E21D81" w:rsidRDefault="00E21D81" w:rsidP="00E21D81">
      <w:pPr>
        <w:tabs>
          <w:tab w:val="left" w:pos="1065"/>
        </w:tabs>
        <w:spacing w:after="120"/>
        <w:rPr>
          <w:rFonts w:ascii="Times New Roman" w:hAnsi="Times New Roman"/>
          <w:color w:val="000000"/>
          <w:sz w:val="24"/>
          <w:szCs w:val="24"/>
        </w:rPr>
      </w:pPr>
      <w:r w:rsidRPr="00730F69">
        <w:rPr>
          <w:rFonts w:ascii="Times New Roman" w:hAnsi="Times New Roman"/>
          <w:color w:val="000000"/>
          <w:sz w:val="24"/>
          <w:szCs w:val="24"/>
        </w:rPr>
        <w:t>Source: WFP (2008)</w:t>
      </w:r>
    </w:p>
    <w:p w:rsidR="00E21D81" w:rsidRPr="00014D9C" w:rsidRDefault="00E21D81" w:rsidP="00E21D81">
      <w:pPr>
        <w:tabs>
          <w:tab w:val="left" w:pos="630"/>
        </w:tabs>
        <w:spacing w:after="0" w:line="360" w:lineRule="auto"/>
        <w:jc w:val="both"/>
        <w:outlineLvl w:val="3"/>
        <w:rPr>
          <w:rFonts w:ascii="Times New Roman" w:hAnsi="Times New Roman"/>
          <w:b/>
          <w:color w:val="000000"/>
          <w:sz w:val="24"/>
          <w:szCs w:val="24"/>
        </w:rPr>
      </w:pPr>
      <w:bookmarkStart w:id="21" w:name="_Toc255170204"/>
      <w:bookmarkStart w:id="22" w:name="_Toc255174880"/>
      <w:bookmarkStart w:id="23" w:name="_Toc255181231"/>
      <w:r w:rsidRPr="00014D9C">
        <w:rPr>
          <w:rFonts w:ascii="Times New Roman" w:hAnsi="Times New Roman"/>
          <w:b/>
          <w:color w:val="000000"/>
          <w:sz w:val="24"/>
          <w:szCs w:val="24"/>
        </w:rPr>
        <w:t>Stability/Vulnerability Aspect</w:t>
      </w:r>
      <w:bookmarkEnd w:id="21"/>
      <w:bookmarkEnd w:id="22"/>
      <w:bookmarkEnd w:id="23"/>
      <w:r w:rsidRPr="00014D9C">
        <w:rPr>
          <w:rFonts w:ascii="Times New Roman" w:hAnsi="Times New Roman"/>
          <w:b/>
          <w:color w:val="000000"/>
          <w:sz w:val="24"/>
          <w:szCs w:val="24"/>
        </w:rPr>
        <w:t xml:space="preserve"> </w:t>
      </w:r>
    </w:p>
    <w:p w:rsidR="00E21D81" w:rsidRPr="00135A78"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To capture the economic vulnerability Coping Strategies Index (CSI) and Food expenditure share </w:t>
      </w:r>
      <w:r>
        <w:rPr>
          <w:rFonts w:ascii="Times New Roman" w:hAnsi="Times New Roman"/>
          <w:color w:val="000000"/>
          <w:sz w:val="24"/>
          <w:szCs w:val="24"/>
        </w:rPr>
        <w:t>were used as proxy indicators. CSI</w:t>
      </w:r>
      <w:r w:rsidRPr="00135A78">
        <w:rPr>
          <w:rFonts w:ascii="Times New Roman" w:hAnsi="Times New Roman"/>
          <w:color w:val="000000"/>
          <w:sz w:val="24"/>
          <w:szCs w:val="24"/>
        </w:rPr>
        <w:t xml:space="preserve">, is one of widely used proxy indicator of food security designed to capture economic vulnerability or coping capacity based on the household’s food consumption behavior (coping strategies) such as dietary change, food seeking, household structure, and rationing strategies </w:t>
      </w:r>
      <w:r w:rsidR="00683680">
        <w:rPr>
          <w:rFonts w:ascii="Times New Roman" w:hAnsi="Times New Roman"/>
          <w:color w:val="000000"/>
          <w:sz w:val="24"/>
          <w:szCs w:val="24"/>
        </w:rPr>
        <w:t>[16</w:t>
      </w:r>
      <w:r w:rsidR="00EE5A56">
        <w:rPr>
          <w:rFonts w:ascii="Times New Roman" w:hAnsi="Times New Roman"/>
          <w:color w:val="000000"/>
          <w:sz w:val="24"/>
          <w:szCs w:val="24"/>
        </w:rPr>
        <w:t xml:space="preserve">]. </w:t>
      </w:r>
      <w:r w:rsidRPr="00135A78">
        <w:rPr>
          <w:rFonts w:ascii="Times New Roman" w:hAnsi="Times New Roman"/>
          <w:color w:val="000000"/>
          <w:sz w:val="24"/>
          <w:szCs w:val="24"/>
        </w:rPr>
        <w:t>The indicator is quick and easy to use, simple to understand and analyze, provides rich information on the transitory</w:t>
      </w:r>
      <w:r w:rsidRPr="00135A78">
        <w:rPr>
          <w:rFonts w:ascii="StoneSans" w:hAnsi="StoneSans" w:cs="StoneSans"/>
          <w:color w:val="000000"/>
          <w:sz w:val="25"/>
          <w:szCs w:val="25"/>
        </w:rPr>
        <w:t xml:space="preserve"> </w:t>
      </w:r>
      <w:r w:rsidRPr="00135A78">
        <w:rPr>
          <w:rFonts w:ascii="Times New Roman" w:hAnsi="Times New Roman"/>
          <w:color w:val="000000"/>
          <w:sz w:val="24"/>
          <w:szCs w:val="24"/>
        </w:rPr>
        <w:t xml:space="preserve">food insecurity, and well correlates with other indicators of food security </w:t>
      </w:r>
      <w:r w:rsidR="00683680">
        <w:rPr>
          <w:rFonts w:ascii="Times New Roman" w:hAnsi="Times New Roman"/>
          <w:color w:val="000000"/>
          <w:sz w:val="24"/>
          <w:szCs w:val="24"/>
        </w:rPr>
        <w:t>[16-17</w:t>
      </w:r>
      <w:r w:rsidR="00EE5A56">
        <w:rPr>
          <w:rFonts w:ascii="Times New Roman" w:hAnsi="Times New Roman"/>
          <w:color w:val="000000"/>
          <w:sz w:val="24"/>
          <w:szCs w:val="24"/>
        </w:rPr>
        <w:t xml:space="preserve">]. </w:t>
      </w:r>
      <w:r w:rsidRPr="00135A78">
        <w:rPr>
          <w:rFonts w:ascii="Times New Roman" w:hAnsi="Times New Roman"/>
          <w:color w:val="000000"/>
          <w:sz w:val="24"/>
          <w:szCs w:val="24"/>
        </w:rPr>
        <w:t>CSI measures behavior - the things tha</w:t>
      </w:r>
      <w:r>
        <w:rPr>
          <w:rFonts w:ascii="Times New Roman" w:hAnsi="Times New Roman"/>
          <w:color w:val="000000"/>
          <w:sz w:val="24"/>
          <w:szCs w:val="24"/>
        </w:rPr>
        <w:t>t most people do when they do not</w:t>
      </w:r>
      <w:r w:rsidRPr="00135A78">
        <w:rPr>
          <w:rFonts w:ascii="Times New Roman" w:hAnsi="Times New Roman"/>
          <w:color w:val="000000"/>
          <w:sz w:val="24"/>
          <w:szCs w:val="24"/>
        </w:rPr>
        <w:t xml:space="preserve"> have enough food and/or money to buy food </w:t>
      </w:r>
      <w:r w:rsidR="00683680">
        <w:rPr>
          <w:rFonts w:ascii="Times New Roman" w:hAnsi="Times New Roman"/>
          <w:color w:val="000000"/>
          <w:sz w:val="24"/>
          <w:szCs w:val="24"/>
        </w:rPr>
        <w:t>[18</w:t>
      </w:r>
      <w:r w:rsidR="00EE5A56">
        <w:rPr>
          <w:rFonts w:ascii="Times New Roman" w:hAnsi="Times New Roman"/>
          <w:color w:val="000000"/>
          <w:sz w:val="24"/>
          <w:szCs w:val="24"/>
        </w:rPr>
        <w:t>]</w:t>
      </w:r>
      <w:r w:rsidR="005040DE">
        <w:rPr>
          <w:rFonts w:ascii="Times New Roman" w:hAnsi="Times New Roman"/>
          <w:color w:val="000000"/>
          <w:sz w:val="24"/>
          <w:szCs w:val="24"/>
        </w:rPr>
        <w:t xml:space="preserve">. </w:t>
      </w:r>
      <w:r w:rsidRPr="00135A78">
        <w:rPr>
          <w:rFonts w:ascii="Times New Roman" w:hAnsi="Times New Roman"/>
          <w:color w:val="000000"/>
          <w:sz w:val="24"/>
          <w:szCs w:val="24"/>
        </w:rPr>
        <w:t xml:space="preserve">The logic is that as the problem of food availability and access worsens, households are more likely to utilize strategies that are less reversible, and so signify a more acute form of coping and higher food insecurity </w:t>
      </w:r>
      <w:r w:rsidR="00683680">
        <w:rPr>
          <w:rFonts w:ascii="Times New Roman" w:hAnsi="Times New Roman"/>
          <w:color w:val="000000"/>
          <w:sz w:val="24"/>
          <w:szCs w:val="24"/>
        </w:rPr>
        <w:t>[19</w:t>
      </w:r>
      <w:r w:rsidR="005040DE">
        <w:rPr>
          <w:rFonts w:ascii="Times New Roman" w:hAnsi="Times New Roman"/>
          <w:color w:val="000000"/>
          <w:sz w:val="24"/>
          <w:szCs w:val="24"/>
        </w:rPr>
        <w:t xml:space="preserve">]. </w:t>
      </w:r>
    </w:p>
    <w:p w:rsidR="00E21D81" w:rsidRDefault="00E21D81" w:rsidP="00E21D81">
      <w:pPr>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Respondents were asked to indic</w:t>
      </w:r>
      <w:r>
        <w:rPr>
          <w:rFonts w:ascii="Times New Roman" w:hAnsi="Times New Roman"/>
          <w:color w:val="000000"/>
          <w:sz w:val="24"/>
          <w:szCs w:val="24"/>
        </w:rPr>
        <w:t>ate what they do when they do not</w:t>
      </w:r>
      <w:r w:rsidRPr="00135A78">
        <w:rPr>
          <w:rFonts w:ascii="Times New Roman" w:hAnsi="Times New Roman"/>
          <w:color w:val="000000"/>
          <w:sz w:val="24"/>
          <w:szCs w:val="24"/>
        </w:rPr>
        <w:t xml:space="preserve"> have enough food and/or money to buy food in the past 30 days. To compute CSI, we used three pieces of information. The first one is the list of locally applicable coping strategies/behaviors that we adopted from literature based on the four classes of strategies: dietary changes, s</w:t>
      </w:r>
      <w:r w:rsidRPr="00135A78">
        <w:rPr>
          <w:rFonts w:ascii="Times New Roman" w:hAnsi="Times New Roman"/>
          <w:bCs/>
          <w:color w:val="000000"/>
          <w:sz w:val="23"/>
          <w:szCs w:val="23"/>
        </w:rPr>
        <w:t xml:space="preserve">hort-term measures to increase household food availability, </w:t>
      </w:r>
      <w:r w:rsidRPr="00135A78">
        <w:rPr>
          <w:rFonts w:ascii="Times New Roman" w:hAnsi="Times New Roman"/>
          <w:color w:val="000000"/>
          <w:sz w:val="24"/>
          <w:szCs w:val="24"/>
        </w:rPr>
        <w:t>s</w:t>
      </w:r>
      <w:r w:rsidRPr="00135A78">
        <w:rPr>
          <w:rFonts w:ascii="Times New Roman" w:hAnsi="Times New Roman"/>
          <w:bCs/>
          <w:color w:val="000000"/>
          <w:sz w:val="23"/>
          <w:szCs w:val="23"/>
        </w:rPr>
        <w:t xml:space="preserve">hort-term measures to decrease numbers of people to feed, and </w:t>
      </w:r>
      <w:r w:rsidRPr="00135A78">
        <w:rPr>
          <w:rFonts w:ascii="Times New Roman" w:hAnsi="Times New Roman"/>
          <w:color w:val="000000"/>
          <w:sz w:val="24"/>
          <w:szCs w:val="24"/>
        </w:rPr>
        <w:t>r</w:t>
      </w:r>
      <w:r w:rsidRPr="00135A78">
        <w:rPr>
          <w:rFonts w:ascii="Times New Roman" w:hAnsi="Times New Roman"/>
          <w:bCs/>
          <w:color w:val="000000"/>
          <w:sz w:val="23"/>
          <w:szCs w:val="23"/>
        </w:rPr>
        <w:t xml:space="preserve">ationing or managing the shortfall </w:t>
      </w:r>
      <w:r w:rsidR="00CB1D59">
        <w:rPr>
          <w:rFonts w:ascii="Times New Roman" w:hAnsi="Times New Roman"/>
          <w:bCs/>
          <w:color w:val="000000"/>
          <w:sz w:val="23"/>
          <w:szCs w:val="23"/>
        </w:rPr>
        <w:t>[18</w:t>
      </w:r>
      <w:r w:rsidR="005040DE">
        <w:rPr>
          <w:rFonts w:ascii="Times New Roman" w:hAnsi="Times New Roman"/>
          <w:bCs/>
          <w:color w:val="000000"/>
          <w:sz w:val="23"/>
          <w:szCs w:val="23"/>
        </w:rPr>
        <w:t xml:space="preserve">]. </w:t>
      </w:r>
      <w:r w:rsidRPr="00135A78">
        <w:rPr>
          <w:rFonts w:ascii="Times New Roman" w:hAnsi="Times New Roman"/>
          <w:color w:val="000000"/>
          <w:sz w:val="24"/>
          <w:szCs w:val="24"/>
        </w:rPr>
        <w:t xml:space="preserve">The second is the relative frequency – of – occurrence of the strategies. If a household employed a particular strategy all the time (every day in a week) we coded it as 7; if a strategy is employed pretty often (3 to 6 times per week) we coded it as 4.5 (the mid-point of the range 3 and 6); if it is used once in a while (1 to 2 times per week) we coded it as 1.5 (the mid-point of the range of 1 and 2); if the strategy is employed hardly at all (less than 1 times per week) we coded it as 0.5; and if a household never employed that particular strategy we coded it as zero.  The third include the severity level - weight of each strategy that is generated through focus group discussion (FGD). The strategies were grouped into four severity levels: very severe=4, severe=3, moderately sever=2, and least severe=1. Six different focus groups were consulted in each </w:t>
      </w:r>
      <w:r w:rsidRPr="00791ECB">
        <w:rPr>
          <w:rFonts w:ascii="Times New Roman" w:hAnsi="Times New Roman"/>
          <w:color w:val="000000"/>
          <w:sz w:val="24"/>
          <w:szCs w:val="24"/>
        </w:rPr>
        <w:t>selected</w:t>
      </w:r>
      <w:r>
        <w:rPr>
          <w:rFonts w:ascii="Times New Roman" w:hAnsi="Times New Roman"/>
          <w:i/>
          <w:color w:val="000000"/>
          <w:sz w:val="24"/>
          <w:szCs w:val="24"/>
        </w:rPr>
        <w:t xml:space="preserve"> </w:t>
      </w:r>
      <w:proofErr w:type="spellStart"/>
      <w:r>
        <w:rPr>
          <w:rFonts w:ascii="Times New Roman" w:hAnsi="Times New Roman"/>
          <w:i/>
          <w:color w:val="000000"/>
          <w:sz w:val="24"/>
          <w:szCs w:val="24"/>
        </w:rPr>
        <w:t>kebele</w:t>
      </w:r>
      <w:proofErr w:type="spellEnd"/>
      <w:r w:rsidRPr="00135A78">
        <w:rPr>
          <w:rFonts w:ascii="Times New Roman" w:hAnsi="Times New Roman"/>
          <w:color w:val="000000"/>
          <w:sz w:val="24"/>
          <w:szCs w:val="24"/>
        </w:rPr>
        <w:t xml:space="preserve"> to express their perceptions and opinions regarding the severity level of diverse strategies. The average weight of severity level of each strategy was calculated and finally the most frequent response is taken as consensus rank. The results of these exercise</w:t>
      </w:r>
      <w:r>
        <w:rPr>
          <w:rFonts w:ascii="Times New Roman" w:hAnsi="Times New Roman"/>
          <w:color w:val="000000"/>
          <w:sz w:val="24"/>
          <w:szCs w:val="24"/>
        </w:rPr>
        <w:t>s are presented in Table F</w:t>
      </w:r>
      <w:r w:rsidRPr="00135A78">
        <w:rPr>
          <w:rFonts w:ascii="Times New Roman" w:hAnsi="Times New Roman"/>
          <w:color w:val="000000"/>
          <w:sz w:val="24"/>
          <w:szCs w:val="24"/>
        </w:rPr>
        <w:t xml:space="preserve">.   </w:t>
      </w:r>
    </w:p>
    <w:p w:rsidR="00E21D81" w:rsidRDefault="00E21D81" w:rsidP="00E21D81">
      <w:pPr>
        <w:tabs>
          <w:tab w:val="left" w:pos="758"/>
          <w:tab w:val="left" w:pos="1080"/>
        </w:tabs>
        <w:spacing w:after="120"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We, thus, multiplied the relative frequency of each strategy by its respective severity level and added up the results to obtain the CSI score. Mathematically, we used the following formula: </w:t>
      </w:r>
    </w:p>
    <w:p w:rsidR="00E21D81" w:rsidRPr="00135A78" w:rsidRDefault="00E21D81" w:rsidP="00E21D81">
      <w:pPr>
        <w:tabs>
          <w:tab w:val="left" w:pos="758"/>
          <w:tab w:val="left" w:pos="1080"/>
        </w:tabs>
        <w:spacing w:after="0"/>
        <w:jc w:val="center"/>
        <w:rPr>
          <w:rFonts w:ascii="Times New Roman" w:hAnsi="Times New Roman"/>
          <w:i/>
          <w:color w:val="000000"/>
          <w:sz w:val="24"/>
          <w:szCs w:val="24"/>
        </w:rPr>
      </w:pPr>
      <w:r w:rsidRPr="00135A78">
        <w:rPr>
          <w:rFonts w:ascii="Times New Roman" w:hAnsi="Times New Roman"/>
          <w:i/>
          <w:color w:val="000000"/>
          <w:sz w:val="24"/>
          <w:szCs w:val="24"/>
        </w:rPr>
        <w:t>CSI score = (fCS1*sCS1) + (fCS2*sCS2) + (fCS3*sCS3) + (fCS4*sCS4) + ... + (fCS12*sCS12)</w:t>
      </w:r>
    </w:p>
    <w:p w:rsidR="00E21D81" w:rsidRPr="005C70EC" w:rsidRDefault="00E21D81" w:rsidP="00E21D81">
      <w:pPr>
        <w:autoSpaceDE w:val="0"/>
        <w:autoSpaceDN w:val="0"/>
        <w:adjustRightInd w:val="0"/>
        <w:spacing w:after="0"/>
        <w:jc w:val="center"/>
        <w:rPr>
          <w:rFonts w:ascii="Times New Roman" w:hAnsi="Times New Roman"/>
          <w:color w:val="000000"/>
          <w:sz w:val="24"/>
          <w:szCs w:val="24"/>
        </w:rPr>
      </w:pPr>
      <m:oMathPara>
        <m:oMath>
          <m:r>
            <w:rPr>
              <w:rFonts w:ascii="Cambria Math" w:eastAsia="Cambria Math" w:hAnsi="Times New Roman"/>
              <w:sz w:val="24"/>
              <w:szCs w:val="24"/>
            </w:rPr>
            <m:t xml:space="preserve">= </m:t>
          </m:r>
          <m:nary>
            <m:naryPr>
              <m:chr m:val="∑"/>
              <m:grow m:val="1"/>
              <m:ctrlPr>
                <w:rPr>
                  <w:rFonts w:ascii="Cambria Math" w:hAnsi="Times New Roman"/>
                  <w:i/>
                  <w:sz w:val="24"/>
                  <w:szCs w:val="24"/>
                </w:rPr>
              </m:ctrlPr>
            </m:naryPr>
            <m:sub>
              <m:r>
                <w:rPr>
                  <w:rFonts w:ascii="Cambria Math" w:eastAsia="Cambria Math" w:hAnsi="Cambria Math"/>
                  <w:sz w:val="24"/>
                  <w:szCs w:val="24"/>
                </w:rPr>
                <m:t>i</m:t>
              </m:r>
              <m:r>
                <w:rPr>
                  <w:rFonts w:ascii="Cambria Math" w:eastAsia="Cambria Math" w:hAnsi="Times New Roman"/>
                  <w:sz w:val="24"/>
                  <w:szCs w:val="24"/>
                </w:rPr>
                <m:t>=1</m:t>
              </m:r>
            </m:sub>
            <m:sup>
              <m:r>
                <w:rPr>
                  <w:rFonts w:ascii="Cambria Math" w:eastAsia="Cambria Math" w:hAnsi="Times New Roman"/>
                  <w:sz w:val="24"/>
                  <w:szCs w:val="24"/>
                </w:rPr>
                <m:t xml:space="preserve"> </m:t>
              </m:r>
              <m:r>
                <w:rPr>
                  <w:rFonts w:ascii="Cambria Math" w:eastAsia="Cambria Math" w:hAnsi="Cambria Math"/>
                  <w:sz w:val="24"/>
                  <w:szCs w:val="24"/>
                </w:rPr>
                <m:t>n</m:t>
              </m:r>
            </m:sup>
            <m:e>
              <m:sSub>
                <m:sSubPr>
                  <m:ctrlPr>
                    <w:rPr>
                      <w:rFonts w:ascii="Cambria Math" w:hAnsi="Times New Roman"/>
                      <w:i/>
                      <w:sz w:val="24"/>
                      <w:szCs w:val="24"/>
                    </w:rPr>
                  </m:ctrlPr>
                </m:sSubPr>
                <m:e>
                  <m:r>
                    <w:rPr>
                      <w:rFonts w:ascii="Cambria Math" w:hAnsi="Times New Roman"/>
                      <w:sz w:val="24"/>
                      <w:szCs w:val="24"/>
                    </w:rPr>
                    <m:t>f</m:t>
                  </m:r>
                </m:e>
                <m:sub>
                  <m:r>
                    <w:rPr>
                      <w:rFonts w:ascii="Cambria Math" w:hAnsi="Times New Roman"/>
                      <w:sz w:val="24"/>
                      <w:szCs w:val="24"/>
                    </w:rPr>
                    <m:t>i</m:t>
                  </m:r>
                </m:sub>
              </m:sSub>
              <m:sSub>
                <m:sSubPr>
                  <m:ctrlPr>
                    <w:rPr>
                      <w:rFonts w:ascii="Cambria Math" w:hAnsi="Times New Roman"/>
                      <w:i/>
                      <w:sz w:val="24"/>
                      <w:szCs w:val="24"/>
                    </w:rPr>
                  </m:ctrlPr>
                </m:sSubPr>
                <m:e>
                  <m:r>
                    <w:rPr>
                      <w:rFonts w:ascii="Cambria Math" w:hAnsi="Times New Roman"/>
                      <w:sz w:val="24"/>
                      <w:szCs w:val="24"/>
                    </w:rPr>
                    <m:t>s</m:t>
                  </m:r>
                </m:e>
                <m:sub>
                  <m:r>
                    <w:rPr>
                      <w:rFonts w:ascii="Cambria Math" w:hAnsi="Times New Roman"/>
                      <w:sz w:val="24"/>
                      <w:szCs w:val="24"/>
                    </w:rPr>
                    <m:t>i</m:t>
                  </m:r>
                </m:sub>
              </m:sSub>
            </m:e>
          </m:nary>
          <m:r>
            <w:rPr>
              <w:rFonts w:ascii="Cambria Math" w:hAnsi="Times New Roman"/>
              <w:sz w:val="24"/>
              <w:szCs w:val="24"/>
            </w:rPr>
            <m:t xml:space="preserve">                                                                                              3.24</m:t>
          </m:r>
        </m:oMath>
      </m:oMathPara>
    </w:p>
    <w:p w:rsidR="00E21D81" w:rsidRDefault="00E21D81" w:rsidP="00E21D81">
      <w:pPr>
        <w:tabs>
          <w:tab w:val="left" w:pos="758"/>
        </w:tabs>
        <w:spacing w:after="60" w:line="360" w:lineRule="auto"/>
        <w:jc w:val="both"/>
        <w:rPr>
          <w:rFonts w:ascii="Times New Roman" w:hAnsi="Times New Roman"/>
          <w:color w:val="000000"/>
          <w:sz w:val="24"/>
          <w:szCs w:val="24"/>
        </w:rPr>
      </w:pPr>
      <w:proofErr w:type="gramStart"/>
      <w:r w:rsidRPr="00135A78">
        <w:rPr>
          <w:rFonts w:ascii="Times New Roman" w:hAnsi="Times New Roman"/>
          <w:color w:val="000000"/>
          <w:sz w:val="24"/>
          <w:szCs w:val="24"/>
        </w:rPr>
        <w:t>where</w:t>
      </w:r>
      <w:proofErr w:type="gramEnd"/>
      <w:r w:rsidRPr="00135A78">
        <w:rPr>
          <w:rFonts w:ascii="Times New Roman" w:hAnsi="Times New Roman"/>
          <w:color w:val="000000"/>
          <w:sz w:val="24"/>
          <w:szCs w:val="24"/>
        </w:rPr>
        <w:t xml:space="preserve"> </w:t>
      </w:r>
      <w:r w:rsidRPr="00135A78">
        <w:rPr>
          <w:rFonts w:ascii="Times New Roman" w:hAnsi="Times New Roman"/>
          <w:i/>
          <w:color w:val="000000"/>
          <w:sz w:val="24"/>
          <w:szCs w:val="24"/>
        </w:rPr>
        <w:t>f</w:t>
      </w:r>
      <w:r w:rsidRPr="00135A78">
        <w:rPr>
          <w:rFonts w:ascii="Times New Roman" w:hAnsi="Times New Roman"/>
          <w:i/>
          <w:color w:val="000000"/>
          <w:sz w:val="24"/>
          <w:szCs w:val="24"/>
          <w:vertAlign w:val="subscript"/>
        </w:rPr>
        <w:t>i</w:t>
      </w:r>
      <w:r w:rsidRPr="00135A78">
        <w:rPr>
          <w:rFonts w:ascii="Times New Roman" w:hAnsi="Times New Roman"/>
          <w:color w:val="000000"/>
          <w:sz w:val="24"/>
          <w:szCs w:val="24"/>
          <w:vertAlign w:val="subscript"/>
        </w:rPr>
        <w:t xml:space="preserve">  </w:t>
      </w:r>
      <w:r w:rsidRPr="00135A78">
        <w:rPr>
          <w:rFonts w:ascii="Times New Roman" w:hAnsi="Times New Roman"/>
          <w:color w:val="000000"/>
          <w:sz w:val="24"/>
          <w:szCs w:val="24"/>
        </w:rPr>
        <w:t xml:space="preserve">is the relative frequency – of – occurrence of the strategy and </w:t>
      </w:r>
      <w:proofErr w:type="spellStart"/>
      <w:r w:rsidRPr="00135A78">
        <w:rPr>
          <w:rFonts w:ascii="Times New Roman" w:hAnsi="Times New Roman"/>
          <w:i/>
          <w:color w:val="000000"/>
          <w:sz w:val="24"/>
          <w:szCs w:val="24"/>
        </w:rPr>
        <w:t>s</w:t>
      </w:r>
      <w:r w:rsidRPr="00135A78">
        <w:rPr>
          <w:rFonts w:ascii="Times New Roman" w:hAnsi="Times New Roman"/>
          <w:i/>
          <w:color w:val="000000"/>
          <w:sz w:val="24"/>
          <w:szCs w:val="24"/>
          <w:vertAlign w:val="subscript"/>
        </w:rPr>
        <w:t>i</w:t>
      </w:r>
      <w:proofErr w:type="spellEnd"/>
      <w:r w:rsidRPr="00135A78">
        <w:rPr>
          <w:rFonts w:ascii="Times New Roman" w:hAnsi="Times New Roman"/>
          <w:color w:val="000000"/>
          <w:sz w:val="24"/>
          <w:szCs w:val="24"/>
          <w:vertAlign w:val="subscript"/>
        </w:rPr>
        <w:t xml:space="preserve"> </w:t>
      </w:r>
      <w:r w:rsidRPr="00135A78">
        <w:rPr>
          <w:rFonts w:ascii="Times New Roman" w:hAnsi="Times New Roman"/>
          <w:color w:val="000000"/>
          <w:sz w:val="24"/>
          <w:szCs w:val="24"/>
        </w:rPr>
        <w:t xml:space="preserve">is the level of severity (weight). The score reflects the current and seemingly future food security status of the households </w:t>
      </w:r>
      <w:r w:rsidR="00CB1D59">
        <w:rPr>
          <w:rFonts w:ascii="Times New Roman" w:hAnsi="Times New Roman"/>
          <w:color w:val="000000"/>
          <w:sz w:val="24"/>
          <w:szCs w:val="24"/>
        </w:rPr>
        <w:t>[16</w:t>
      </w:r>
      <w:r w:rsidR="005040DE">
        <w:rPr>
          <w:rFonts w:ascii="Times New Roman" w:hAnsi="Times New Roman"/>
          <w:color w:val="000000"/>
          <w:sz w:val="24"/>
          <w:szCs w:val="24"/>
        </w:rPr>
        <w:t xml:space="preserve">]. </w:t>
      </w:r>
      <w:r w:rsidRPr="00135A78">
        <w:rPr>
          <w:rFonts w:ascii="Times New Roman" w:hAnsi="Times New Roman"/>
          <w:color w:val="000000"/>
          <w:sz w:val="24"/>
          <w:szCs w:val="24"/>
        </w:rPr>
        <w:t>The higher score shows that a household is greatly food insecure due to adapting the most sever coping strategy more frequently. Once we get CSI score for each household, we created a categorical variable to examine the status and prevalence of households’ food (in</w:t>
      </w:r>
      <w:proofErr w:type="gramStart"/>
      <w:r w:rsidRPr="00135A78">
        <w:rPr>
          <w:rFonts w:ascii="Times New Roman" w:hAnsi="Times New Roman"/>
          <w:color w:val="000000"/>
          <w:sz w:val="24"/>
          <w:szCs w:val="24"/>
        </w:rPr>
        <w:t>)security</w:t>
      </w:r>
      <w:proofErr w:type="gramEnd"/>
      <w:r w:rsidRPr="00135A78">
        <w:rPr>
          <w:rFonts w:ascii="Times New Roman" w:hAnsi="Times New Roman"/>
          <w:color w:val="000000"/>
          <w:sz w:val="24"/>
          <w:szCs w:val="24"/>
        </w:rPr>
        <w:t xml:space="preserve"> based on the thresholds proposed by Maxwell and his colleagues in Ethiopian context </w:t>
      </w:r>
      <w:r w:rsidR="00CB1D59">
        <w:rPr>
          <w:rFonts w:ascii="Times New Roman" w:hAnsi="Times New Roman"/>
          <w:color w:val="000000"/>
          <w:sz w:val="24"/>
          <w:szCs w:val="24"/>
        </w:rPr>
        <w:t>[17</w:t>
      </w:r>
      <w:r w:rsidR="005040DE">
        <w:rPr>
          <w:rFonts w:ascii="Times New Roman" w:hAnsi="Times New Roman"/>
          <w:color w:val="000000"/>
          <w:sz w:val="24"/>
          <w:szCs w:val="24"/>
        </w:rPr>
        <w:t xml:space="preserve">]. </w:t>
      </w:r>
      <w:r w:rsidRPr="00135A78">
        <w:rPr>
          <w:rFonts w:ascii="Times New Roman" w:hAnsi="Times New Roman"/>
          <w:color w:val="000000"/>
          <w:sz w:val="24"/>
          <w:szCs w:val="24"/>
        </w:rPr>
        <w:t xml:space="preserve">The authors classified households into four categories as follows: households with CSI score from 0 to 2, food secure (1); from 3 to 12, mildly food insecure; from 13 to 40, moderately food insecure; and above 40, severely food insecure </w:t>
      </w:r>
      <w:r w:rsidR="00CB1D59">
        <w:rPr>
          <w:rFonts w:ascii="Times New Roman" w:hAnsi="Times New Roman"/>
          <w:color w:val="000000"/>
          <w:sz w:val="24"/>
          <w:szCs w:val="24"/>
        </w:rPr>
        <w:t>[17</w:t>
      </w:r>
      <w:r w:rsidR="005040DE">
        <w:rPr>
          <w:rFonts w:ascii="Times New Roman" w:hAnsi="Times New Roman"/>
          <w:color w:val="000000"/>
          <w:sz w:val="24"/>
          <w:szCs w:val="24"/>
        </w:rPr>
        <w:t xml:space="preserve">]. </w:t>
      </w:r>
    </w:p>
    <w:p w:rsidR="00E21D81" w:rsidRPr="00135A78" w:rsidRDefault="00E21D81" w:rsidP="00E21D81">
      <w:pPr>
        <w:pStyle w:val="Heading1"/>
        <w:spacing w:before="0"/>
        <w:rPr>
          <w:rFonts w:ascii="Times New Roman" w:eastAsia="TimesNewRoman" w:hAnsi="Times New Roman"/>
          <w:color w:val="000000"/>
          <w:sz w:val="24"/>
          <w:szCs w:val="24"/>
        </w:rPr>
      </w:pPr>
      <w:bookmarkStart w:id="24" w:name="_Toc255170205"/>
      <w:bookmarkStart w:id="25" w:name="_Toc255174881"/>
      <w:bookmarkStart w:id="26" w:name="_Toc255181232"/>
      <w:bookmarkStart w:id="27" w:name="_GoBack"/>
      <w:r>
        <w:rPr>
          <w:rFonts w:ascii="Times New Roman" w:eastAsia="TimesNewRoman" w:hAnsi="Times New Roman"/>
          <w:b w:val="0"/>
          <w:color w:val="000000"/>
          <w:sz w:val="24"/>
          <w:szCs w:val="24"/>
        </w:rPr>
        <w:t xml:space="preserve">Table </w:t>
      </w:r>
      <w:r w:rsidR="008A7673">
        <w:rPr>
          <w:rFonts w:ascii="Times New Roman" w:eastAsia="TimesNewRoman" w:hAnsi="Times New Roman"/>
          <w:b w:val="0"/>
          <w:color w:val="000000"/>
          <w:sz w:val="24"/>
          <w:szCs w:val="24"/>
        </w:rPr>
        <w:t>S6</w:t>
      </w:r>
      <w:r w:rsidRPr="00135A78">
        <w:rPr>
          <w:rFonts w:ascii="Times New Roman" w:eastAsia="TimesNewRoman" w:hAnsi="Times New Roman"/>
          <w:b w:val="0"/>
          <w:color w:val="000000"/>
          <w:sz w:val="24"/>
          <w:szCs w:val="24"/>
        </w:rPr>
        <w:t>:</w:t>
      </w:r>
      <w:r w:rsidRPr="00135A78">
        <w:rPr>
          <w:rFonts w:ascii="Times New Roman" w:eastAsia="TimesNewRoman" w:hAnsi="Times New Roman"/>
          <w:color w:val="000000"/>
          <w:sz w:val="24"/>
          <w:szCs w:val="24"/>
        </w:rPr>
        <w:t xml:space="preserve"> </w:t>
      </w:r>
      <w:r>
        <w:rPr>
          <w:rFonts w:ascii="Times New Roman" w:eastAsia="TimesNewRoman" w:hAnsi="Times New Roman"/>
          <w:b w:val="0"/>
          <w:color w:val="000000"/>
          <w:sz w:val="24"/>
          <w:szCs w:val="24"/>
        </w:rPr>
        <w:t>Coping Strategy Weights</w:t>
      </w:r>
      <w:bookmarkEnd w:id="24"/>
      <w:bookmarkEnd w:id="25"/>
      <w:bookmarkEnd w:id="27"/>
      <w:r>
        <w:rPr>
          <w:rFonts w:ascii="Times New Roman" w:eastAsia="TimesNewRoman" w:hAnsi="Times New Roman"/>
          <w:b w:val="0"/>
          <w:color w:val="000000"/>
          <w:sz w:val="24"/>
          <w:szCs w:val="24"/>
        </w:rPr>
        <w:t>.</w:t>
      </w:r>
      <w:bookmarkEnd w:id="26"/>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880"/>
        <w:gridCol w:w="540"/>
        <w:gridCol w:w="540"/>
        <w:gridCol w:w="607"/>
        <w:gridCol w:w="563"/>
        <w:gridCol w:w="540"/>
        <w:gridCol w:w="540"/>
        <w:gridCol w:w="540"/>
        <w:gridCol w:w="720"/>
        <w:gridCol w:w="900"/>
      </w:tblGrid>
      <w:tr w:rsidR="00E21D81" w:rsidRPr="00AD4776" w:rsidTr="00032B09">
        <w:tc>
          <w:tcPr>
            <w:tcW w:w="990" w:type="dxa"/>
            <w:vMerge w:val="restart"/>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 xml:space="preserve">Category </w:t>
            </w:r>
          </w:p>
        </w:tc>
        <w:tc>
          <w:tcPr>
            <w:tcW w:w="2880" w:type="dxa"/>
            <w:vMerge w:val="restart"/>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Coping strategy</w:t>
            </w:r>
          </w:p>
        </w:tc>
        <w:tc>
          <w:tcPr>
            <w:tcW w:w="3870" w:type="dxa"/>
            <w:gridSpan w:val="7"/>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Weight for severity scores</w:t>
            </w:r>
          </w:p>
        </w:tc>
        <w:tc>
          <w:tcPr>
            <w:tcW w:w="720" w:type="dxa"/>
            <w:vMerge w:val="restart"/>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Consensus ranking</w:t>
            </w:r>
          </w:p>
        </w:tc>
        <w:tc>
          <w:tcPr>
            <w:tcW w:w="900" w:type="dxa"/>
            <w:vMerge w:val="restart"/>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Severity level</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tc>
        <w:tc>
          <w:tcPr>
            <w:tcW w:w="2880" w:type="dxa"/>
            <w:vMerge/>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FGD1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FGD2</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FGD3</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FGD4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FGD5</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FGD6</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Ave.</w:t>
            </w:r>
          </w:p>
        </w:tc>
        <w:tc>
          <w:tcPr>
            <w:tcW w:w="720" w:type="dxa"/>
            <w:vMerge/>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tc>
        <w:tc>
          <w:tcPr>
            <w:tcW w:w="900" w:type="dxa"/>
            <w:vMerge/>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tc>
      </w:tr>
      <w:tr w:rsidR="00E21D81" w:rsidRPr="00AD4776" w:rsidTr="00032B09">
        <w:tc>
          <w:tcPr>
            <w:tcW w:w="990" w:type="dxa"/>
          </w:tcPr>
          <w:p w:rsidR="00E21D81" w:rsidRPr="00AD4776" w:rsidRDefault="00E21D81" w:rsidP="00032B09">
            <w:pPr>
              <w:autoSpaceDE w:val="0"/>
              <w:autoSpaceDN w:val="0"/>
              <w:adjustRightInd w:val="0"/>
              <w:spacing w:after="0" w:line="240" w:lineRule="auto"/>
              <w:jc w:val="center"/>
              <w:rPr>
                <w:rFonts w:ascii="Times New Roman" w:hAnsi="Times New Roman"/>
                <w:i/>
                <w:color w:val="000000"/>
                <w:sz w:val="16"/>
                <w:szCs w:val="16"/>
              </w:rPr>
            </w:pPr>
            <w:r w:rsidRPr="00AD4776">
              <w:rPr>
                <w:rFonts w:ascii="Times New Roman" w:hAnsi="Times New Roman"/>
                <w:i/>
                <w:color w:val="000000"/>
                <w:sz w:val="16"/>
                <w:szCs w:val="16"/>
              </w:rPr>
              <w:t>Dietary</w:t>
            </w:r>
          </w:p>
          <w:p w:rsidR="00E21D81" w:rsidRPr="00AD4776" w:rsidRDefault="00E21D81" w:rsidP="00032B09">
            <w:pPr>
              <w:autoSpaceDE w:val="0"/>
              <w:autoSpaceDN w:val="0"/>
              <w:adjustRightInd w:val="0"/>
              <w:spacing w:after="0" w:line="240" w:lineRule="auto"/>
              <w:jc w:val="center"/>
              <w:rPr>
                <w:rFonts w:ascii="Times New Roman" w:hAnsi="Times New Roman"/>
                <w:i/>
                <w:color w:val="000000"/>
                <w:sz w:val="16"/>
                <w:szCs w:val="16"/>
              </w:rPr>
            </w:pPr>
            <w:r w:rsidRPr="00AD4776">
              <w:rPr>
                <w:rFonts w:ascii="Times New Roman" w:hAnsi="Times New Roman"/>
                <w:i/>
                <w:color w:val="000000"/>
                <w:sz w:val="16"/>
                <w:szCs w:val="16"/>
              </w:rPr>
              <w:t>Change</w:t>
            </w: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Rely on less preferred and less expensive foods (CS1)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Least</w:t>
            </w:r>
          </w:p>
        </w:tc>
      </w:tr>
      <w:tr w:rsidR="00E21D81" w:rsidRPr="00AD4776" w:rsidTr="00032B09">
        <w:tc>
          <w:tcPr>
            <w:tcW w:w="990" w:type="dxa"/>
            <w:vMerge w:val="restart"/>
          </w:tcPr>
          <w:p w:rsidR="00E21D81" w:rsidRPr="00AD4776" w:rsidRDefault="00E21D81" w:rsidP="00032B09">
            <w:pPr>
              <w:autoSpaceDE w:val="0"/>
              <w:autoSpaceDN w:val="0"/>
              <w:adjustRightInd w:val="0"/>
              <w:spacing w:after="0" w:line="240" w:lineRule="auto"/>
              <w:jc w:val="both"/>
              <w:rPr>
                <w:rFonts w:ascii="Times New Roman" w:hAnsi="Times New Roman"/>
                <w:bCs/>
                <w:i/>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hAnsi="Times New Roman"/>
                <w:i/>
                <w:color w:val="000000"/>
                <w:sz w:val="16"/>
                <w:szCs w:val="16"/>
              </w:rPr>
            </w:pPr>
            <w:r w:rsidRPr="00AD4776">
              <w:rPr>
                <w:rFonts w:ascii="Times New Roman" w:hAnsi="Times New Roman"/>
                <w:bCs/>
                <w:i/>
                <w:color w:val="000000"/>
                <w:sz w:val="16"/>
                <w:szCs w:val="16"/>
              </w:rPr>
              <w:t>Increase household short term food availability</w:t>
            </w: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Borrow food, or rely on help from a friend or relative (CS2)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1.3</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 xml:space="preserve">           1</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Least</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both"/>
              <w:rPr>
                <w:rFonts w:ascii="Times New 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Purchase food on credit (CS3)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Moderate</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both"/>
              <w:rPr>
                <w:rFonts w:ascii="Times New 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Gather wild food, hunt, or harvest immature crops (CS4)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1.17</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1</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Least</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both"/>
              <w:rPr>
                <w:rFonts w:ascii="Times New 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Consume seed stock held for next season (CS5)</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3.17</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Severe</w:t>
            </w:r>
          </w:p>
        </w:tc>
      </w:tr>
      <w:tr w:rsidR="00E21D81" w:rsidRPr="00AD4776" w:rsidTr="00032B09">
        <w:tc>
          <w:tcPr>
            <w:tcW w:w="990" w:type="dxa"/>
            <w:vMerge w:val="restart"/>
          </w:tcPr>
          <w:p w:rsidR="00E21D81" w:rsidRPr="00AD4776" w:rsidRDefault="00E21D81" w:rsidP="00032B09">
            <w:pPr>
              <w:autoSpaceDE w:val="0"/>
              <w:autoSpaceDN w:val="0"/>
              <w:adjustRightInd w:val="0"/>
              <w:spacing w:after="0" w:line="240" w:lineRule="auto"/>
              <w:jc w:val="center"/>
              <w:rPr>
                <w:rFonts w:ascii="Times New Roman" w:hAnsi="Times New Roman"/>
                <w:i/>
                <w:color w:val="000000"/>
                <w:sz w:val="16"/>
                <w:szCs w:val="16"/>
              </w:rPr>
            </w:pPr>
            <w:r w:rsidRPr="00AD4776">
              <w:rPr>
                <w:rFonts w:ascii="Times New Roman" w:hAnsi="Times New Roman"/>
                <w:i/>
                <w:color w:val="000000"/>
                <w:sz w:val="16"/>
                <w:szCs w:val="16"/>
              </w:rPr>
              <w:t>Reduce number of people</w:t>
            </w: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Send household members to eat elsewhere (CS6)</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2.3</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Moderate</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both"/>
              <w:rPr>
                <w:rFonts w:ascii="Times New 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Send household members to beg (CS7)</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 xml:space="preserve">Most </w:t>
            </w:r>
          </w:p>
        </w:tc>
      </w:tr>
      <w:tr w:rsidR="00E21D81" w:rsidRPr="00AD4776" w:rsidTr="00032B09">
        <w:tc>
          <w:tcPr>
            <w:tcW w:w="990" w:type="dxa"/>
            <w:vMerge w:val="restart"/>
          </w:tcPr>
          <w:p w:rsidR="00E21D81" w:rsidRPr="00AD4776" w:rsidRDefault="00E21D81" w:rsidP="00032B09">
            <w:pPr>
              <w:autoSpaceDE w:val="0"/>
              <w:autoSpaceDN w:val="0"/>
              <w:adjustRightInd w:val="0"/>
              <w:spacing w:after="0" w:line="240" w:lineRule="auto"/>
              <w:jc w:val="center"/>
              <w:rPr>
                <w:rFonts w:ascii="Times New Roman" w:hAnsi="Times New Roman"/>
                <w:i/>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hAnsi="Times New Roman"/>
                <w:i/>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hAnsi="Times New Roman"/>
                <w:i/>
                <w:color w:val="000000"/>
                <w:sz w:val="16"/>
                <w:szCs w:val="16"/>
              </w:rPr>
            </w:pPr>
          </w:p>
          <w:p w:rsidR="00E21D81" w:rsidRPr="00AD4776" w:rsidRDefault="00E21D81" w:rsidP="00032B09">
            <w:pPr>
              <w:autoSpaceDE w:val="0"/>
              <w:autoSpaceDN w:val="0"/>
              <w:adjustRightInd w:val="0"/>
              <w:spacing w:after="0" w:line="240" w:lineRule="auto"/>
              <w:jc w:val="center"/>
              <w:rPr>
                <w:rFonts w:ascii="Times New Roman" w:hAnsi="Times New Roman"/>
                <w:i/>
                <w:color w:val="000000"/>
                <w:sz w:val="16"/>
                <w:szCs w:val="16"/>
              </w:rPr>
            </w:pPr>
            <w:r w:rsidRPr="00AD4776">
              <w:rPr>
                <w:rFonts w:ascii="Times New Roman" w:hAnsi="Times New Roman"/>
                <w:i/>
                <w:color w:val="000000"/>
                <w:sz w:val="16"/>
                <w:szCs w:val="16"/>
              </w:rPr>
              <w:t>Rationing strategies</w:t>
            </w: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Limit portion size at mealtimes (CS8)</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2.17</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Moderate</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both"/>
              <w:rPr>
                <w:rFonts w:ascii="Times New 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Restrict consumption by adults in order for small children to eat (CS9)</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Severe</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both"/>
              <w:rPr>
                <w:rFonts w:ascii="Times New 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Feed working members of HH at the expense of non-working members (CS10)</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3</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Severe</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both"/>
              <w:rPr>
                <w:rFonts w:ascii="Times New 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Reduce the number of meals eaten in a day (CS11)</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2</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Moderate</w:t>
            </w:r>
          </w:p>
        </w:tc>
      </w:tr>
      <w:tr w:rsidR="00E21D81" w:rsidRPr="00AD4776" w:rsidTr="00032B09">
        <w:tc>
          <w:tcPr>
            <w:tcW w:w="990" w:type="dxa"/>
            <w:vMerge/>
          </w:tcPr>
          <w:p w:rsidR="00E21D81" w:rsidRPr="00AD4776" w:rsidRDefault="00E21D81" w:rsidP="00032B09">
            <w:pPr>
              <w:autoSpaceDE w:val="0"/>
              <w:autoSpaceDN w:val="0"/>
              <w:adjustRightInd w:val="0"/>
              <w:spacing w:after="0" w:line="240" w:lineRule="auto"/>
              <w:jc w:val="both"/>
              <w:rPr>
                <w:rFonts w:ascii="Times New 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hAnsi="Times New Roman"/>
                <w:color w:val="000000"/>
                <w:sz w:val="16"/>
                <w:szCs w:val="16"/>
              </w:rPr>
              <w:t>Skip entire days without eating (CS12)</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72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4</w:t>
            </w:r>
          </w:p>
        </w:tc>
        <w:tc>
          <w:tcPr>
            <w:tcW w:w="90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 xml:space="preserve">Most </w:t>
            </w:r>
          </w:p>
        </w:tc>
      </w:tr>
      <w:tr w:rsidR="00E21D81" w:rsidRPr="00AD4776" w:rsidTr="00032B09">
        <w:tc>
          <w:tcPr>
            <w:tcW w:w="99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p>
        </w:tc>
        <w:tc>
          <w:tcPr>
            <w:tcW w:w="2880" w:type="dxa"/>
          </w:tcPr>
          <w:p w:rsidR="00E21D81" w:rsidRPr="00AD4776" w:rsidRDefault="00E21D81" w:rsidP="00032B09">
            <w:pPr>
              <w:autoSpaceDE w:val="0"/>
              <w:autoSpaceDN w:val="0"/>
              <w:adjustRightInd w:val="0"/>
              <w:spacing w:after="0" w:line="240" w:lineRule="auto"/>
              <w:jc w:val="both"/>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Gender of FGD participants</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w:t>
            </w:r>
          </w:p>
        </w:tc>
        <w:tc>
          <w:tcPr>
            <w:tcW w:w="607"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M&amp;F</w:t>
            </w:r>
          </w:p>
        </w:tc>
        <w:tc>
          <w:tcPr>
            <w:tcW w:w="563"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F</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M</w:t>
            </w:r>
          </w:p>
        </w:tc>
        <w:tc>
          <w:tcPr>
            <w:tcW w:w="540" w:type="dxa"/>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r w:rsidRPr="00AD4776">
              <w:rPr>
                <w:rFonts w:ascii="Times New Roman" w:eastAsia="TimesNewRoman" w:hAnsi="Times New Roman"/>
                <w:color w:val="000000"/>
                <w:sz w:val="16"/>
                <w:szCs w:val="16"/>
              </w:rPr>
              <w:t>M</w:t>
            </w:r>
          </w:p>
        </w:tc>
        <w:tc>
          <w:tcPr>
            <w:tcW w:w="540" w:type="dxa"/>
            <w:shd w:val="clear" w:color="auto" w:fill="92D050"/>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tc>
        <w:tc>
          <w:tcPr>
            <w:tcW w:w="720" w:type="dxa"/>
            <w:shd w:val="clear" w:color="auto" w:fill="92D050"/>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tc>
        <w:tc>
          <w:tcPr>
            <w:tcW w:w="900" w:type="dxa"/>
            <w:shd w:val="clear" w:color="auto" w:fill="92D050"/>
          </w:tcPr>
          <w:p w:rsidR="00E21D81" w:rsidRPr="00AD4776" w:rsidRDefault="00E21D81" w:rsidP="00032B09">
            <w:pPr>
              <w:autoSpaceDE w:val="0"/>
              <w:autoSpaceDN w:val="0"/>
              <w:adjustRightInd w:val="0"/>
              <w:spacing w:after="0" w:line="240" w:lineRule="auto"/>
              <w:jc w:val="center"/>
              <w:rPr>
                <w:rFonts w:ascii="Times New Roman" w:eastAsia="TimesNewRoman" w:hAnsi="Times New Roman"/>
                <w:color w:val="000000"/>
                <w:sz w:val="16"/>
                <w:szCs w:val="16"/>
              </w:rPr>
            </w:pPr>
          </w:p>
        </w:tc>
      </w:tr>
    </w:tbl>
    <w:p w:rsidR="00E21D81" w:rsidRDefault="00E21D81" w:rsidP="00E21D81">
      <w:pPr>
        <w:autoSpaceDE w:val="0"/>
        <w:autoSpaceDN w:val="0"/>
        <w:adjustRightInd w:val="0"/>
        <w:spacing w:after="120" w:line="240" w:lineRule="auto"/>
        <w:jc w:val="both"/>
        <w:rPr>
          <w:rFonts w:ascii="Times New Roman" w:eastAsia="TimesNewRoman" w:hAnsi="Times New Roman"/>
          <w:color w:val="000000"/>
          <w:sz w:val="24"/>
          <w:szCs w:val="24"/>
        </w:rPr>
      </w:pPr>
      <w:r w:rsidRPr="00F16DD0">
        <w:rPr>
          <w:rFonts w:ascii="Times New Roman" w:eastAsia="TimesNewRoman" w:hAnsi="Times New Roman"/>
          <w:color w:val="000000"/>
          <w:sz w:val="24"/>
          <w:szCs w:val="24"/>
        </w:rPr>
        <w:t xml:space="preserve">Source: Own Data based on FGD participants’ view  </w:t>
      </w:r>
    </w:p>
    <w:p w:rsidR="00D722AA" w:rsidRPr="00135A78" w:rsidRDefault="00D722AA" w:rsidP="00D722AA">
      <w:pPr>
        <w:tabs>
          <w:tab w:val="left" w:pos="758"/>
        </w:tabs>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The second indicator used to capture the economic vulnerability of households is food expenditure share (the share of total money spent on food items to total expenditure of a household in a month). Research shows that compared to a relatively rich or food secure households that spend a smaller proportion of their total expenditure on food, poor or more food insecure households expend a huge amount of their</w:t>
      </w:r>
      <w:r>
        <w:rPr>
          <w:rFonts w:ascii="Times New Roman" w:hAnsi="Times New Roman"/>
          <w:color w:val="000000"/>
          <w:sz w:val="24"/>
          <w:szCs w:val="24"/>
        </w:rPr>
        <w:t xml:space="preserve"> money on food items </w:t>
      </w:r>
      <w:r w:rsidR="005040DE">
        <w:rPr>
          <w:rFonts w:ascii="Times New Roman" w:hAnsi="Times New Roman"/>
          <w:color w:val="000000"/>
          <w:sz w:val="24"/>
          <w:szCs w:val="24"/>
        </w:rPr>
        <w:t xml:space="preserve">[3]. </w:t>
      </w:r>
      <w:r w:rsidRPr="00135A78">
        <w:rPr>
          <w:rFonts w:ascii="Times New Roman" w:hAnsi="Times New Roman"/>
          <w:color w:val="000000"/>
          <w:sz w:val="24"/>
          <w:szCs w:val="24"/>
        </w:rPr>
        <w:t xml:space="preserve">Therefore, the higher proportion of total expenditure on food implies that the household is more economically vulnerable to food insecurity </w:t>
      </w:r>
      <w:r w:rsidR="005040DE">
        <w:rPr>
          <w:rFonts w:ascii="Times New Roman" w:hAnsi="Times New Roman"/>
          <w:color w:val="000000"/>
          <w:sz w:val="24"/>
          <w:szCs w:val="24"/>
        </w:rPr>
        <w:t xml:space="preserve">[3]. </w:t>
      </w:r>
    </w:p>
    <w:p w:rsidR="00D722AA" w:rsidRPr="00135A78" w:rsidRDefault="00D722AA" w:rsidP="00D722AA">
      <w:pPr>
        <w:tabs>
          <w:tab w:val="left" w:pos="758"/>
        </w:tabs>
        <w:spacing w:line="360" w:lineRule="auto"/>
        <w:jc w:val="both"/>
        <w:rPr>
          <w:rFonts w:ascii="Times New Roman" w:hAnsi="Times New Roman"/>
          <w:color w:val="000000"/>
          <w:sz w:val="24"/>
          <w:szCs w:val="24"/>
        </w:rPr>
      </w:pPr>
      <w:r w:rsidRPr="00135A78">
        <w:rPr>
          <w:rFonts w:ascii="Times New Roman" w:hAnsi="Times New Roman"/>
          <w:color w:val="000000"/>
          <w:sz w:val="24"/>
          <w:szCs w:val="24"/>
        </w:rPr>
        <w:t xml:space="preserve">Households were asked to specify the total amount of money they spent (both in cash and credit) on various food and non-food items in the past 30 days and 6 months (long-term expenditure), respectively. Based on the data, we created monthly food expenditure variable for each household by summing together the total food expenditure for the 30 days. Likewise, we created a variable called ‘non-food expenditure 1’ by adding together the money spent by households on non-food items in the past 30 days. We also created a third variable called ‘non-food expenditure 2’ by adding together all long-term (6 months) </w:t>
      </w:r>
      <w:r w:rsidR="00807E1F" w:rsidRPr="00135A78">
        <w:rPr>
          <w:rFonts w:ascii="Times New Roman" w:hAnsi="Times New Roman"/>
          <w:color w:val="000000"/>
          <w:sz w:val="24"/>
          <w:szCs w:val="24"/>
        </w:rPr>
        <w:t>nonfood</w:t>
      </w:r>
      <w:r w:rsidRPr="00135A78">
        <w:rPr>
          <w:rFonts w:ascii="Times New Roman" w:hAnsi="Times New Roman"/>
          <w:color w:val="000000"/>
          <w:sz w:val="24"/>
          <w:szCs w:val="24"/>
        </w:rPr>
        <w:t xml:space="preserve"> expenditure and dividing it by 6 to get monthly expenditure. Finally, we calculated food expenditure share by dividing monthly food expenditure by the total of monthly food expenditure, non-food monthly expenditure 1, and non-food monthly expenditure 2. Mathematically, the following formula was used:</w:t>
      </w:r>
    </w:p>
    <w:p w:rsidR="00D722AA" w:rsidRPr="00D722AA" w:rsidRDefault="00D722AA" w:rsidP="00D722AA">
      <w:pPr>
        <w:autoSpaceDE w:val="0"/>
        <w:autoSpaceDN w:val="0"/>
        <w:adjustRightInd w:val="0"/>
        <w:spacing w:after="0" w:line="240" w:lineRule="auto"/>
        <w:jc w:val="center"/>
        <w:rPr>
          <w:rFonts w:ascii="Times New Roman" w:hAnsi="Times New Roman"/>
          <w:color w:val="000000"/>
          <w:sz w:val="20"/>
          <w:szCs w:val="20"/>
        </w:rPr>
      </w:pPr>
      <m:oMathPara>
        <m:oMath>
          <m:r>
            <w:rPr>
              <w:rFonts w:ascii="Cambria Math" w:hAnsi="Cambria Math"/>
              <w:sz w:val="20"/>
              <w:szCs w:val="20"/>
            </w:rPr>
            <m:t>Food</m:t>
          </m:r>
          <m:r>
            <w:rPr>
              <w:rFonts w:ascii="Cambria Math" w:hAnsi="Times New Roman"/>
              <w:sz w:val="20"/>
              <w:szCs w:val="20"/>
            </w:rPr>
            <m:t xml:space="preserve"> </m:t>
          </m:r>
          <m:r>
            <w:rPr>
              <w:rFonts w:ascii="Cambria Math" w:hAnsi="Cambria Math"/>
              <w:sz w:val="20"/>
              <w:szCs w:val="20"/>
            </w:rPr>
            <m:t>expenditure</m:t>
          </m:r>
          <m:r>
            <w:rPr>
              <w:rFonts w:ascii="Cambria Math" w:hAnsi="Times New Roman"/>
              <w:sz w:val="20"/>
              <w:szCs w:val="20"/>
            </w:rPr>
            <m:t xml:space="preserve"> </m:t>
          </m:r>
          <m:r>
            <w:rPr>
              <w:rFonts w:ascii="Cambria Math" w:hAnsi="Cambria Math"/>
              <w:sz w:val="20"/>
              <w:szCs w:val="20"/>
            </w:rPr>
            <m:t>s</m:t>
          </m:r>
          <m:r>
            <w:rPr>
              <w:rFonts w:ascii="Times New Roman" w:hAnsi="Cambria Math"/>
              <w:sz w:val="20"/>
              <w:szCs w:val="20"/>
            </w:rPr>
            <m:t>h</m:t>
          </m:r>
          <m:r>
            <w:rPr>
              <w:rFonts w:ascii="Cambria Math" w:hAnsi="Cambria Math"/>
              <w:sz w:val="20"/>
              <w:szCs w:val="20"/>
            </w:rPr>
            <m:t>are</m:t>
          </m:r>
          <m:r>
            <w:rPr>
              <w:rFonts w:ascii="Cambria Math" w:hAnsi="Times New Roman"/>
              <w:sz w:val="20"/>
              <w:szCs w:val="20"/>
            </w:rPr>
            <m:t xml:space="preserve"> </m:t>
          </m:r>
          <m:r>
            <m:rPr>
              <m:sty m:val="p"/>
            </m:rP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 xml:space="preserve">Monthly Food Expenditure </m:t>
              </m:r>
            </m:num>
            <m:den>
              <m:r>
                <m:rPr>
                  <m:sty m:val="p"/>
                </m:rPr>
                <w:rPr>
                  <w:rFonts w:ascii="Cambria Math" w:hAnsi="Times New Roman"/>
                  <w:sz w:val="20"/>
                  <w:szCs w:val="20"/>
                </w:rPr>
                <m:t>Monthly food expenditure + non</m:t>
              </m:r>
              <m:r>
                <m:rPr>
                  <m:sty m:val="p"/>
                </m:rPr>
                <w:rPr>
                  <w:rFonts w:ascii="Cambria Math" w:hAnsi="Times New Roman"/>
                  <w:sz w:val="20"/>
                  <w:szCs w:val="20"/>
                </w:rPr>
                <m:t>-</m:t>
              </m:r>
              <m:r>
                <m:rPr>
                  <m:sty m:val="p"/>
                </m:rPr>
                <w:rPr>
                  <w:rFonts w:ascii="Cambria Math" w:hAnsi="Times New Roman"/>
                  <w:sz w:val="20"/>
                  <w:szCs w:val="20"/>
                </w:rPr>
                <m:t>food monthly expenditure 1 + non</m:t>
              </m:r>
              <m:r>
                <m:rPr>
                  <m:sty m:val="p"/>
                </m:rPr>
                <w:rPr>
                  <w:rFonts w:ascii="Cambria Math" w:hAnsi="Times New Roman"/>
                  <w:sz w:val="20"/>
                  <w:szCs w:val="20"/>
                </w:rPr>
                <m:t>-</m:t>
              </m:r>
              <m:r>
                <m:rPr>
                  <m:sty m:val="p"/>
                </m:rPr>
                <w:rPr>
                  <w:rFonts w:ascii="Cambria Math" w:hAnsi="Times New Roman"/>
                  <w:sz w:val="20"/>
                  <w:szCs w:val="20"/>
                </w:rPr>
                <m:t xml:space="preserve">food monthly expenditure 2 </m:t>
              </m:r>
            </m:den>
          </m:f>
        </m:oMath>
      </m:oMathPara>
    </w:p>
    <w:p w:rsidR="00D722AA" w:rsidRDefault="00D722AA" w:rsidP="00D722AA">
      <w:pPr>
        <w:autoSpaceDE w:val="0"/>
        <w:autoSpaceDN w:val="0"/>
        <w:adjustRightInd w:val="0"/>
        <w:spacing w:after="60" w:line="360" w:lineRule="auto"/>
        <w:jc w:val="both"/>
        <w:rPr>
          <w:rFonts w:ascii="Times New Roman" w:hAnsi="Times New Roman"/>
          <w:color w:val="000000"/>
          <w:sz w:val="24"/>
          <w:szCs w:val="24"/>
        </w:rPr>
      </w:pPr>
      <w:r w:rsidRPr="00135A78">
        <w:rPr>
          <w:rFonts w:ascii="Times New Roman" w:hAnsi="Times New Roman"/>
          <w:color w:val="000000"/>
          <w:sz w:val="24"/>
          <w:szCs w:val="24"/>
        </w:rPr>
        <w:t>To understand the status and prevalence of food security, we converted the ‘</w:t>
      </w:r>
      <w:r w:rsidRPr="00135A78">
        <w:rPr>
          <w:rFonts w:ascii="Times New Roman" w:hAnsi="Times New Roman"/>
          <w:bCs/>
          <w:color w:val="000000"/>
          <w:sz w:val="24"/>
          <w:szCs w:val="24"/>
        </w:rPr>
        <w:t>food expenditure share’</w:t>
      </w:r>
      <w:r w:rsidRPr="00135A78">
        <w:rPr>
          <w:rFonts w:ascii="Times New Roman" w:hAnsi="Times New Roman"/>
          <w:b/>
          <w:bCs/>
          <w:color w:val="000000"/>
          <w:sz w:val="24"/>
          <w:szCs w:val="24"/>
        </w:rPr>
        <w:t xml:space="preserve"> </w:t>
      </w:r>
      <w:r w:rsidRPr="00135A78">
        <w:rPr>
          <w:rFonts w:ascii="Times New Roman" w:hAnsi="Times New Roman"/>
          <w:color w:val="000000"/>
          <w:sz w:val="24"/>
          <w:szCs w:val="24"/>
        </w:rPr>
        <w:t xml:space="preserve">indicator to the 4-point categorical scale, based on the cut off points proposed by the </w:t>
      </w:r>
      <w:r w:rsidR="006C0CCE">
        <w:rPr>
          <w:rFonts w:ascii="Times New Roman" w:hAnsi="Times New Roman"/>
          <w:color w:val="000000"/>
          <w:sz w:val="24"/>
          <w:szCs w:val="24"/>
        </w:rPr>
        <w:t>[3].</w:t>
      </w:r>
      <w:r w:rsidRPr="00135A78">
        <w:rPr>
          <w:rFonts w:ascii="Times New Roman" w:hAnsi="Times New Roman"/>
          <w:color w:val="000000"/>
          <w:sz w:val="24"/>
          <w:szCs w:val="24"/>
        </w:rPr>
        <w:t xml:space="preserve"> And so, households with food expenditure share &lt; 50% of the total expenditure were categorized as food secure (1), with food expenditure between 50% and 65% as mildly food insecure (2), with food expenditure &gt;65% but &lt;75% as moderately food insecure (3), and those with food expenditure &gt;=75% as severely food insecure (4).   </w:t>
      </w: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p w:rsidR="006334A3" w:rsidRPr="00725C50" w:rsidRDefault="006334A3" w:rsidP="006334A3">
      <w:pPr>
        <w:pStyle w:val="ListParagraph"/>
        <w:spacing w:line="360" w:lineRule="auto"/>
        <w:ind w:left="90" w:hanging="90"/>
        <w:rPr>
          <w:rFonts w:ascii="Times New Roman" w:hAnsi="Times New Roman"/>
          <w:sz w:val="24"/>
          <w:szCs w:val="24"/>
        </w:rPr>
      </w:pPr>
      <w:r w:rsidRPr="00725C50">
        <w:rPr>
          <w:rFonts w:ascii="Times New Roman" w:hAnsi="Times New Roman"/>
          <w:sz w:val="24"/>
          <w:szCs w:val="24"/>
        </w:rPr>
        <w:t xml:space="preserve">References </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Mathiassen</w:t>
      </w:r>
      <w:proofErr w:type="spellEnd"/>
      <w:r w:rsidRPr="00725C50">
        <w:rPr>
          <w:rFonts w:ascii="Times New Roman" w:hAnsi="Times New Roman"/>
          <w:sz w:val="24"/>
          <w:szCs w:val="24"/>
          <w:shd w:val="clear" w:color="auto" w:fill="FFFFFF"/>
        </w:rPr>
        <w:t xml:space="preserve"> A., Miller D., </w:t>
      </w:r>
      <w:proofErr w:type="spellStart"/>
      <w:r w:rsidRPr="00725C50">
        <w:rPr>
          <w:rFonts w:ascii="Times New Roman" w:hAnsi="Times New Roman"/>
          <w:sz w:val="24"/>
          <w:szCs w:val="24"/>
          <w:shd w:val="clear" w:color="auto" w:fill="FFFFFF"/>
        </w:rPr>
        <w:t>Twose</w:t>
      </w:r>
      <w:proofErr w:type="spellEnd"/>
      <w:r w:rsidRPr="00725C50">
        <w:rPr>
          <w:rFonts w:ascii="Times New Roman" w:hAnsi="Times New Roman"/>
          <w:sz w:val="24"/>
          <w:szCs w:val="24"/>
          <w:shd w:val="clear" w:color="auto" w:fill="FFFFFF"/>
        </w:rPr>
        <w:t xml:space="preserve"> A. &amp; </w:t>
      </w:r>
      <w:proofErr w:type="spellStart"/>
      <w:r w:rsidRPr="00725C50">
        <w:rPr>
          <w:rFonts w:ascii="Times New Roman" w:hAnsi="Times New Roman"/>
          <w:sz w:val="24"/>
          <w:szCs w:val="24"/>
          <w:shd w:val="clear" w:color="auto" w:fill="FFFFFF"/>
        </w:rPr>
        <w:t>Wadhwa</w:t>
      </w:r>
      <w:proofErr w:type="spellEnd"/>
      <w:r w:rsidRPr="00725C50">
        <w:rPr>
          <w:rFonts w:ascii="Times New Roman" w:hAnsi="Times New Roman"/>
          <w:sz w:val="24"/>
          <w:szCs w:val="24"/>
          <w:shd w:val="clear" w:color="auto" w:fill="FFFFFF"/>
        </w:rPr>
        <w:t xml:space="preserve"> A. Conducting Food Security Assessments using Household Expenditure Surveys (HES). 2017.</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rPr>
        <w:t>Dercon</w:t>
      </w:r>
      <w:proofErr w:type="spellEnd"/>
      <w:r w:rsidRPr="00725C50">
        <w:rPr>
          <w:rFonts w:ascii="Times New Roman" w:hAnsi="Times New Roman"/>
          <w:sz w:val="24"/>
          <w:szCs w:val="24"/>
        </w:rPr>
        <w:t xml:space="preserve"> S. &amp; Krishnan P. </w:t>
      </w:r>
      <w:r w:rsidRPr="00725C50">
        <w:rPr>
          <w:rFonts w:ascii="Times New Roman" w:hAnsi="Times New Roman"/>
          <w:sz w:val="24"/>
          <w:szCs w:val="24"/>
          <w:shd w:val="clear" w:color="auto" w:fill="FFFFFF"/>
        </w:rPr>
        <w:t xml:space="preserve">Changes in Poverty in Rural Ethiopia 1988–1995: Measurement, Robustness, Test and Decomposition. UK: University of Oxford, </w:t>
      </w:r>
      <w:proofErr w:type="spellStart"/>
      <w:r w:rsidRPr="00725C50">
        <w:rPr>
          <w:rFonts w:ascii="Times New Roman" w:hAnsi="Times New Roman"/>
          <w:sz w:val="24"/>
          <w:szCs w:val="24"/>
          <w:shd w:val="clear" w:color="auto" w:fill="FFFFFF"/>
        </w:rPr>
        <w:t>Center</w:t>
      </w:r>
      <w:proofErr w:type="spellEnd"/>
      <w:r w:rsidRPr="00725C50">
        <w:rPr>
          <w:rFonts w:ascii="Times New Roman" w:hAnsi="Times New Roman"/>
          <w:sz w:val="24"/>
          <w:szCs w:val="24"/>
          <w:shd w:val="clear" w:color="auto" w:fill="FFFFFF"/>
        </w:rPr>
        <w:t xml:space="preserve"> for the Study of African Economies, Institute of Economics and Statistics; 1998.</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sz w:val="24"/>
          <w:szCs w:val="24"/>
          <w:shd w:val="clear" w:color="auto" w:fill="FFFFFF"/>
        </w:rPr>
        <w:t xml:space="preserve"> World Food Program. Consolidated Approach to Reporting Indicators of Food Security (CARI): Food security analysis (VAM). 2015.</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Nanama</w:t>
      </w:r>
      <w:proofErr w:type="spellEnd"/>
      <w:r w:rsidRPr="00725C50">
        <w:rPr>
          <w:rFonts w:ascii="Times New Roman" w:hAnsi="Times New Roman"/>
          <w:sz w:val="24"/>
          <w:szCs w:val="24"/>
          <w:shd w:val="clear" w:color="auto" w:fill="FFFFFF"/>
        </w:rPr>
        <w:t xml:space="preserve"> S. &amp; </w:t>
      </w:r>
      <w:proofErr w:type="spellStart"/>
      <w:r w:rsidRPr="00725C50">
        <w:rPr>
          <w:rFonts w:ascii="Times New Roman" w:hAnsi="Times New Roman"/>
          <w:sz w:val="24"/>
          <w:szCs w:val="24"/>
          <w:shd w:val="clear" w:color="auto" w:fill="FFFFFF"/>
        </w:rPr>
        <w:t>Souli</w:t>
      </w:r>
      <w:proofErr w:type="spellEnd"/>
      <w:r w:rsidRPr="00725C50">
        <w:rPr>
          <w:rFonts w:ascii="Times New Roman" w:hAnsi="Times New Roman"/>
          <w:sz w:val="24"/>
          <w:szCs w:val="24"/>
          <w:shd w:val="clear" w:color="auto" w:fill="FFFFFF"/>
        </w:rPr>
        <w:t xml:space="preserve"> K. Two Methods for Measuring Household Food Security and Vulnerability-Evidence from the </w:t>
      </w:r>
      <w:proofErr w:type="spellStart"/>
      <w:r w:rsidRPr="00725C50">
        <w:rPr>
          <w:rFonts w:ascii="Times New Roman" w:hAnsi="Times New Roman"/>
          <w:sz w:val="24"/>
          <w:szCs w:val="24"/>
          <w:shd w:val="clear" w:color="auto" w:fill="FFFFFF"/>
        </w:rPr>
        <w:t>Zondoma</w:t>
      </w:r>
      <w:proofErr w:type="spellEnd"/>
      <w:r w:rsidRPr="00725C50">
        <w:rPr>
          <w:rFonts w:ascii="Times New Roman" w:hAnsi="Times New Roman"/>
          <w:sz w:val="24"/>
          <w:szCs w:val="24"/>
          <w:shd w:val="clear" w:color="auto" w:fill="FFFFFF"/>
        </w:rPr>
        <w:t xml:space="preserve"> Food Security Initiative, Burkina Faso. 2007.</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color w:val="37393C"/>
          <w:sz w:val="24"/>
          <w:szCs w:val="24"/>
          <w:shd w:val="clear" w:color="auto" w:fill="FFFFFF"/>
        </w:rPr>
        <w:t xml:space="preserve"> </w:t>
      </w:r>
      <w:proofErr w:type="spellStart"/>
      <w:r w:rsidRPr="00725C50">
        <w:rPr>
          <w:rFonts w:ascii="Times New Roman" w:hAnsi="Times New Roman"/>
          <w:sz w:val="24"/>
          <w:szCs w:val="24"/>
          <w:shd w:val="clear" w:color="auto" w:fill="FFFFFF"/>
        </w:rPr>
        <w:t>Bilinsky</w:t>
      </w:r>
      <w:proofErr w:type="spellEnd"/>
      <w:r w:rsidRPr="00725C50">
        <w:rPr>
          <w:rFonts w:ascii="Times New Roman" w:hAnsi="Times New Roman"/>
          <w:sz w:val="24"/>
          <w:szCs w:val="24"/>
          <w:shd w:val="clear" w:color="auto" w:fill="FFFFFF"/>
        </w:rPr>
        <w:t xml:space="preserve"> P. &amp; </w:t>
      </w:r>
      <w:proofErr w:type="spellStart"/>
      <w:r w:rsidRPr="00725C50">
        <w:rPr>
          <w:rFonts w:ascii="Times New Roman" w:hAnsi="Times New Roman"/>
          <w:sz w:val="24"/>
          <w:szCs w:val="24"/>
          <w:shd w:val="clear" w:color="auto" w:fill="FFFFFF"/>
        </w:rPr>
        <w:t>Swindale</w:t>
      </w:r>
      <w:proofErr w:type="spellEnd"/>
      <w:r w:rsidRPr="00725C50">
        <w:rPr>
          <w:rFonts w:ascii="Times New Roman" w:hAnsi="Times New Roman"/>
          <w:sz w:val="24"/>
          <w:szCs w:val="24"/>
          <w:shd w:val="clear" w:color="auto" w:fill="FFFFFF"/>
        </w:rPr>
        <w:t xml:space="preserve"> A. Months of Adequate Household Food Provisioning (MAHFP) for Measurement of Household Food Access: Indicator Guide, version 4. Washington D.C.: Food and Nutrition Technical Assistance. 2010. </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Getachew</w:t>
      </w:r>
      <w:proofErr w:type="spellEnd"/>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Teferi</w:t>
      </w:r>
      <w:proofErr w:type="spellEnd"/>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Degefa</w:t>
      </w:r>
      <w:proofErr w:type="spellEnd"/>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Tolossa</w:t>
      </w:r>
      <w:proofErr w:type="spellEnd"/>
      <w:r w:rsidRPr="00725C50">
        <w:rPr>
          <w:rFonts w:ascii="Times New Roman" w:hAnsi="Times New Roman"/>
          <w:sz w:val="24"/>
          <w:szCs w:val="24"/>
          <w:shd w:val="clear" w:color="auto" w:fill="FFFFFF"/>
        </w:rPr>
        <w:t xml:space="preserve">, &amp; </w:t>
      </w:r>
      <w:proofErr w:type="spellStart"/>
      <w:r w:rsidRPr="00725C50">
        <w:rPr>
          <w:rFonts w:ascii="Times New Roman" w:hAnsi="Times New Roman"/>
          <w:sz w:val="24"/>
          <w:szCs w:val="24"/>
          <w:shd w:val="clear" w:color="auto" w:fill="FFFFFF"/>
        </w:rPr>
        <w:t>Negussie</w:t>
      </w:r>
      <w:proofErr w:type="spellEnd"/>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Semie</w:t>
      </w:r>
      <w:proofErr w:type="spellEnd"/>
      <w:r w:rsidRPr="00725C50">
        <w:rPr>
          <w:rFonts w:ascii="Times New Roman" w:hAnsi="Times New Roman"/>
          <w:sz w:val="24"/>
          <w:szCs w:val="24"/>
          <w:shd w:val="clear" w:color="auto" w:fill="FFFFFF"/>
        </w:rPr>
        <w:t xml:space="preserve">. Food insecurity of rural households in </w:t>
      </w:r>
      <w:proofErr w:type="spellStart"/>
      <w:r w:rsidRPr="00725C50">
        <w:rPr>
          <w:rFonts w:ascii="Times New Roman" w:hAnsi="Times New Roman"/>
          <w:sz w:val="24"/>
          <w:szCs w:val="24"/>
          <w:shd w:val="clear" w:color="auto" w:fill="FFFFFF"/>
        </w:rPr>
        <w:t>Boset</w:t>
      </w:r>
      <w:proofErr w:type="spellEnd"/>
      <w:r w:rsidRPr="00725C50">
        <w:rPr>
          <w:rFonts w:ascii="Times New Roman" w:hAnsi="Times New Roman"/>
          <w:sz w:val="24"/>
          <w:szCs w:val="24"/>
          <w:shd w:val="clear" w:color="auto" w:fill="FFFFFF"/>
        </w:rPr>
        <w:t xml:space="preserve"> district of Ethiopia: a suite of indicators analysis. </w:t>
      </w:r>
      <w:proofErr w:type="spellStart"/>
      <w:r w:rsidRPr="00725C50">
        <w:rPr>
          <w:rFonts w:ascii="Times New Roman" w:hAnsi="Times New Roman"/>
          <w:sz w:val="24"/>
          <w:szCs w:val="24"/>
          <w:shd w:val="clear" w:color="auto" w:fill="FFFFFF"/>
        </w:rPr>
        <w:t>Agric</w:t>
      </w:r>
      <w:proofErr w:type="spellEnd"/>
      <w:r w:rsidRPr="00725C50">
        <w:rPr>
          <w:rFonts w:ascii="Times New Roman" w:hAnsi="Times New Roman"/>
          <w:sz w:val="24"/>
          <w:szCs w:val="24"/>
          <w:shd w:val="clear" w:color="auto" w:fill="FFFFFF"/>
        </w:rPr>
        <w:t xml:space="preserve"> &amp; Food </w:t>
      </w:r>
      <w:proofErr w:type="spellStart"/>
      <w:r w:rsidRPr="00725C50">
        <w:rPr>
          <w:rFonts w:ascii="Times New Roman" w:hAnsi="Times New Roman"/>
          <w:sz w:val="24"/>
          <w:szCs w:val="24"/>
          <w:shd w:val="clear" w:color="auto" w:fill="FFFFFF"/>
        </w:rPr>
        <w:t>Secur</w:t>
      </w:r>
      <w:proofErr w:type="spellEnd"/>
      <w:r w:rsidRPr="00725C50">
        <w:rPr>
          <w:rFonts w:ascii="Times New Roman" w:hAnsi="Times New Roman"/>
          <w:sz w:val="24"/>
          <w:szCs w:val="24"/>
          <w:shd w:val="clear" w:color="auto" w:fill="FFFFFF"/>
        </w:rPr>
        <w:t>. 2018</w:t>
      </w:r>
      <w:proofErr w:type="gramStart"/>
      <w:r w:rsidRPr="00725C50">
        <w:rPr>
          <w:rFonts w:ascii="Times New Roman" w:hAnsi="Times New Roman"/>
          <w:sz w:val="24"/>
          <w:szCs w:val="24"/>
          <w:shd w:val="clear" w:color="auto" w:fill="FFFFFF"/>
        </w:rPr>
        <w:t>;7</w:t>
      </w:r>
      <w:proofErr w:type="gramEnd"/>
      <w:r w:rsidRPr="00725C50">
        <w:rPr>
          <w:rFonts w:ascii="Times New Roman" w:hAnsi="Times New Roman"/>
          <w:sz w:val="24"/>
          <w:szCs w:val="24"/>
          <w:shd w:val="clear" w:color="auto" w:fill="FFFFFF"/>
        </w:rPr>
        <w:t xml:space="preserve">(65):1–26. </w:t>
      </w:r>
      <w:hyperlink r:id="rId5" w:history="1">
        <w:r w:rsidRPr="00725C50">
          <w:rPr>
            <w:rStyle w:val="Hyperlink"/>
            <w:rFonts w:ascii="Times New Roman" w:hAnsi="Times New Roman"/>
            <w:sz w:val="24"/>
            <w:szCs w:val="24"/>
            <w:shd w:val="clear" w:color="auto" w:fill="FFFFFF"/>
          </w:rPr>
          <w:t>https://doi.org/10.1186/s40066-018-0217-x</w:t>
        </w:r>
      </w:hyperlink>
      <w:r w:rsidRPr="00725C50">
        <w:rPr>
          <w:rFonts w:ascii="Times New Roman" w:hAnsi="Times New Roman"/>
          <w:color w:val="333333"/>
          <w:sz w:val="24"/>
          <w:szCs w:val="24"/>
          <w:shd w:val="clear" w:color="auto" w:fill="FFFFFF"/>
        </w:rPr>
        <w:t>.</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color w:val="333333"/>
          <w:sz w:val="24"/>
          <w:szCs w:val="24"/>
          <w:shd w:val="clear" w:color="auto" w:fill="FFFFFF"/>
        </w:rPr>
        <w:t xml:space="preserve"> </w:t>
      </w:r>
      <w:r w:rsidRPr="00725C50">
        <w:rPr>
          <w:rFonts w:ascii="Times New Roman" w:hAnsi="Times New Roman"/>
          <w:sz w:val="24"/>
          <w:szCs w:val="24"/>
          <w:shd w:val="clear" w:color="auto" w:fill="FFFFFF"/>
        </w:rPr>
        <w:t xml:space="preserve">Coates J., </w:t>
      </w:r>
      <w:proofErr w:type="spellStart"/>
      <w:r w:rsidRPr="00725C50">
        <w:rPr>
          <w:rFonts w:ascii="Times New Roman" w:hAnsi="Times New Roman"/>
          <w:sz w:val="24"/>
          <w:szCs w:val="24"/>
          <w:shd w:val="clear" w:color="auto" w:fill="FFFFFF"/>
        </w:rPr>
        <w:t>Swindale</w:t>
      </w:r>
      <w:proofErr w:type="spellEnd"/>
      <w:r w:rsidRPr="00725C50">
        <w:rPr>
          <w:rFonts w:ascii="Times New Roman" w:hAnsi="Times New Roman"/>
          <w:sz w:val="24"/>
          <w:szCs w:val="24"/>
          <w:shd w:val="clear" w:color="auto" w:fill="FFFFFF"/>
        </w:rPr>
        <w:t xml:space="preserve"> A. &amp; </w:t>
      </w:r>
      <w:proofErr w:type="spellStart"/>
      <w:r w:rsidRPr="00725C50">
        <w:rPr>
          <w:rFonts w:ascii="Times New Roman" w:hAnsi="Times New Roman"/>
          <w:sz w:val="24"/>
          <w:szCs w:val="24"/>
          <w:shd w:val="clear" w:color="auto" w:fill="FFFFFF"/>
        </w:rPr>
        <w:t>Bilinsky</w:t>
      </w:r>
      <w:proofErr w:type="spellEnd"/>
      <w:r w:rsidRPr="00725C50">
        <w:rPr>
          <w:rFonts w:ascii="Times New Roman" w:hAnsi="Times New Roman"/>
          <w:sz w:val="24"/>
          <w:szCs w:val="24"/>
          <w:shd w:val="clear" w:color="auto" w:fill="FFFFFF"/>
        </w:rPr>
        <w:t>, P. Household Food Insecurity Access Scale (HFIAS) for Measurement of Food Access: Indicator Guide (3). Washington D.C.: Food and Nutrition Technical Assistance Project (FANTA); 2007.</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Maes</w:t>
      </w:r>
      <w:proofErr w:type="spellEnd"/>
      <w:r w:rsidRPr="00725C50">
        <w:rPr>
          <w:rFonts w:ascii="Times New Roman" w:hAnsi="Times New Roman"/>
          <w:sz w:val="24"/>
          <w:szCs w:val="24"/>
          <w:shd w:val="clear" w:color="auto" w:fill="FFFFFF"/>
        </w:rPr>
        <w:t xml:space="preserve"> K.C., Hadley C., </w:t>
      </w:r>
      <w:proofErr w:type="spellStart"/>
      <w:r w:rsidRPr="00725C50">
        <w:rPr>
          <w:rFonts w:ascii="Times New Roman" w:hAnsi="Times New Roman"/>
          <w:sz w:val="24"/>
          <w:szCs w:val="24"/>
          <w:shd w:val="clear" w:color="auto" w:fill="FFFFFF"/>
        </w:rPr>
        <w:t>Fikiru</w:t>
      </w:r>
      <w:proofErr w:type="spellEnd"/>
      <w:r w:rsidRPr="00725C50">
        <w:rPr>
          <w:rFonts w:ascii="Times New Roman" w:hAnsi="Times New Roman"/>
          <w:sz w:val="24"/>
          <w:szCs w:val="24"/>
          <w:shd w:val="clear" w:color="auto" w:fill="FFFFFF"/>
        </w:rPr>
        <w:t xml:space="preserve"> T., </w:t>
      </w:r>
      <w:proofErr w:type="spellStart"/>
      <w:r w:rsidRPr="00725C50">
        <w:rPr>
          <w:rFonts w:ascii="Times New Roman" w:hAnsi="Times New Roman"/>
          <w:sz w:val="24"/>
          <w:szCs w:val="24"/>
          <w:shd w:val="clear" w:color="auto" w:fill="FFFFFF"/>
        </w:rPr>
        <w:t>Selamawit</w:t>
      </w:r>
      <w:proofErr w:type="spellEnd"/>
      <w:r w:rsidRPr="00725C50">
        <w:rPr>
          <w:rFonts w:ascii="Times New Roman" w:hAnsi="Times New Roman"/>
          <w:sz w:val="24"/>
          <w:szCs w:val="24"/>
          <w:shd w:val="clear" w:color="auto" w:fill="FFFFFF"/>
        </w:rPr>
        <w:t xml:space="preserve"> S., &amp; </w:t>
      </w:r>
      <w:proofErr w:type="spellStart"/>
      <w:r w:rsidRPr="00725C50">
        <w:rPr>
          <w:rFonts w:ascii="Times New Roman" w:hAnsi="Times New Roman"/>
          <w:sz w:val="24"/>
          <w:szCs w:val="24"/>
          <w:shd w:val="clear" w:color="auto" w:fill="FFFFFF"/>
        </w:rPr>
        <w:t>Yihenew</w:t>
      </w:r>
      <w:proofErr w:type="spellEnd"/>
      <w:r w:rsidRPr="00725C50">
        <w:rPr>
          <w:rFonts w:ascii="Times New Roman" w:hAnsi="Times New Roman"/>
          <w:sz w:val="24"/>
          <w:szCs w:val="24"/>
          <w:shd w:val="clear" w:color="auto" w:fill="FFFFFF"/>
        </w:rPr>
        <w:t xml:space="preserve"> AT. Food insecurity among volunteer AIDS caregivers in Addis Ababa, Ethiopia was highly prevalent but buffered from the 2008 food crisis. J </w:t>
      </w:r>
      <w:proofErr w:type="spellStart"/>
      <w:r w:rsidRPr="00725C50">
        <w:rPr>
          <w:rFonts w:ascii="Times New Roman" w:hAnsi="Times New Roman"/>
          <w:sz w:val="24"/>
          <w:szCs w:val="24"/>
          <w:shd w:val="clear" w:color="auto" w:fill="FFFFFF"/>
        </w:rPr>
        <w:t>Nutr</w:t>
      </w:r>
      <w:proofErr w:type="spellEnd"/>
      <w:r w:rsidRPr="00725C50">
        <w:rPr>
          <w:rFonts w:ascii="Times New Roman" w:hAnsi="Times New Roman"/>
          <w:sz w:val="24"/>
          <w:szCs w:val="24"/>
          <w:shd w:val="clear" w:color="auto" w:fill="FFFFFF"/>
        </w:rPr>
        <w:t xml:space="preserve">. 2009; 139(9):1758–64. </w:t>
      </w:r>
      <w:hyperlink r:id="rId6" w:tgtFrame="_blank" w:history="1">
        <w:r w:rsidRPr="00725C50">
          <w:rPr>
            <w:rStyle w:val="Hyperlink"/>
            <w:rFonts w:ascii="Times New Roman" w:hAnsi="Times New Roman"/>
            <w:color w:val="205493"/>
            <w:sz w:val="24"/>
            <w:szCs w:val="24"/>
          </w:rPr>
          <w:t>10.3945/jn.109.108548</w:t>
        </w:r>
      </w:hyperlink>
      <w:r w:rsidRPr="00725C50">
        <w:rPr>
          <w:rStyle w:val="identifier"/>
          <w:rFonts w:ascii="Times New Roman" w:hAnsi="Times New Roman"/>
          <w:color w:val="212121"/>
          <w:sz w:val="24"/>
          <w:szCs w:val="24"/>
        </w:rPr>
        <w:t xml:space="preserve">. </w:t>
      </w:r>
    </w:p>
    <w:p w:rsidR="006334A3" w:rsidRPr="00725C50" w:rsidRDefault="006334A3" w:rsidP="006334A3">
      <w:pPr>
        <w:pStyle w:val="ListParagraph"/>
        <w:numPr>
          <w:ilvl w:val="0"/>
          <w:numId w:val="2"/>
        </w:numPr>
        <w:tabs>
          <w:tab w:val="left" w:pos="450"/>
        </w:tabs>
        <w:spacing w:line="360" w:lineRule="auto"/>
        <w:ind w:left="540" w:hanging="270"/>
        <w:jc w:val="both"/>
        <w:rPr>
          <w:rFonts w:ascii="Times New Roman" w:hAnsi="Times New Roman"/>
          <w:sz w:val="24"/>
          <w:szCs w:val="24"/>
        </w:rPr>
      </w:pPr>
      <w:r w:rsidRPr="00725C50">
        <w:rPr>
          <w:rFonts w:ascii="Times New Roman" w:hAnsi="Times New Roman"/>
          <w:sz w:val="24"/>
          <w:szCs w:val="24"/>
        </w:rPr>
        <w:t xml:space="preserve"> </w:t>
      </w:r>
      <w:r w:rsidRPr="00725C50">
        <w:rPr>
          <w:rFonts w:ascii="Times New Roman" w:hAnsi="Times New Roman"/>
          <w:sz w:val="24"/>
          <w:szCs w:val="24"/>
          <w:shd w:val="clear" w:color="auto" w:fill="FFFFFF"/>
        </w:rPr>
        <w:t>Food and Agricultural Organization, United Nations (FAO). The State of Food and Agriculture 2006: Food Aid for Food Security? Rome, Italy: FAO; 2006.</w:t>
      </w:r>
    </w:p>
    <w:p w:rsidR="006334A3" w:rsidRPr="00725C50" w:rsidRDefault="006334A3" w:rsidP="006334A3">
      <w:pPr>
        <w:pStyle w:val="ListParagraph"/>
        <w:numPr>
          <w:ilvl w:val="0"/>
          <w:numId w:val="2"/>
        </w:numPr>
        <w:tabs>
          <w:tab w:val="left" w:pos="450"/>
          <w:tab w:val="left" w:pos="630"/>
        </w:tabs>
        <w:spacing w:line="360" w:lineRule="auto"/>
        <w:ind w:left="630"/>
        <w:jc w:val="both"/>
        <w:rPr>
          <w:rFonts w:ascii="Times New Roman" w:hAnsi="Times New Roman"/>
          <w:sz w:val="24"/>
          <w:szCs w:val="24"/>
        </w:rPr>
      </w:pPr>
      <w:proofErr w:type="spellStart"/>
      <w:r w:rsidRPr="00725C50">
        <w:rPr>
          <w:rFonts w:ascii="Times New Roman" w:hAnsi="Times New Roman"/>
          <w:sz w:val="24"/>
          <w:szCs w:val="24"/>
          <w:shd w:val="clear" w:color="auto" w:fill="FFFFFF"/>
        </w:rPr>
        <w:t>Swindale</w:t>
      </w:r>
      <w:proofErr w:type="spellEnd"/>
      <w:r w:rsidRPr="00725C50">
        <w:rPr>
          <w:rFonts w:ascii="Times New Roman" w:hAnsi="Times New Roman"/>
          <w:sz w:val="24"/>
          <w:szCs w:val="24"/>
          <w:shd w:val="clear" w:color="auto" w:fill="FFFFFF"/>
        </w:rPr>
        <w:t xml:space="preserve"> A. &amp; </w:t>
      </w:r>
      <w:proofErr w:type="spellStart"/>
      <w:r w:rsidRPr="00725C50">
        <w:rPr>
          <w:rFonts w:ascii="Times New Roman" w:hAnsi="Times New Roman"/>
          <w:sz w:val="24"/>
          <w:szCs w:val="24"/>
          <w:shd w:val="clear" w:color="auto" w:fill="FFFFFF"/>
        </w:rPr>
        <w:t>Bilinsky</w:t>
      </w:r>
      <w:proofErr w:type="spellEnd"/>
      <w:r w:rsidRPr="00725C50">
        <w:rPr>
          <w:rFonts w:ascii="Times New Roman" w:hAnsi="Times New Roman"/>
          <w:sz w:val="24"/>
          <w:szCs w:val="24"/>
          <w:shd w:val="clear" w:color="auto" w:fill="FFFFFF"/>
        </w:rPr>
        <w:t xml:space="preserve"> P. Household Dietary Diversity Score (HDDS) for Measurement of Household Food Access: Indicator Guide. 2006.</w:t>
      </w:r>
    </w:p>
    <w:p w:rsidR="006334A3" w:rsidRPr="00725C50" w:rsidRDefault="006334A3" w:rsidP="006334A3">
      <w:pPr>
        <w:pStyle w:val="ListParagraph"/>
        <w:numPr>
          <w:ilvl w:val="0"/>
          <w:numId w:val="2"/>
        </w:numPr>
        <w:tabs>
          <w:tab w:val="left" w:pos="450"/>
          <w:tab w:val="left" w:pos="630"/>
        </w:tabs>
        <w:spacing w:line="360" w:lineRule="auto"/>
        <w:ind w:left="630"/>
        <w:jc w:val="both"/>
        <w:rPr>
          <w:rFonts w:ascii="Times New Roman" w:hAnsi="Times New Roman"/>
          <w:sz w:val="24"/>
          <w:szCs w:val="24"/>
        </w:rPr>
      </w:pPr>
      <w:r w:rsidRPr="00725C50">
        <w:rPr>
          <w:rFonts w:ascii="Times New Roman" w:hAnsi="Times New Roman"/>
          <w:sz w:val="24"/>
          <w:szCs w:val="24"/>
          <w:shd w:val="clear" w:color="auto" w:fill="FFFFFF"/>
        </w:rPr>
        <w:t xml:space="preserve">Faber M., </w:t>
      </w:r>
      <w:proofErr w:type="spellStart"/>
      <w:r w:rsidRPr="00725C50">
        <w:rPr>
          <w:rFonts w:ascii="Times New Roman" w:hAnsi="Times New Roman"/>
          <w:sz w:val="24"/>
          <w:szCs w:val="24"/>
          <w:shd w:val="clear" w:color="auto" w:fill="FFFFFF"/>
        </w:rPr>
        <w:t>Schwabe</w:t>
      </w:r>
      <w:proofErr w:type="spellEnd"/>
      <w:r w:rsidRPr="00725C50">
        <w:rPr>
          <w:rFonts w:ascii="Times New Roman" w:hAnsi="Times New Roman"/>
          <w:sz w:val="24"/>
          <w:szCs w:val="24"/>
          <w:shd w:val="clear" w:color="auto" w:fill="FFFFFF"/>
        </w:rPr>
        <w:t xml:space="preserve"> C., &amp; </w:t>
      </w:r>
      <w:proofErr w:type="spellStart"/>
      <w:r w:rsidRPr="00725C50">
        <w:rPr>
          <w:rFonts w:ascii="Times New Roman" w:hAnsi="Times New Roman"/>
          <w:sz w:val="24"/>
          <w:szCs w:val="24"/>
          <w:shd w:val="clear" w:color="auto" w:fill="FFFFFF"/>
        </w:rPr>
        <w:t>Drimie</w:t>
      </w:r>
      <w:proofErr w:type="spellEnd"/>
      <w:r w:rsidRPr="00725C50">
        <w:rPr>
          <w:rFonts w:ascii="Times New Roman" w:hAnsi="Times New Roman"/>
          <w:sz w:val="24"/>
          <w:szCs w:val="24"/>
          <w:shd w:val="clear" w:color="auto" w:fill="FFFFFF"/>
        </w:rPr>
        <w:t xml:space="preserve"> S. Dietary diversity in relation to other household food security indicators. </w:t>
      </w:r>
      <w:proofErr w:type="spellStart"/>
      <w:r w:rsidRPr="00725C50">
        <w:rPr>
          <w:rFonts w:ascii="Times New Roman" w:hAnsi="Times New Roman"/>
          <w:sz w:val="24"/>
          <w:szCs w:val="24"/>
          <w:shd w:val="clear" w:color="auto" w:fill="FFFFFF"/>
        </w:rPr>
        <w:t>Int</w:t>
      </w:r>
      <w:proofErr w:type="spellEnd"/>
      <w:r w:rsidRPr="00725C50">
        <w:rPr>
          <w:rFonts w:ascii="Times New Roman" w:hAnsi="Times New Roman"/>
          <w:sz w:val="24"/>
          <w:szCs w:val="24"/>
          <w:shd w:val="clear" w:color="auto" w:fill="FFFFFF"/>
        </w:rPr>
        <w:t xml:space="preserve"> J Food </w:t>
      </w:r>
      <w:proofErr w:type="spellStart"/>
      <w:r w:rsidRPr="00725C50">
        <w:rPr>
          <w:rFonts w:ascii="Times New Roman" w:hAnsi="Times New Roman"/>
          <w:sz w:val="24"/>
          <w:szCs w:val="24"/>
          <w:shd w:val="clear" w:color="auto" w:fill="FFFFFF"/>
        </w:rPr>
        <w:t>Saf</w:t>
      </w:r>
      <w:proofErr w:type="spellEnd"/>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Nutr</w:t>
      </w:r>
      <w:proofErr w:type="spellEnd"/>
      <w:r w:rsidRPr="00725C50">
        <w:rPr>
          <w:rFonts w:ascii="Times New Roman" w:hAnsi="Times New Roman"/>
          <w:sz w:val="24"/>
          <w:szCs w:val="24"/>
          <w:shd w:val="clear" w:color="auto" w:fill="FFFFFF"/>
        </w:rPr>
        <w:t xml:space="preserve"> Public Health. 2009; 2(1):1–15.</w:t>
      </w:r>
    </w:p>
    <w:p w:rsidR="006334A3" w:rsidRPr="00725C50" w:rsidRDefault="006334A3" w:rsidP="006334A3">
      <w:pPr>
        <w:pStyle w:val="ListParagraph"/>
        <w:numPr>
          <w:ilvl w:val="0"/>
          <w:numId w:val="2"/>
        </w:numPr>
        <w:tabs>
          <w:tab w:val="left" w:pos="450"/>
          <w:tab w:val="left" w:pos="630"/>
        </w:tabs>
        <w:spacing w:line="360" w:lineRule="auto"/>
        <w:ind w:left="630"/>
        <w:jc w:val="both"/>
        <w:rPr>
          <w:rFonts w:ascii="Times New Roman" w:hAnsi="Times New Roman"/>
          <w:sz w:val="24"/>
          <w:szCs w:val="24"/>
        </w:rPr>
      </w:pPr>
      <w:proofErr w:type="spellStart"/>
      <w:r w:rsidRPr="00725C50">
        <w:rPr>
          <w:rFonts w:ascii="Times New Roman" w:hAnsi="Times New Roman"/>
          <w:sz w:val="24"/>
          <w:szCs w:val="24"/>
          <w:shd w:val="clear" w:color="auto" w:fill="FFFFFF"/>
        </w:rPr>
        <w:t>Hoddinott</w:t>
      </w:r>
      <w:proofErr w:type="spellEnd"/>
      <w:r w:rsidRPr="00725C50">
        <w:rPr>
          <w:rFonts w:ascii="Times New Roman" w:hAnsi="Times New Roman"/>
          <w:sz w:val="24"/>
          <w:szCs w:val="24"/>
          <w:shd w:val="clear" w:color="auto" w:fill="FFFFFF"/>
        </w:rPr>
        <w:t xml:space="preserve"> J. &amp; </w:t>
      </w:r>
      <w:proofErr w:type="spellStart"/>
      <w:r w:rsidRPr="00725C50">
        <w:rPr>
          <w:rFonts w:ascii="Times New Roman" w:hAnsi="Times New Roman"/>
          <w:sz w:val="24"/>
          <w:szCs w:val="24"/>
          <w:shd w:val="clear" w:color="auto" w:fill="FFFFFF"/>
        </w:rPr>
        <w:t>Yohannes</w:t>
      </w:r>
      <w:proofErr w:type="spellEnd"/>
      <w:r w:rsidRPr="00725C50">
        <w:rPr>
          <w:rFonts w:ascii="Times New Roman" w:hAnsi="Times New Roman"/>
          <w:sz w:val="24"/>
          <w:szCs w:val="24"/>
          <w:shd w:val="clear" w:color="auto" w:fill="FFFFFF"/>
        </w:rPr>
        <w:t xml:space="preserve"> Y. Dietary Diversity as a Household Food Security Indicator. 2002.</w:t>
      </w:r>
    </w:p>
    <w:p w:rsidR="006334A3" w:rsidRPr="00725C50" w:rsidRDefault="006334A3" w:rsidP="006334A3">
      <w:pPr>
        <w:pStyle w:val="ListParagraph"/>
        <w:numPr>
          <w:ilvl w:val="0"/>
          <w:numId w:val="2"/>
        </w:numPr>
        <w:tabs>
          <w:tab w:val="left" w:pos="450"/>
          <w:tab w:val="left" w:pos="630"/>
        </w:tabs>
        <w:spacing w:line="360" w:lineRule="auto"/>
        <w:ind w:left="630"/>
        <w:jc w:val="both"/>
        <w:rPr>
          <w:rStyle w:val="identifier"/>
          <w:rFonts w:ascii="Times New Roman" w:hAnsi="Times New Roman"/>
          <w:sz w:val="24"/>
          <w:szCs w:val="24"/>
        </w:rPr>
      </w:pPr>
      <w:proofErr w:type="spellStart"/>
      <w:r w:rsidRPr="00725C50">
        <w:rPr>
          <w:rFonts w:ascii="Times New Roman" w:hAnsi="Times New Roman"/>
          <w:sz w:val="24"/>
          <w:szCs w:val="24"/>
          <w:shd w:val="clear" w:color="auto" w:fill="FFFFFF"/>
        </w:rPr>
        <w:t>Hatløy</w:t>
      </w:r>
      <w:proofErr w:type="spellEnd"/>
      <w:r w:rsidRPr="00725C50">
        <w:rPr>
          <w:rFonts w:ascii="Times New Roman" w:hAnsi="Times New Roman"/>
          <w:sz w:val="24"/>
          <w:szCs w:val="24"/>
          <w:shd w:val="clear" w:color="auto" w:fill="FFFFFF"/>
        </w:rPr>
        <w:t xml:space="preserve"> A., </w:t>
      </w:r>
      <w:proofErr w:type="spellStart"/>
      <w:r w:rsidRPr="00725C50">
        <w:rPr>
          <w:rFonts w:ascii="Times New Roman" w:hAnsi="Times New Roman"/>
          <w:sz w:val="24"/>
          <w:szCs w:val="24"/>
          <w:shd w:val="clear" w:color="auto" w:fill="FFFFFF"/>
        </w:rPr>
        <w:t>Torheim</w:t>
      </w:r>
      <w:proofErr w:type="spellEnd"/>
      <w:r w:rsidRPr="00725C50">
        <w:rPr>
          <w:rFonts w:ascii="Times New Roman" w:hAnsi="Times New Roman"/>
          <w:sz w:val="24"/>
          <w:szCs w:val="24"/>
          <w:shd w:val="clear" w:color="auto" w:fill="FFFFFF"/>
        </w:rPr>
        <w:t xml:space="preserve"> LE. &amp; </w:t>
      </w:r>
      <w:proofErr w:type="spellStart"/>
      <w:r w:rsidRPr="00725C50">
        <w:rPr>
          <w:rFonts w:ascii="Times New Roman" w:hAnsi="Times New Roman"/>
          <w:sz w:val="24"/>
          <w:szCs w:val="24"/>
          <w:shd w:val="clear" w:color="auto" w:fill="FFFFFF"/>
        </w:rPr>
        <w:t>Oshaug</w:t>
      </w:r>
      <w:proofErr w:type="spellEnd"/>
      <w:r w:rsidRPr="00725C50">
        <w:rPr>
          <w:rFonts w:ascii="Times New Roman" w:hAnsi="Times New Roman"/>
          <w:sz w:val="24"/>
          <w:szCs w:val="24"/>
          <w:shd w:val="clear" w:color="auto" w:fill="FFFFFF"/>
        </w:rPr>
        <w:t xml:space="preserve"> A. Food variety—a good indicator of nutritional adequacy of the diet? A case study from an urban area in Mali, West Africa. </w:t>
      </w:r>
      <w:proofErr w:type="spellStart"/>
      <w:r w:rsidRPr="00725C50">
        <w:rPr>
          <w:rFonts w:ascii="Times New Roman" w:hAnsi="Times New Roman"/>
          <w:sz w:val="24"/>
          <w:szCs w:val="24"/>
          <w:shd w:val="clear" w:color="auto" w:fill="FFFFFF"/>
        </w:rPr>
        <w:t>Eur</w:t>
      </w:r>
      <w:proofErr w:type="spellEnd"/>
      <w:r w:rsidRPr="00725C50">
        <w:rPr>
          <w:rFonts w:ascii="Times New Roman" w:hAnsi="Times New Roman"/>
          <w:sz w:val="24"/>
          <w:szCs w:val="24"/>
          <w:shd w:val="clear" w:color="auto" w:fill="FFFFFF"/>
        </w:rPr>
        <w:t xml:space="preserve"> J </w:t>
      </w:r>
      <w:proofErr w:type="spellStart"/>
      <w:r w:rsidRPr="00725C50">
        <w:rPr>
          <w:rFonts w:ascii="Times New Roman" w:hAnsi="Times New Roman"/>
          <w:sz w:val="24"/>
          <w:szCs w:val="24"/>
          <w:shd w:val="clear" w:color="auto" w:fill="FFFFFF"/>
        </w:rPr>
        <w:t>Clin</w:t>
      </w:r>
      <w:proofErr w:type="spellEnd"/>
      <w:r w:rsidRPr="00725C50">
        <w:rPr>
          <w:rFonts w:ascii="Times New Roman" w:hAnsi="Times New Roman"/>
          <w:sz w:val="24"/>
          <w:szCs w:val="24"/>
          <w:shd w:val="clear" w:color="auto" w:fill="FFFFFF"/>
        </w:rPr>
        <w:t xml:space="preserve"> </w:t>
      </w:r>
      <w:proofErr w:type="spellStart"/>
      <w:r w:rsidRPr="00725C50">
        <w:rPr>
          <w:rFonts w:ascii="Times New Roman" w:hAnsi="Times New Roman"/>
          <w:sz w:val="24"/>
          <w:szCs w:val="24"/>
          <w:shd w:val="clear" w:color="auto" w:fill="FFFFFF"/>
        </w:rPr>
        <w:t>Nutr</w:t>
      </w:r>
      <w:proofErr w:type="spellEnd"/>
      <w:r w:rsidRPr="00725C50">
        <w:rPr>
          <w:rFonts w:ascii="Times New Roman" w:hAnsi="Times New Roman"/>
          <w:sz w:val="24"/>
          <w:szCs w:val="24"/>
          <w:shd w:val="clear" w:color="auto" w:fill="FFFFFF"/>
        </w:rPr>
        <w:t xml:space="preserve">. 1998; 52(12):891–8. </w:t>
      </w:r>
      <w:r w:rsidRPr="00725C50">
        <w:rPr>
          <w:rStyle w:val="id-label"/>
          <w:rFonts w:ascii="Times New Roman" w:hAnsi="Times New Roman"/>
          <w:color w:val="212121"/>
          <w:sz w:val="24"/>
          <w:szCs w:val="24"/>
        </w:rPr>
        <w:t>DOI: </w:t>
      </w:r>
      <w:hyperlink r:id="rId7" w:tgtFrame="_blank" w:history="1">
        <w:r w:rsidRPr="00725C50">
          <w:rPr>
            <w:rStyle w:val="Hyperlink"/>
            <w:rFonts w:ascii="Times New Roman" w:hAnsi="Times New Roman"/>
            <w:color w:val="0071BC"/>
            <w:sz w:val="24"/>
            <w:szCs w:val="24"/>
            <w:u w:val="none"/>
          </w:rPr>
          <w:t>10.1038/sj.ejcn.1600662</w:t>
        </w:r>
      </w:hyperlink>
      <w:r w:rsidRPr="00725C50">
        <w:rPr>
          <w:rStyle w:val="identifier"/>
          <w:rFonts w:ascii="Times New Roman" w:hAnsi="Times New Roman"/>
          <w:color w:val="212121"/>
          <w:sz w:val="24"/>
          <w:szCs w:val="24"/>
        </w:rPr>
        <w:t>.</w:t>
      </w:r>
    </w:p>
    <w:p w:rsidR="006334A3" w:rsidRPr="00725C50" w:rsidRDefault="006334A3" w:rsidP="006334A3">
      <w:pPr>
        <w:pStyle w:val="ListParagraph"/>
        <w:numPr>
          <w:ilvl w:val="0"/>
          <w:numId w:val="2"/>
        </w:numPr>
        <w:tabs>
          <w:tab w:val="left" w:pos="450"/>
          <w:tab w:val="left" w:pos="630"/>
        </w:tabs>
        <w:spacing w:line="360" w:lineRule="auto"/>
        <w:ind w:left="630"/>
        <w:jc w:val="both"/>
        <w:rPr>
          <w:rStyle w:val="identifier"/>
          <w:rFonts w:ascii="Times New Roman" w:hAnsi="Times New Roman"/>
          <w:sz w:val="24"/>
          <w:szCs w:val="24"/>
        </w:rPr>
      </w:pPr>
      <w:proofErr w:type="spellStart"/>
      <w:r w:rsidRPr="00725C50">
        <w:rPr>
          <w:rFonts w:ascii="Times New Roman" w:hAnsi="Times New Roman"/>
          <w:sz w:val="24"/>
          <w:szCs w:val="24"/>
          <w:shd w:val="clear" w:color="auto" w:fill="FFFFFF"/>
        </w:rPr>
        <w:t>Ruel</w:t>
      </w:r>
      <w:proofErr w:type="spellEnd"/>
      <w:r w:rsidRPr="00725C50">
        <w:rPr>
          <w:rFonts w:ascii="Times New Roman" w:hAnsi="Times New Roman"/>
          <w:sz w:val="24"/>
          <w:szCs w:val="24"/>
          <w:shd w:val="clear" w:color="auto" w:fill="FFFFFF"/>
        </w:rPr>
        <w:t xml:space="preserve"> MT. Operationalizing dietary diversity: a review of measurement issues and research priorities. J </w:t>
      </w:r>
      <w:proofErr w:type="spellStart"/>
      <w:r w:rsidRPr="00725C50">
        <w:rPr>
          <w:rFonts w:ascii="Times New Roman" w:hAnsi="Times New Roman"/>
          <w:sz w:val="24"/>
          <w:szCs w:val="24"/>
          <w:shd w:val="clear" w:color="auto" w:fill="FFFFFF"/>
        </w:rPr>
        <w:t>Nutr</w:t>
      </w:r>
      <w:proofErr w:type="spellEnd"/>
      <w:r w:rsidRPr="00725C50">
        <w:rPr>
          <w:rFonts w:ascii="Times New Roman" w:hAnsi="Times New Roman"/>
          <w:sz w:val="24"/>
          <w:szCs w:val="24"/>
          <w:shd w:val="clear" w:color="auto" w:fill="FFFFFF"/>
        </w:rPr>
        <w:t xml:space="preserve">. 2003; 133(11):3911S-3926S. </w:t>
      </w:r>
      <w:r w:rsidRPr="00725C50">
        <w:rPr>
          <w:rStyle w:val="id-label"/>
          <w:rFonts w:ascii="Times New Roman" w:hAnsi="Times New Roman"/>
          <w:color w:val="212121"/>
          <w:sz w:val="24"/>
          <w:szCs w:val="24"/>
        </w:rPr>
        <w:t>DOI: </w:t>
      </w:r>
      <w:hyperlink r:id="rId8" w:tgtFrame="_blank" w:history="1">
        <w:r w:rsidRPr="00725C50">
          <w:rPr>
            <w:rStyle w:val="Hyperlink"/>
            <w:rFonts w:ascii="Times New Roman" w:hAnsi="Times New Roman"/>
            <w:color w:val="0071BC"/>
            <w:sz w:val="24"/>
            <w:szCs w:val="24"/>
            <w:u w:val="none"/>
          </w:rPr>
          <w:t>10.1093/</w:t>
        </w:r>
        <w:proofErr w:type="spellStart"/>
        <w:r w:rsidRPr="00725C50">
          <w:rPr>
            <w:rStyle w:val="Hyperlink"/>
            <w:rFonts w:ascii="Times New Roman" w:hAnsi="Times New Roman"/>
            <w:color w:val="0071BC"/>
            <w:sz w:val="24"/>
            <w:szCs w:val="24"/>
            <w:u w:val="none"/>
          </w:rPr>
          <w:t>jn</w:t>
        </w:r>
        <w:proofErr w:type="spellEnd"/>
        <w:r w:rsidRPr="00725C50">
          <w:rPr>
            <w:rStyle w:val="Hyperlink"/>
            <w:rFonts w:ascii="Times New Roman" w:hAnsi="Times New Roman"/>
            <w:color w:val="0071BC"/>
            <w:sz w:val="24"/>
            <w:szCs w:val="24"/>
            <w:u w:val="none"/>
          </w:rPr>
          <w:t>/133.11.3911S</w:t>
        </w:r>
      </w:hyperlink>
      <w:r w:rsidRPr="00725C50">
        <w:rPr>
          <w:rStyle w:val="identifier"/>
          <w:rFonts w:ascii="Times New Roman" w:hAnsi="Times New Roman"/>
          <w:color w:val="212121"/>
          <w:sz w:val="24"/>
          <w:szCs w:val="24"/>
        </w:rPr>
        <w:t>.</w:t>
      </w:r>
    </w:p>
    <w:p w:rsidR="006334A3" w:rsidRPr="00725C50" w:rsidRDefault="006334A3" w:rsidP="006334A3">
      <w:pPr>
        <w:pStyle w:val="ListParagraph"/>
        <w:numPr>
          <w:ilvl w:val="0"/>
          <w:numId w:val="2"/>
        </w:numPr>
        <w:tabs>
          <w:tab w:val="left" w:pos="450"/>
          <w:tab w:val="left" w:pos="630"/>
        </w:tabs>
        <w:spacing w:line="360" w:lineRule="auto"/>
        <w:ind w:left="630"/>
        <w:jc w:val="both"/>
        <w:rPr>
          <w:rFonts w:ascii="Times New Roman" w:hAnsi="Times New Roman"/>
          <w:sz w:val="24"/>
          <w:szCs w:val="24"/>
        </w:rPr>
      </w:pPr>
      <w:r w:rsidRPr="00725C50">
        <w:rPr>
          <w:rFonts w:ascii="Times New Roman" w:hAnsi="Times New Roman"/>
          <w:sz w:val="24"/>
          <w:szCs w:val="24"/>
          <w:shd w:val="clear" w:color="auto" w:fill="FFFFFF"/>
        </w:rPr>
        <w:t>World Food Program. Food consumption analysis calculation and use of the food consumption score in food security analysis. 2008.</w:t>
      </w:r>
    </w:p>
    <w:p w:rsidR="006334A3" w:rsidRPr="00725C50" w:rsidRDefault="006334A3" w:rsidP="006334A3">
      <w:pPr>
        <w:pStyle w:val="ListParagraph"/>
        <w:numPr>
          <w:ilvl w:val="0"/>
          <w:numId w:val="2"/>
        </w:numPr>
        <w:tabs>
          <w:tab w:val="left" w:pos="450"/>
          <w:tab w:val="left" w:pos="630"/>
        </w:tabs>
        <w:spacing w:line="360" w:lineRule="auto"/>
        <w:ind w:left="630"/>
        <w:jc w:val="both"/>
        <w:rPr>
          <w:rFonts w:ascii="Times New Roman" w:hAnsi="Times New Roman"/>
          <w:sz w:val="24"/>
          <w:szCs w:val="24"/>
        </w:rPr>
      </w:pPr>
      <w:r w:rsidRPr="00725C50">
        <w:rPr>
          <w:rFonts w:ascii="Times New Roman" w:hAnsi="Times New Roman"/>
          <w:sz w:val="24"/>
          <w:szCs w:val="24"/>
          <w:shd w:val="clear" w:color="auto" w:fill="FFFFFF"/>
        </w:rPr>
        <w:t>Maxwell D. Measuring Food Insecurity: The Frequency and Severity of Coping strategies. Food Policy. 1996; 21(3):291–303.</w:t>
      </w:r>
      <w:r w:rsidRPr="00725C50">
        <w:rPr>
          <w:rFonts w:ascii="Times New Roman" w:hAnsi="Times New Roman"/>
          <w:sz w:val="24"/>
          <w:szCs w:val="24"/>
        </w:rPr>
        <w:t xml:space="preserve"> </w:t>
      </w:r>
      <w:hyperlink r:id="rId9" w:tgtFrame="_blank" w:tooltip="Persistent link using digital object identifier" w:history="1">
        <w:r w:rsidRPr="00725C50">
          <w:rPr>
            <w:rStyle w:val="Hyperlink"/>
            <w:rFonts w:ascii="Times New Roman" w:hAnsi="Times New Roman"/>
            <w:sz w:val="24"/>
            <w:szCs w:val="24"/>
          </w:rPr>
          <w:t>https://doi.org/10.1016/0306-9192(96)00005-X</w:t>
        </w:r>
      </w:hyperlink>
      <w:hyperlink r:id="rId10" w:tgtFrame="_blank" w:history="1">
        <w:r w:rsidRPr="00725C50">
          <w:rPr>
            <w:rStyle w:val="Hyperlink"/>
            <w:rFonts w:ascii="Times New Roman" w:hAnsi="Times New Roman"/>
            <w:sz w:val="24"/>
            <w:szCs w:val="24"/>
          </w:rPr>
          <w:t>Get rights and content</w:t>
        </w:r>
      </w:hyperlink>
      <w:r w:rsidRPr="00725C50">
        <w:rPr>
          <w:rFonts w:ascii="Times New Roman" w:hAnsi="Times New Roman"/>
          <w:sz w:val="24"/>
          <w:szCs w:val="24"/>
        </w:rPr>
        <w:t>.</w:t>
      </w:r>
    </w:p>
    <w:p w:rsidR="006334A3" w:rsidRPr="00725C50" w:rsidRDefault="006334A3" w:rsidP="006334A3">
      <w:pPr>
        <w:pStyle w:val="ListParagraph"/>
        <w:numPr>
          <w:ilvl w:val="0"/>
          <w:numId w:val="2"/>
        </w:numPr>
        <w:tabs>
          <w:tab w:val="left" w:pos="450"/>
          <w:tab w:val="left" w:pos="630"/>
        </w:tabs>
        <w:spacing w:line="360" w:lineRule="auto"/>
        <w:ind w:left="630"/>
        <w:jc w:val="both"/>
        <w:rPr>
          <w:rFonts w:ascii="Times New Roman" w:hAnsi="Times New Roman"/>
          <w:sz w:val="24"/>
          <w:szCs w:val="24"/>
        </w:rPr>
      </w:pPr>
      <w:r w:rsidRPr="00725C50">
        <w:rPr>
          <w:rFonts w:ascii="Times New Roman" w:hAnsi="Times New Roman"/>
          <w:sz w:val="24"/>
          <w:szCs w:val="24"/>
          <w:shd w:val="clear" w:color="auto" w:fill="FFFFFF"/>
        </w:rPr>
        <w:t xml:space="preserve">Maxwell D., Coates J., &amp; </w:t>
      </w:r>
      <w:proofErr w:type="spellStart"/>
      <w:r w:rsidRPr="00725C50">
        <w:rPr>
          <w:rFonts w:ascii="Times New Roman" w:hAnsi="Times New Roman"/>
          <w:sz w:val="24"/>
          <w:szCs w:val="24"/>
          <w:shd w:val="clear" w:color="auto" w:fill="FFFFFF"/>
        </w:rPr>
        <w:t>Vaitla</w:t>
      </w:r>
      <w:proofErr w:type="spellEnd"/>
      <w:r w:rsidRPr="00725C50">
        <w:rPr>
          <w:rFonts w:ascii="Times New Roman" w:hAnsi="Times New Roman"/>
          <w:sz w:val="24"/>
          <w:szCs w:val="24"/>
          <w:shd w:val="clear" w:color="auto" w:fill="FFFFFF"/>
        </w:rPr>
        <w:t xml:space="preserve"> B. How Do Different Indicators of Household Food Security Compare? Empirical Evidence from Tigray. Medford, USA: Feinstein International </w:t>
      </w:r>
      <w:proofErr w:type="spellStart"/>
      <w:r w:rsidRPr="00725C50">
        <w:rPr>
          <w:rFonts w:ascii="Times New Roman" w:hAnsi="Times New Roman"/>
          <w:sz w:val="24"/>
          <w:szCs w:val="24"/>
          <w:shd w:val="clear" w:color="auto" w:fill="FFFFFF"/>
        </w:rPr>
        <w:t>Center</w:t>
      </w:r>
      <w:proofErr w:type="spellEnd"/>
      <w:r w:rsidRPr="00725C50">
        <w:rPr>
          <w:rFonts w:ascii="Times New Roman" w:hAnsi="Times New Roman"/>
          <w:sz w:val="24"/>
          <w:szCs w:val="24"/>
          <w:shd w:val="clear" w:color="auto" w:fill="FFFFFF"/>
        </w:rPr>
        <w:t>, Tufts University; 2014.</w:t>
      </w:r>
    </w:p>
    <w:p w:rsidR="006334A3" w:rsidRPr="00725C50" w:rsidRDefault="006334A3" w:rsidP="006334A3">
      <w:pPr>
        <w:pStyle w:val="ListParagraph"/>
        <w:numPr>
          <w:ilvl w:val="0"/>
          <w:numId w:val="2"/>
        </w:numPr>
        <w:tabs>
          <w:tab w:val="left" w:pos="450"/>
          <w:tab w:val="left" w:pos="630"/>
        </w:tabs>
        <w:spacing w:line="360" w:lineRule="auto"/>
        <w:ind w:left="630"/>
        <w:jc w:val="both"/>
        <w:rPr>
          <w:rFonts w:ascii="Times New Roman" w:hAnsi="Times New Roman"/>
          <w:sz w:val="24"/>
          <w:szCs w:val="24"/>
        </w:rPr>
      </w:pPr>
      <w:r w:rsidRPr="00725C50">
        <w:rPr>
          <w:rFonts w:ascii="Times New Roman" w:hAnsi="Times New Roman"/>
          <w:sz w:val="24"/>
          <w:szCs w:val="24"/>
          <w:shd w:val="clear" w:color="auto" w:fill="FFFFFF"/>
        </w:rPr>
        <w:t>Maxwell D., Watkins B., Wheeler R. &amp; Collins G. The Coping Strategies Index: A tool for rapidly measuring food security and the impact of food aid programs in emergencies. 2003.</w:t>
      </w:r>
    </w:p>
    <w:p w:rsidR="006334A3" w:rsidRPr="00725C50" w:rsidRDefault="006334A3" w:rsidP="006334A3">
      <w:pPr>
        <w:pStyle w:val="ListParagraph"/>
        <w:numPr>
          <w:ilvl w:val="0"/>
          <w:numId w:val="2"/>
        </w:numPr>
        <w:tabs>
          <w:tab w:val="left" w:pos="450"/>
          <w:tab w:val="left" w:pos="630"/>
        </w:tabs>
        <w:spacing w:line="360" w:lineRule="auto"/>
        <w:ind w:left="630"/>
        <w:jc w:val="both"/>
        <w:rPr>
          <w:rFonts w:ascii="Times New Roman" w:hAnsi="Times New Roman"/>
          <w:sz w:val="24"/>
          <w:szCs w:val="24"/>
        </w:rPr>
      </w:pPr>
      <w:r w:rsidRPr="00725C50">
        <w:rPr>
          <w:rFonts w:ascii="Times New Roman" w:hAnsi="Times New Roman"/>
          <w:sz w:val="24"/>
          <w:szCs w:val="24"/>
          <w:shd w:val="clear" w:color="auto" w:fill="FFFFFF"/>
        </w:rPr>
        <w:t>Devereux S. Famine in the twentieth century. Brighton, England: University of Sussex; 2000.</w:t>
      </w:r>
    </w:p>
    <w:p w:rsidR="006334A3" w:rsidRDefault="006334A3" w:rsidP="00D722AA">
      <w:pPr>
        <w:autoSpaceDE w:val="0"/>
        <w:autoSpaceDN w:val="0"/>
        <w:adjustRightInd w:val="0"/>
        <w:spacing w:after="60" w:line="360" w:lineRule="auto"/>
        <w:jc w:val="both"/>
        <w:rPr>
          <w:rFonts w:ascii="Times New Roman" w:hAnsi="Times New Roman"/>
          <w:color w:val="000000"/>
          <w:sz w:val="24"/>
          <w:szCs w:val="24"/>
        </w:rPr>
      </w:pPr>
    </w:p>
    <w:sectPr w:rsidR="006334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GaramondStd-LtCond">
    <w:panose1 w:val="00000000000000000000"/>
    <w:charset w:val="00"/>
    <w:family w:val="auto"/>
    <w:notTrueType/>
    <w:pitch w:val="default"/>
    <w:sig w:usb0="00000003" w:usb1="00000000" w:usb2="00000000" w:usb3="00000000" w:csb0="00000001" w:csb1="00000000"/>
  </w:font>
  <w:font w:name="Times-Roman">
    <w:panose1 w:val="00000500000000000000"/>
    <w:charset w:val="00"/>
    <w:family w:val="roman"/>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00" w:usb1="08070000" w:usb2="00000010" w:usb3="00000000" w:csb0="00020001" w:csb1="00000000"/>
  </w:font>
  <w:font w:name="TpskqhAdvTT86d47313">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toneSans">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05ABA"/>
    <w:multiLevelType w:val="hybridMultilevel"/>
    <w:tmpl w:val="CFCC72BA"/>
    <w:lvl w:ilvl="0" w:tplc="8B943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962EA8"/>
    <w:multiLevelType w:val="hybridMultilevel"/>
    <w:tmpl w:val="BEAEAF1C"/>
    <w:lvl w:ilvl="0" w:tplc="CAF0F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D81"/>
    <w:rsid w:val="001335BC"/>
    <w:rsid w:val="001613A3"/>
    <w:rsid w:val="002168CD"/>
    <w:rsid w:val="00232286"/>
    <w:rsid w:val="005040DE"/>
    <w:rsid w:val="00587718"/>
    <w:rsid w:val="006334A3"/>
    <w:rsid w:val="00683680"/>
    <w:rsid w:val="006C0CCE"/>
    <w:rsid w:val="00770ADF"/>
    <w:rsid w:val="00807E1F"/>
    <w:rsid w:val="008A7673"/>
    <w:rsid w:val="00963DA2"/>
    <w:rsid w:val="0098685C"/>
    <w:rsid w:val="009E6232"/>
    <w:rsid w:val="00BF5E8E"/>
    <w:rsid w:val="00C4624D"/>
    <w:rsid w:val="00C955BF"/>
    <w:rsid w:val="00CB1D59"/>
    <w:rsid w:val="00CF47CA"/>
    <w:rsid w:val="00D722AA"/>
    <w:rsid w:val="00E21D81"/>
    <w:rsid w:val="00EE5A56"/>
    <w:rsid w:val="00F36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925D08-E6FE-446F-A54C-163E102F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D81"/>
    <w:pPr>
      <w:spacing w:after="160" w:line="259" w:lineRule="auto"/>
    </w:pPr>
  </w:style>
  <w:style w:type="paragraph" w:styleId="Heading1">
    <w:name w:val="heading 1"/>
    <w:basedOn w:val="Normal"/>
    <w:next w:val="Normal"/>
    <w:link w:val="Heading1Char"/>
    <w:uiPriority w:val="9"/>
    <w:qFormat/>
    <w:rsid w:val="00E21D81"/>
    <w:pPr>
      <w:keepNext/>
      <w:keepLines/>
      <w:spacing w:before="480" w:after="0" w:line="276" w:lineRule="auto"/>
      <w:outlineLvl w:val="0"/>
    </w:pPr>
    <w:rPr>
      <w:rFonts w:ascii="Cambria" w:eastAsia="Times New Roman" w:hAnsi="Cambria" w:cs="Times New Roman"/>
      <w:b/>
      <w:bCs/>
      <w:color w:val="365F91"/>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D81"/>
    <w:rPr>
      <w:rFonts w:ascii="Cambria" w:eastAsia="Times New Roman" w:hAnsi="Cambria" w:cs="Times New Roman"/>
      <w:b/>
      <w:bCs/>
      <w:color w:val="365F91"/>
      <w:sz w:val="28"/>
      <w:szCs w:val="28"/>
      <w:lang w:val="en-GB"/>
    </w:rPr>
  </w:style>
  <w:style w:type="paragraph" w:customStyle="1" w:styleId="Default">
    <w:name w:val="Default"/>
    <w:rsid w:val="00E21D8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Indent Paragraph"/>
    <w:basedOn w:val="Normal"/>
    <w:link w:val="ListParagraphChar"/>
    <w:uiPriority w:val="34"/>
    <w:qFormat/>
    <w:rsid w:val="00E21D81"/>
    <w:pPr>
      <w:spacing w:after="200" w:line="276" w:lineRule="auto"/>
      <w:ind w:left="720"/>
      <w:contextualSpacing/>
    </w:pPr>
    <w:rPr>
      <w:rFonts w:ascii="Calibri" w:eastAsia="Calibri" w:hAnsi="Calibri" w:cs="Times New Roman"/>
      <w:lang w:val="en-GB"/>
    </w:rPr>
  </w:style>
  <w:style w:type="character" w:customStyle="1" w:styleId="ListParagraphChar">
    <w:name w:val="List Paragraph Char"/>
    <w:aliases w:val="Indent Paragraph Char"/>
    <w:link w:val="ListParagraph"/>
    <w:uiPriority w:val="34"/>
    <w:rsid w:val="00E21D81"/>
    <w:rPr>
      <w:rFonts w:ascii="Calibri" w:eastAsia="Calibri" w:hAnsi="Calibri" w:cs="Times New Roman"/>
      <w:lang w:val="en-GB"/>
    </w:rPr>
  </w:style>
  <w:style w:type="paragraph" w:styleId="BalloonText">
    <w:name w:val="Balloon Text"/>
    <w:basedOn w:val="Normal"/>
    <w:link w:val="BalloonTextChar"/>
    <w:uiPriority w:val="99"/>
    <w:semiHidden/>
    <w:unhideWhenUsed/>
    <w:rsid w:val="00E21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D81"/>
    <w:rPr>
      <w:rFonts w:ascii="Tahoma" w:hAnsi="Tahoma" w:cs="Tahoma"/>
      <w:sz w:val="16"/>
      <w:szCs w:val="16"/>
    </w:rPr>
  </w:style>
  <w:style w:type="character" w:styleId="Hyperlink">
    <w:name w:val="Hyperlink"/>
    <w:basedOn w:val="DefaultParagraphFont"/>
    <w:uiPriority w:val="99"/>
    <w:unhideWhenUsed/>
    <w:rsid w:val="006334A3"/>
    <w:rPr>
      <w:color w:val="0000FF" w:themeColor="hyperlink"/>
      <w:u w:val="single"/>
    </w:rPr>
  </w:style>
  <w:style w:type="character" w:customStyle="1" w:styleId="identifier">
    <w:name w:val="identifier"/>
    <w:basedOn w:val="DefaultParagraphFont"/>
    <w:rsid w:val="006334A3"/>
  </w:style>
  <w:style w:type="character" w:customStyle="1" w:styleId="id-label">
    <w:name w:val="id-label"/>
    <w:basedOn w:val="DefaultParagraphFont"/>
    <w:rsid w:val="0063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jn/133.11.3911s" TargetMode="External"/><Relationship Id="rId3" Type="http://schemas.openxmlformats.org/officeDocument/2006/relationships/settings" Target="settings.xml"/><Relationship Id="rId7" Type="http://schemas.openxmlformats.org/officeDocument/2006/relationships/hyperlink" Target="https://doi.org/10.1038/sj.ejcn.160066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945/jn.109.108548" TargetMode="External"/><Relationship Id="rId11" Type="http://schemas.openxmlformats.org/officeDocument/2006/relationships/fontTable" Target="fontTable.xml"/><Relationship Id="rId5" Type="http://schemas.openxmlformats.org/officeDocument/2006/relationships/hyperlink" Target="https://doi.org/10.1186/s40066-018-0217-x" TargetMode="External"/><Relationship Id="rId10" Type="http://schemas.openxmlformats.org/officeDocument/2006/relationships/hyperlink" Target="https://s100.copyright.com/AppDispatchServlet?publisherName=ELS&amp;contentID=030691929600005X&amp;orderBeanReset=true" TargetMode="External"/><Relationship Id="rId4" Type="http://schemas.openxmlformats.org/officeDocument/2006/relationships/webSettings" Target="webSettings.xml"/><Relationship Id="rId9" Type="http://schemas.openxmlformats.org/officeDocument/2006/relationships/hyperlink" Target="https://doi.org/10.1016/0306-9192(96)00005-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4993</Words>
  <Characters>28463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Afifa Farhin M.</cp:lastModifiedBy>
  <cp:revision>12</cp:revision>
  <dcterms:created xsi:type="dcterms:W3CDTF">2021-07-10T11:06:00Z</dcterms:created>
  <dcterms:modified xsi:type="dcterms:W3CDTF">2022-07-14T06:44:00Z</dcterms:modified>
</cp:coreProperties>
</file>