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22D" w:rsidRPr="00EC1B29" w:rsidRDefault="008E3C33">
      <w:pPr>
        <w:pStyle w:val="Standard"/>
        <w:spacing w:line="480" w:lineRule="auto"/>
        <w:rPr>
          <w:rStyle w:val="Carpredefinitoparagrafo1"/>
          <w:rFonts w:ascii="Times New Roman" w:hAnsi="Times New Roman" w:cs="Times New Roman"/>
          <w:b/>
          <w:bCs/>
          <w:sz w:val="26"/>
          <w:szCs w:val="26"/>
          <w:lang w:val="en-US"/>
        </w:rPr>
      </w:pPr>
      <w:r w:rsidRPr="00EC1B29">
        <w:rPr>
          <w:rStyle w:val="Carpredefinitoparagrafo1"/>
          <w:rFonts w:ascii="Times New Roman" w:hAnsi="Times New Roman" w:cs="Times New Roman"/>
          <w:b/>
          <w:bCs/>
          <w:sz w:val="26"/>
          <w:szCs w:val="26"/>
          <w:lang w:val="en-US"/>
        </w:rPr>
        <w:t>Supplementary materials</w:t>
      </w:r>
    </w:p>
    <w:p w:rsidR="00DE122D" w:rsidRPr="00EC1B29" w:rsidRDefault="008E3C33">
      <w:pPr>
        <w:pStyle w:val="Standard"/>
        <w:spacing w:line="480" w:lineRule="auto"/>
        <w:rPr>
          <w:rFonts w:ascii="Times New Roman" w:hAnsi="Times New Roman" w:cs="Times New Roman"/>
          <w:sz w:val="22"/>
        </w:rPr>
      </w:pPr>
      <w:r w:rsidRPr="00EC1B29">
        <w:rPr>
          <w:rStyle w:val="Carpredefinitoparagrafo1"/>
          <w:rFonts w:ascii="Times New Roman" w:hAnsi="Times New Roman" w:cs="Times New Roman"/>
          <w:b/>
          <w:bCs/>
          <w:szCs w:val="26"/>
          <w:lang w:val="en-US"/>
        </w:rPr>
        <w:t>Materials and methods</w:t>
      </w:r>
    </w:p>
    <w:p w:rsidR="00DE122D" w:rsidRPr="00EC1B29" w:rsidRDefault="008E3C33">
      <w:pPr>
        <w:spacing w:line="480" w:lineRule="auto"/>
        <w:rPr>
          <w:rFonts w:ascii="Times New Roman" w:hAnsi="Times New Roman" w:cs="Times New Roman"/>
        </w:rPr>
      </w:pPr>
      <w:r w:rsidRPr="00EC1B29">
        <w:rPr>
          <w:rFonts w:ascii="Times New Roman" w:hAnsi="Times New Roman" w:cs="Times New Roman"/>
        </w:rPr>
        <w:t xml:space="preserve">The version 1.5.0 of the PANDAS library in Python was the principal tool used to perform steps 1, 3, and 4 of the analysis. </w:t>
      </w:r>
    </w:p>
    <w:p w:rsidR="00DE122D" w:rsidRPr="00EC1B29" w:rsidRDefault="008E3C33">
      <w:pPr>
        <w:pStyle w:val="Standard"/>
        <w:spacing w:line="480" w:lineRule="auto"/>
        <w:rPr>
          <w:rFonts w:ascii="Times New Roman" w:hAnsi="Times New Roman" w:cs="Times New Roman"/>
        </w:rPr>
      </w:pPr>
      <w:r w:rsidRPr="00EC1B29">
        <w:rPr>
          <w:rFonts w:ascii="Times New Roman" w:hAnsi="Times New Roman" w:cs="Times New Roman"/>
          <w:b/>
          <w:sz w:val="22"/>
          <w:szCs w:val="22"/>
        </w:rPr>
        <w:t xml:space="preserve">First step (1): </w:t>
      </w:r>
      <w:r w:rsidRPr="00EC1B29">
        <w:rPr>
          <w:rFonts w:ascii="Times New Roman" w:hAnsi="Times New Roman" w:cs="Times New Roman"/>
          <w:b/>
          <w:bCs/>
          <w:i/>
          <w:iCs/>
          <w:sz w:val="22"/>
          <w:szCs w:val="22"/>
        </w:rPr>
        <w:t xml:space="preserve">Trade data mining and cleaning  </w:t>
      </w:r>
    </w:p>
    <w:p w:rsidR="00DE122D" w:rsidRPr="00EC1B29" w:rsidRDefault="008E3C33">
      <w:pPr>
        <w:spacing w:line="480" w:lineRule="auto"/>
        <w:rPr>
          <w:rFonts w:ascii="Times New Roman" w:hAnsi="Times New Roman" w:cs="Times New Roman"/>
        </w:rPr>
      </w:pPr>
      <w:r w:rsidRPr="00EC1B29">
        <w:rPr>
          <w:rFonts w:ascii="Times New Roman" w:hAnsi="Times New Roman" w:cs="Times New Roman"/>
        </w:rPr>
        <w:t>Annual imports (tonnes) of oil palm, oil of palm kernels, and cakes of palm kernels for Italy, Spain, Germany, and France from any Rest of the World (ROW) trade partners, between 2000 and 2020, were converted into primary crop equivalent – i.e. oil palm fruits eq. – through the equation 1 (Eq. 1) suggested by Cuypers (2013) and De Laurentis et al. (2022):</w:t>
      </w:r>
    </w:p>
    <w:p w:rsidR="00DE122D" w:rsidRPr="00EC1B29" w:rsidRDefault="008E3C33">
      <w:pPr>
        <w:spacing w:after="0" w:line="480" w:lineRule="auto"/>
        <w:jc w:val="center"/>
        <w:rPr>
          <w:rFonts w:ascii="Times New Roman" w:hAnsi="Times New Roman" w:cs="Times New Roman"/>
          <w:lang w:val="it-IT"/>
        </w:rPr>
      </w:pPr>
      <w:r w:rsidRPr="00EC1B29">
        <w:rPr>
          <w:rFonts w:ascii="Times New Roman" w:hAnsi="Times New Roman" w:cs="Times New Roman"/>
          <w:b/>
          <w:sz w:val="28"/>
          <w:szCs w:val="28"/>
          <w:lang w:val="it-IT"/>
        </w:rPr>
        <w:t>Q</w:t>
      </w:r>
      <w:r w:rsidRPr="00EC1B29">
        <w:rPr>
          <w:rFonts w:ascii="Times New Roman" w:hAnsi="Times New Roman" w:cs="Times New Roman"/>
          <w:b/>
          <w:sz w:val="28"/>
          <w:szCs w:val="28"/>
          <w:vertAlign w:val="subscript"/>
          <w:lang w:val="it-IT"/>
        </w:rPr>
        <w:t>i,j</w:t>
      </w:r>
      <w:r w:rsidRPr="00EC1B29">
        <w:rPr>
          <w:rFonts w:ascii="Times New Roman" w:hAnsi="Times New Roman" w:cs="Times New Roman"/>
          <w:b/>
          <w:sz w:val="28"/>
          <w:szCs w:val="28"/>
          <w:lang w:val="it-IT"/>
        </w:rPr>
        <w:t xml:space="preserve"> = Q</w:t>
      </w:r>
      <w:r w:rsidRPr="00EC1B29">
        <w:rPr>
          <w:rFonts w:ascii="Times New Roman" w:hAnsi="Times New Roman" w:cs="Times New Roman"/>
          <w:b/>
          <w:sz w:val="28"/>
          <w:szCs w:val="28"/>
          <w:vertAlign w:val="subscript"/>
          <w:lang w:val="it-IT"/>
        </w:rPr>
        <w:t>i</w:t>
      </w:r>
      <w:r w:rsidRPr="00EC1B29">
        <w:rPr>
          <w:rFonts w:ascii="Times New Roman" w:hAnsi="Times New Roman" w:cs="Times New Roman"/>
          <w:b/>
          <w:sz w:val="28"/>
          <w:szCs w:val="28"/>
          <w:lang w:val="it-IT"/>
        </w:rPr>
        <w:t xml:space="preserve"> /P</w:t>
      </w:r>
      <w:r w:rsidRPr="00EC1B29">
        <w:rPr>
          <w:rFonts w:ascii="Times New Roman" w:hAnsi="Times New Roman" w:cs="Times New Roman"/>
          <w:b/>
          <w:sz w:val="28"/>
          <w:szCs w:val="28"/>
          <w:vertAlign w:val="subscript"/>
          <w:lang w:val="it-IT"/>
        </w:rPr>
        <w:t xml:space="preserve">i,j </w:t>
      </w:r>
      <w:r w:rsidRPr="00EC1B29">
        <w:rPr>
          <w:rFonts w:ascii="Times New Roman" w:hAnsi="Times New Roman" w:cs="Times New Roman"/>
          <w:b/>
          <w:sz w:val="28"/>
          <w:szCs w:val="28"/>
          <w:lang w:val="it-IT"/>
        </w:rPr>
        <w:t>* V</w:t>
      </w:r>
      <w:r w:rsidRPr="00EC1B29">
        <w:rPr>
          <w:rFonts w:ascii="Times New Roman" w:hAnsi="Times New Roman" w:cs="Times New Roman"/>
          <w:b/>
          <w:sz w:val="28"/>
          <w:szCs w:val="28"/>
          <w:vertAlign w:val="subscript"/>
          <w:lang w:val="it-IT"/>
        </w:rPr>
        <w:t>i,j</w:t>
      </w:r>
      <w:r w:rsidRPr="00EC1B29">
        <w:rPr>
          <w:rFonts w:ascii="Times New Roman" w:hAnsi="Times New Roman" w:cs="Times New Roman"/>
          <w:sz w:val="28"/>
          <w:szCs w:val="28"/>
          <w:vertAlign w:val="subscript"/>
          <w:lang w:val="it-IT"/>
        </w:rPr>
        <w:t xml:space="preserve">                    </w:t>
      </w:r>
      <w:r w:rsidRPr="00EC1B29">
        <w:rPr>
          <w:rFonts w:ascii="Times New Roman" w:hAnsi="Times New Roman" w:cs="Times New Roman"/>
          <w:b/>
          <w:sz w:val="28"/>
          <w:szCs w:val="28"/>
          <w:lang w:val="it-IT"/>
        </w:rPr>
        <w:t>[Eq. 1]</w:t>
      </w:r>
    </w:p>
    <w:p w:rsidR="00DE122D" w:rsidRPr="00EC1B29" w:rsidRDefault="008E3C33">
      <w:pPr>
        <w:spacing w:after="0" w:line="480" w:lineRule="auto"/>
        <w:jc w:val="both"/>
        <w:rPr>
          <w:rFonts w:ascii="Times New Roman" w:hAnsi="Times New Roman" w:cs="Times New Roman"/>
          <w:bCs/>
          <w:lang w:val="en-US"/>
        </w:rPr>
      </w:pPr>
      <w:r w:rsidRPr="00EC1B29">
        <w:rPr>
          <w:rFonts w:ascii="Times New Roman" w:hAnsi="Times New Roman" w:cs="Times New Roman"/>
          <w:bCs/>
          <w:lang w:val="en-US"/>
        </w:rPr>
        <w:t>Where:</w:t>
      </w:r>
    </w:p>
    <w:p w:rsidR="00DE122D" w:rsidRPr="00EC1B29" w:rsidRDefault="008E3C33">
      <w:pPr>
        <w:spacing w:after="0" w:line="480" w:lineRule="auto"/>
        <w:jc w:val="both"/>
        <w:rPr>
          <w:rFonts w:ascii="Times New Roman" w:hAnsi="Times New Roman" w:cs="Times New Roman"/>
        </w:rPr>
      </w:pPr>
      <w:r w:rsidRPr="00EC1B29">
        <w:rPr>
          <w:rFonts w:ascii="Times New Roman" w:hAnsi="Times New Roman" w:cs="Times New Roman"/>
          <w:b/>
        </w:rPr>
        <w:t>Q</w:t>
      </w:r>
      <w:r w:rsidRPr="00EC1B29">
        <w:rPr>
          <w:rFonts w:ascii="Times New Roman" w:hAnsi="Times New Roman" w:cs="Times New Roman"/>
          <w:b/>
          <w:vertAlign w:val="subscript"/>
        </w:rPr>
        <w:t>i,j</w:t>
      </w:r>
      <w:r w:rsidRPr="00EC1B29">
        <w:rPr>
          <w:rFonts w:ascii="Times New Roman" w:hAnsi="Times New Roman" w:cs="Times New Roman"/>
          <w:b/>
        </w:rPr>
        <w:t xml:space="preserve">: </w:t>
      </w:r>
      <w:r w:rsidRPr="00EC1B29">
        <w:rPr>
          <w:rFonts w:ascii="Times New Roman" w:hAnsi="Times New Roman" w:cs="Times New Roman"/>
        </w:rPr>
        <w:t>Volume of the j</w:t>
      </w:r>
      <w:r w:rsidRPr="00EC1B29">
        <w:rPr>
          <w:rFonts w:ascii="Times New Roman" w:hAnsi="Times New Roman" w:cs="Times New Roman"/>
          <w:vertAlign w:val="superscript"/>
        </w:rPr>
        <w:t>th</w:t>
      </w:r>
      <w:r w:rsidRPr="00EC1B29">
        <w:rPr>
          <w:rFonts w:ascii="Times New Roman" w:hAnsi="Times New Roman" w:cs="Times New Roman"/>
        </w:rPr>
        <w:t xml:space="preserve"> primary crop equivalent needed to produce the i</w:t>
      </w:r>
      <w:r w:rsidRPr="00EC1B29">
        <w:rPr>
          <w:rFonts w:ascii="Times New Roman" w:hAnsi="Times New Roman" w:cs="Times New Roman"/>
          <w:vertAlign w:val="superscript"/>
        </w:rPr>
        <w:t>th</w:t>
      </w:r>
      <w:r w:rsidRPr="00EC1B29">
        <w:rPr>
          <w:rFonts w:ascii="Times New Roman" w:hAnsi="Times New Roman" w:cs="Times New Roman"/>
        </w:rPr>
        <w:t xml:space="preserve"> processed product (tonnes).</w:t>
      </w:r>
    </w:p>
    <w:p w:rsidR="00DE122D" w:rsidRPr="00EC1B29" w:rsidRDefault="008E3C33">
      <w:pPr>
        <w:spacing w:after="0" w:line="480" w:lineRule="auto"/>
        <w:jc w:val="both"/>
        <w:rPr>
          <w:rFonts w:ascii="Times New Roman" w:hAnsi="Times New Roman" w:cs="Times New Roman"/>
        </w:rPr>
      </w:pPr>
      <w:r w:rsidRPr="00EC1B29">
        <w:rPr>
          <w:rFonts w:ascii="Times New Roman" w:hAnsi="Times New Roman" w:cs="Times New Roman"/>
          <w:b/>
        </w:rPr>
        <w:t>Q</w:t>
      </w:r>
      <w:r w:rsidRPr="00EC1B29">
        <w:rPr>
          <w:rFonts w:ascii="Times New Roman" w:hAnsi="Times New Roman" w:cs="Times New Roman"/>
          <w:b/>
          <w:vertAlign w:val="subscript"/>
        </w:rPr>
        <w:t>i</w:t>
      </w:r>
      <w:r w:rsidRPr="00EC1B29">
        <w:rPr>
          <w:rFonts w:ascii="Times New Roman" w:hAnsi="Times New Roman" w:cs="Times New Roman"/>
          <w:b/>
        </w:rPr>
        <w:t xml:space="preserve">: </w:t>
      </w:r>
      <w:r w:rsidRPr="00EC1B29">
        <w:rPr>
          <w:rFonts w:ascii="Times New Roman" w:hAnsi="Times New Roman" w:cs="Times New Roman"/>
        </w:rPr>
        <w:t>Volume of the i</w:t>
      </w:r>
      <w:r w:rsidRPr="00EC1B29">
        <w:rPr>
          <w:rFonts w:ascii="Times New Roman" w:hAnsi="Times New Roman" w:cs="Times New Roman"/>
          <w:vertAlign w:val="superscript"/>
        </w:rPr>
        <w:t>th</w:t>
      </w:r>
      <w:r w:rsidRPr="00EC1B29">
        <w:rPr>
          <w:rFonts w:ascii="Times New Roman" w:hAnsi="Times New Roman" w:cs="Times New Roman"/>
        </w:rPr>
        <w:t xml:space="preserve"> processed product (tonnes).</w:t>
      </w:r>
    </w:p>
    <w:p w:rsidR="00DE122D" w:rsidRPr="00EC1B29" w:rsidRDefault="008E3C33">
      <w:pPr>
        <w:spacing w:after="0" w:line="480" w:lineRule="auto"/>
        <w:jc w:val="both"/>
        <w:rPr>
          <w:rFonts w:ascii="Times New Roman" w:hAnsi="Times New Roman" w:cs="Times New Roman"/>
        </w:rPr>
      </w:pPr>
      <w:r w:rsidRPr="00EC1B29">
        <w:rPr>
          <w:rFonts w:ascii="Times New Roman" w:hAnsi="Times New Roman" w:cs="Times New Roman"/>
          <w:b/>
        </w:rPr>
        <w:t>P</w:t>
      </w:r>
      <w:r w:rsidRPr="00EC1B29">
        <w:rPr>
          <w:rFonts w:ascii="Times New Roman" w:hAnsi="Times New Roman" w:cs="Times New Roman"/>
          <w:b/>
          <w:vertAlign w:val="subscript"/>
        </w:rPr>
        <w:t>i,j</w:t>
      </w:r>
      <w:r w:rsidRPr="00EC1B29">
        <w:rPr>
          <w:rFonts w:ascii="Times New Roman" w:hAnsi="Times New Roman" w:cs="Times New Roman"/>
          <w:b/>
        </w:rPr>
        <w:t xml:space="preserve">: </w:t>
      </w:r>
      <w:r w:rsidRPr="00EC1B29">
        <w:rPr>
          <w:rFonts w:ascii="Times New Roman" w:hAnsi="Times New Roman" w:cs="Times New Roman"/>
        </w:rPr>
        <w:t>Extraction rate, i.e. fraction of the volume of the processed i</w:t>
      </w:r>
      <w:r w:rsidRPr="00EC1B29">
        <w:rPr>
          <w:rFonts w:ascii="Times New Roman" w:hAnsi="Times New Roman" w:cs="Times New Roman"/>
          <w:vertAlign w:val="superscript"/>
        </w:rPr>
        <w:t>th</w:t>
      </w:r>
      <w:r w:rsidRPr="00EC1B29">
        <w:rPr>
          <w:rFonts w:ascii="Times New Roman" w:hAnsi="Times New Roman" w:cs="Times New Roman"/>
        </w:rPr>
        <w:t xml:space="preserve"> product needed to obtain the corresponding j</w:t>
      </w:r>
      <w:r w:rsidRPr="00EC1B29">
        <w:rPr>
          <w:rFonts w:ascii="Times New Roman" w:hAnsi="Times New Roman" w:cs="Times New Roman"/>
          <w:vertAlign w:val="superscript"/>
        </w:rPr>
        <w:t>th</w:t>
      </w:r>
      <w:r w:rsidRPr="00EC1B29">
        <w:rPr>
          <w:rFonts w:ascii="Times New Roman" w:hAnsi="Times New Roman" w:cs="Times New Roman"/>
        </w:rPr>
        <w:t xml:space="preserve"> primary crop equivalent (unitless).</w:t>
      </w:r>
    </w:p>
    <w:p w:rsidR="00DE122D" w:rsidRPr="00EC1B29" w:rsidRDefault="008E3C33">
      <w:pPr>
        <w:spacing w:after="0" w:line="480" w:lineRule="auto"/>
        <w:jc w:val="both"/>
        <w:rPr>
          <w:rFonts w:ascii="Times New Roman" w:hAnsi="Times New Roman" w:cs="Times New Roman"/>
        </w:rPr>
      </w:pPr>
      <w:r w:rsidRPr="00EC1B29">
        <w:rPr>
          <w:rFonts w:ascii="Times New Roman" w:hAnsi="Times New Roman" w:cs="Times New Roman"/>
          <w:b/>
        </w:rPr>
        <w:t>V</w:t>
      </w:r>
      <w:r w:rsidRPr="00EC1B29">
        <w:rPr>
          <w:rFonts w:ascii="Times New Roman" w:hAnsi="Times New Roman" w:cs="Times New Roman"/>
          <w:b/>
          <w:vertAlign w:val="subscript"/>
        </w:rPr>
        <w:t>i,j</w:t>
      </w:r>
      <w:r w:rsidRPr="00EC1B29">
        <w:rPr>
          <w:rFonts w:ascii="Times New Roman" w:hAnsi="Times New Roman" w:cs="Times New Roman"/>
        </w:rPr>
        <w:t>: Economic value fraction (i.e. value share) of the i</w:t>
      </w:r>
      <w:r w:rsidRPr="00EC1B29">
        <w:rPr>
          <w:rFonts w:ascii="Times New Roman" w:hAnsi="Times New Roman" w:cs="Times New Roman"/>
          <w:vertAlign w:val="superscript"/>
        </w:rPr>
        <w:t>th</w:t>
      </w:r>
      <w:r w:rsidRPr="00EC1B29">
        <w:rPr>
          <w:rFonts w:ascii="Times New Roman" w:hAnsi="Times New Roman" w:cs="Times New Roman"/>
        </w:rPr>
        <w:t xml:space="preserve"> processed product over the total economic value of all co-products that can be obtained from the j</w:t>
      </w:r>
      <w:r w:rsidRPr="00EC1B29">
        <w:rPr>
          <w:rFonts w:ascii="Times New Roman" w:hAnsi="Times New Roman" w:cs="Times New Roman"/>
          <w:vertAlign w:val="superscript"/>
        </w:rPr>
        <w:t>th</w:t>
      </w:r>
      <w:r w:rsidRPr="00EC1B29">
        <w:rPr>
          <w:rFonts w:ascii="Times New Roman" w:hAnsi="Times New Roman" w:cs="Times New Roman"/>
        </w:rPr>
        <w:t xml:space="preserve"> primary crop (unitless).</w:t>
      </w:r>
    </w:p>
    <w:p w:rsidR="00DE122D" w:rsidRPr="00EC1B29" w:rsidRDefault="00DE122D">
      <w:pPr>
        <w:spacing w:line="480" w:lineRule="auto"/>
        <w:rPr>
          <w:rFonts w:ascii="Times New Roman" w:hAnsi="Times New Roman" w:cs="Times New Roman"/>
        </w:rPr>
      </w:pPr>
    </w:p>
    <w:p w:rsidR="00DE122D" w:rsidRPr="00EC1B29" w:rsidRDefault="008E3C33">
      <w:pPr>
        <w:spacing w:line="480" w:lineRule="auto"/>
        <w:rPr>
          <w:rFonts w:ascii="Times New Roman" w:hAnsi="Times New Roman" w:cs="Times New Roman"/>
        </w:rPr>
      </w:pPr>
      <w:r w:rsidRPr="00EC1B29">
        <w:rPr>
          <w:rFonts w:ascii="Times New Roman" w:hAnsi="Times New Roman" w:cs="Times New Roman"/>
        </w:rPr>
        <w:t xml:space="preserve">Eq. 1 represents a way to deal with the quantification of the land embodied in crop-processed products that are jointly produced – i.e. oil palm, oil of palm kernels, and cakes of palm kernels. Each of the three commodities has a specific technical extraction rate (FAO, 2011). The weighting by the economic value share avoids possible double counting of primary crop equivalents needed for joint production (see Annex C1 in Cuypers, 2013). </w:t>
      </w:r>
    </w:p>
    <w:p w:rsidR="00DE122D" w:rsidRPr="00EC1B29" w:rsidRDefault="008E3C33">
      <w:pPr>
        <w:spacing w:line="480" w:lineRule="auto"/>
        <w:rPr>
          <w:rFonts w:ascii="Times New Roman" w:hAnsi="Times New Roman" w:cs="Times New Roman"/>
        </w:rPr>
      </w:pPr>
      <w:r w:rsidRPr="00EC1B29">
        <w:rPr>
          <w:rFonts w:ascii="Times New Roman" w:hAnsi="Times New Roman" w:cs="Times New Roman"/>
        </w:rPr>
        <w:t>According to Cuypers (2013), Eq. 1 represents a straightforward solution, based on economic assumptions, to allocate primary crops into the complex production chains of jointly produced commodities. Nevertheless, it is worth specifying that while extraction rates tend to be country-</w:t>
      </w:r>
      <w:r w:rsidRPr="00EC1B29">
        <w:rPr>
          <w:rFonts w:ascii="Times New Roman" w:hAnsi="Times New Roman" w:cs="Times New Roman"/>
        </w:rPr>
        <w:lastRenderedPageBreak/>
        <w:t>dependent, values share are constant for each co-product, thus not reflecting the existing differences at country level regarding technological development or economic indices (e.g., relative prices). Concerning extraction rates, we have used country-level data when trade partners are also producing countries, while global averaged values were used when partners are just exporters. Regarding value share, we applied mean global values.</w:t>
      </w:r>
    </w:p>
    <w:p w:rsidR="00DE122D" w:rsidRPr="00EC1B29" w:rsidRDefault="008E3C33">
      <w:pPr>
        <w:spacing w:after="0" w:line="480" w:lineRule="auto"/>
        <w:jc w:val="both"/>
        <w:rPr>
          <w:rFonts w:ascii="Times New Roman" w:hAnsi="Times New Roman" w:cs="Times New Roman"/>
        </w:rPr>
      </w:pPr>
      <w:r w:rsidRPr="00EC1B29">
        <w:rPr>
          <w:rFonts w:ascii="Times New Roman" w:hAnsi="Times New Roman" w:cs="Times New Roman"/>
        </w:rPr>
        <w:t xml:space="preserve">Furthermore, to convert the palm kernel equivalents, which represent the corresponding primary crop equivalents of the oil of palm kernel and the cakes of palm kernel, into oil palm fruits eq., we have used an additional conversion factor of 0.6 (FAO, 2011). </w:t>
      </w:r>
    </w:p>
    <w:p w:rsidR="00DE122D" w:rsidRPr="00EC1B29" w:rsidRDefault="00DE122D">
      <w:pPr>
        <w:spacing w:after="0" w:line="480" w:lineRule="auto"/>
        <w:jc w:val="both"/>
        <w:rPr>
          <w:rFonts w:ascii="Times New Roman" w:hAnsi="Times New Roman" w:cs="Times New Roman"/>
        </w:rPr>
      </w:pPr>
    </w:p>
    <w:p w:rsidR="00DE122D" w:rsidRPr="00EC1B29" w:rsidRDefault="008E3C33">
      <w:pPr>
        <w:pStyle w:val="Standard"/>
        <w:spacing w:line="480" w:lineRule="auto"/>
        <w:jc w:val="both"/>
        <w:rPr>
          <w:rFonts w:ascii="Times New Roman" w:hAnsi="Times New Roman" w:cs="Times New Roman"/>
        </w:rPr>
      </w:pPr>
      <w:r w:rsidRPr="00EC1B29">
        <w:rPr>
          <w:rFonts w:ascii="Times New Roman" w:hAnsi="Times New Roman" w:cs="Times New Roman"/>
          <w:b/>
          <w:sz w:val="22"/>
          <w:szCs w:val="22"/>
        </w:rPr>
        <w:t>Step two (2):</w:t>
      </w:r>
      <w:r w:rsidRPr="00EC1B29">
        <w:rPr>
          <w:rFonts w:ascii="Times New Roman" w:hAnsi="Times New Roman" w:cs="Times New Roman"/>
          <w:sz w:val="22"/>
          <w:szCs w:val="22"/>
        </w:rPr>
        <w:t xml:space="preserve"> </w:t>
      </w:r>
      <w:r w:rsidRPr="00EC1B29">
        <w:rPr>
          <w:rFonts w:ascii="Times New Roman" w:hAnsi="Times New Roman" w:cs="Times New Roman"/>
          <w:b/>
          <w:bCs/>
          <w:i/>
          <w:iCs/>
          <w:sz w:val="22"/>
          <w:szCs w:val="22"/>
        </w:rPr>
        <w:t xml:space="preserve">Consumption by economic sector and exporters ranking.  </w:t>
      </w:r>
    </w:p>
    <w:p w:rsidR="00DE122D" w:rsidRPr="00EC1B29" w:rsidRDefault="008E3C33">
      <w:pPr>
        <w:spacing w:line="480" w:lineRule="auto"/>
        <w:rPr>
          <w:rFonts w:ascii="Times New Roman" w:hAnsi="Times New Roman" w:cs="Times New Roman"/>
          <w:color w:val="FF0000"/>
        </w:rPr>
      </w:pPr>
      <w:r w:rsidRPr="00EC1B29">
        <w:rPr>
          <w:rFonts w:ascii="Times New Roman" w:hAnsi="Times New Roman" w:cs="Times New Roman"/>
        </w:rPr>
        <w:t xml:space="preserve">The second step of the analysis was carried out by using the trade statistics made available by the International Trade Center (ITC) via their online database TRADE MAP. This platform, while delivering COMTRADE data, can offer additional statistics like the allocation – in monetary values - of a traded commodity characterizing a specific bilateral trade (e.g. the monetary value of the Italian imports of crude palm oil from Indonesia destined to the food sector) by economic sector. Therefore, both for crude palm oil (CPO) and refined palm oil (RPO), and both for the crude palm kernel oil (CPKO) and refined palm kernel oil (RPKO), </w:t>
      </w:r>
      <w:r w:rsidRPr="00EC1B29">
        <w:rPr>
          <w:rFonts w:ascii="Times New Roman" w:hAnsi="Times New Roman" w:cs="Times New Roman"/>
          <w:color w:val="FF0000"/>
        </w:rPr>
        <w:t>and the cakes of palm kernel</w:t>
      </w:r>
      <w:r w:rsidRPr="00EC1B29">
        <w:rPr>
          <w:rFonts w:ascii="Times New Roman" w:hAnsi="Times New Roman" w:cs="Times New Roman"/>
        </w:rPr>
        <w:t xml:space="preserve"> we gathered the datasets of the annual economic values, </w:t>
      </w:r>
      <w:r w:rsidRPr="00EC1B29">
        <w:rPr>
          <w:rFonts w:ascii="Times New Roman" w:hAnsi="Times New Roman" w:cs="Times New Roman"/>
          <w:color w:val="FF0000"/>
        </w:rPr>
        <w:t>of each bilateral trade</w:t>
      </w:r>
      <w:r w:rsidRPr="00EC1B29">
        <w:rPr>
          <w:rFonts w:ascii="Times New Roman" w:hAnsi="Times New Roman" w:cs="Times New Roman"/>
        </w:rPr>
        <w:t xml:space="preserve">, attributed respectively to the food (feed) sector, the energy (industrial) sector, and the oleochemicals (industrial) sector. Then, by summing all the annual economic values by sector for each product and exporting country, we quantified the share (%) of each sector over the total value of imports, </w:t>
      </w:r>
      <w:r w:rsidRPr="00EC1B29">
        <w:rPr>
          <w:rFonts w:ascii="Times New Roman" w:hAnsi="Times New Roman" w:cs="Times New Roman"/>
          <w:color w:val="FF0000"/>
        </w:rPr>
        <w:t>differentiated per country of export</w:t>
      </w:r>
      <w:r w:rsidRPr="00EC1B29">
        <w:rPr>
          <w:rFonts w:ascii="Times New Roman" w:hAnsi="Times New Roman" w:cs="Times New Roman"/>
        </w:rPr>
        <w:t xml:space="preserve">. </w:t>
      </w:r>
      <w:r w:rsidRPr="00EC1B29">
        <w:rPr>
          <w:rFonts w:ascii="Times New Roman" w:hAnsi="Times New Roman" w:cs="Times New Roman"/>
          <w:color w:val="FF0000"/>
        </w:rPr>
        <w:t>The latter represents an important aspect because of the considerable differences existing among the imports coming from different producing countries in terms of allocation per sector.</w:t>
      </w:r>
    </w:p>
    <w:p w:rsidR="00DE122D" w:rsidRPr="00EC1B29" w:rsidRDefault="008E3C33">
      <w:pPr>
        <w:spacing w:line="480" w:lineRule="auto"/>
        <w:rPr>
          <w:rFonts w:ascii="Times New Roman" w:hAnsi="Times New Roman" w:cs="Times New Roman"/>
          <w:color w:val="FF0000"/>
        </w:rPr>
      </w:pPr>
      <w:r w:rsidRPr="00EC1B29">
        <w:rPr>
          <w:rFonts w:ascii="Times New Roman" w:hAnsi="Times New Roman" w:cs="Times New Roman"/>
          <w:color w:val="FF0000"/>
        </w:rPr>
        <w:t>After scanning the literature regarding both palm oil production stages and final uses, and the share of the final consumption by sector at a global and EU level, we decided to allocate the different products to each sector, by using both the Harmonized System (HS) codes and nomenclatures characterizing the TRADEMAP datasets (See Table 1 below).</w:t>
      </w:r>
    </w:p>
    <w:p w:rsidR="00DE122D" w:rsidRPr="00EC1B29" w:rsidRDefault="008E3C33">
      <w:pPr>
        <w:spacing w:line="480" w:lineRule="auto"/>
        <w:rPr>
          <w:rFonts w:ascii="Times New Roman" w:hAnsi="Times New Roman" w:cs="Times New Roman"/>
          <w:color w:val="FF0000"/>
        </w:rPr>
      </w:pPr>
      <w:r w:rsidRPr="00EC1B29">
        <w:rPr>
          <w:rFonts w:ascii="Times New Roman" w:hAnsi="Times New Roman" w:cs="Times New Roman"/>
          <w:color w:val="FF0000"/>
        </w:rPr>
        <w:lastRenderedPageBreak/>
        <w:t>We made a few assumptions:</w:t>
      </w:r>
    </w:p>
    <w:p w:rsidR="00DE122D" w:rsidRPr="00EC1B29" w:rsidRDefault="008E3C33" w:rsidP="008E3C33">
      <w:pPr>
        <w:pStyle w:val="ListParagraph"/>
        <w:numPr>
          <w:ilvl w:val="0"/>
          <w:numId w:val="2"/>
        </w:numPr>
        <w:spacing w:line="480" w:lineRule="auto"/>
        <w:jc w:val="both"/>
        <w:rPr>
          <w:rFonts w:ascii="Times New Roman" w:hAnsi="Times New Roman" w:cs="Times New Roman"/>
          <w:color w:val="FF0000"/>
        </w:rPr>
      </w:pPr>
      <w:r w:rsidRPr="00EC1B29">
        <w:rPr>
          <w:rFonts w:ascii="Times New Roman" w:hAnsi="Times New Roman" w:cs="Times New Roman"/>
          <w:color w:val="FF0000"/>
        </w:rPr>
        <w:t>The cakes of palm kernel are used as animal feed. Thus, this is indirectly part of the food sector for human consumption (i.e. Food-Feed).</w:t>
      </w:r>
    </w:p>
    <w:p w:rsidR="00DE122D" w:rsidRPr="00EC1B29" w:rsidRDefault="008E3C33" w:rsidP="008E3C33">
      <w:pPr>
        <w:pStyle w:val="ListParagraph"/>
        <w:numPr>
          <w:ilvl w:val="0"/>
          <w:numId w:val="2"/>
        </w:numPr>
        <w:spacing w:line="480" w:lineRule="auto"/>
        <w:jc w:val="both"/>
        <w:rPr>
          <w:rFonts w:ascii="Times New Roman" w:hAnsi="Times New Roman" w:cs="Times New Roman"/>
          <w:color w:val="FF0000"/>
        </w:rPr>
      </w:pPr>
      <w:r w:rsidRPr="00EC1B29">
        <w:rPr>
          <w:rFonts w:ascii="Times New Roman" w:hAnsi="Times New Roman" w:cs="Times New Roman"/>
          <w:color w:val="FF0000"/>
        </w:rPr>
        <w:t>Crude palm oil and crude palm kernel oil are generally used for manufacture of foodstuffs, but what goes into the industrial sector manly serve the production of biofuels (i.e. Palm – Kernel - Fatty Acid Distillate). However, there is an undetectable part that goes to others industrial activities. This is why we used the term: Energy (Industrial).</w:t>
      </w:r>
    </w:p>
    <w:p w:rsidR="00DE122D" w:rsidRPr="00EC1B29" w:rsidRDefault="008E3C33" w:rsidP="008E3C33">
      <w:pPr>
        <w:pStyle w:val="ListParagraph"/>
        <w:numPr>
          <w:ilvl w:val="0"/>
          <w:numId w:val="2"/>
        </w:numPr>
        <w:spacing w:line="480" w:lineRule="auto"/>
        <w:jc w:val="both"/>
        <w:rPr>
          <w:rFonts w:ascii="Times New Roman" w:hAnsi="Times New Roman" w:cs="Times New Roman"/>
          <w:color w:val="FF0000"/>
        </w:rPr>
      </w:pPr>
      <w:r w:rsidRPr="00EC1B29">
        <w:rPr>
          <w:rFonts w:ascii="Times New Roman" w:hAnsi="Times New Roman" w:cs="Times New Roman"/>
          <w:color w:val="FF0000"/>
        </w:rPr>
        <w:t>The solid part of refined palm oil (i.e. palm stearin) is almost only serving the oleochemicals sector, while the liquid (i.e. palm olein) fractions both the production of foodstuffs and energy.</w:t>
      </w:r>
    </w:p>
    <w:p w:rsidR="00DE122D" w:rsidRPr="00EC1B29" w:rsidRDefault="008E3C33" w:rsidP="008E3C33">
      <w:pPr>
        <w:pStyle w:val="ListParagraph"/>
        <w:numPr>
          <w:ilvl w:val="0"/>
          <w:numId w:val="2"/>
        </w:numPr>
        <w:spacing w:line="480" w:lineRule="auto"/>
        <w:jc w:val="both"/>
        <w:rPr>
          <w:rFonts w:ascii="Times New Roman" w:hAnsi="Times New Roman" w:cs="Times New Roman"/>
          <w:color w:val="FF0000"/>
        </w:rPr>
      </w:pPr>
      <w:r w:rsidRPr="00EC1B29">
        <w:rPr>
          <w:rFonts w:ascii="Times New Roman" w:hAnsi="Times New Roman" w:cs="Times New Roman"/>
          <w:color w:val="FF0000"/>
        </w:rPr>
        <w:t>The solid part of refined palm kernel oil (i.e. palm kernel stearin) is almost only serving the food sector, while the liquid fractions both the production of foodstuffs and oleochemicals.</w:t>
      </w:r>
    </w:p>
    <w:p w:rsidR="00DE122D" w:rsidRPr="00EC1B29" w:rsidRDefault="008E3C33">
      <w:pPr>
        <w:pStyle w:val="Caption"/>
        <w:keepNext/>
        <w:rPr>
          <w:color w:val="auto"/>
        </w:rPr>
      </w:pPr>
      <w:r w:rsidRPr="00EC1B29">
        <w:rPr>
          <w:b/>
          <w:color w:val="auto"/>
        </w:rPr>
        <w:t xml:space="preserve">Table </w:t>
      </w:r>
      <w:r w:rsidRPr="00EC1B29">
        <w:rPr>
          <w:b/>
          <w:color w:val="auto"/>
        </w:rPr>
        <w:fldChar w:fldCharType="begin"/>
      </w:r>
      <w:r w:rsidRPr="00EC1B29">
        <w:rPr>
          <w:b/>
          <w:color w:val="auto"/>
        </w:rPr>
        <w:instrText>SEQ Tabella \* ARABIC</w:instrText>
      </w:r>
      <w:r w:rsidRPr="00EC1B29">
        <w:rPr>
          <w:b/>
          <w:color w:val="auto"/>
        </w:rPr>
        <w:fldChar w:fldCharType="separate"/>
      </w:r>
      <w:r w:rsidRPr="00EC1B29">
        <w:rPr>
          <w:b/>
          <w:color w:val="auto"/>
        </w:rPr>
        <w:t>1</w:t>
      </w:r>
      <w:r w:rsidRPr="00EC1B29">
        <w:rPr>
          <w:b/>
          <w:color w:val="auto"/>
        </w:rPr>
        <w:fldChar w:fldCharType="end"/>
      </w:r>
      <w:r w:rsidRPr="00EC1B29">
        <w:rPr>
          <w:color w:val="auto"/>
        </w:rPr>
        <w:t xml:space="preserve"> Products allocation per sector</w:t>
      </w:r>
    </w:p>
    <w:p w:rsidR="00DE122D" w:rsidRPr="00EC1B29" w:rsidRDefault="008E3C33">
      <w:pPr>
        <w:spacing w:line="480" w:lineRule="auto"/>
        <w:rPr>
          <w:rFonts w:ascii="Times New Roman" w:hAnsi="Times New Roman" w:cs="Times New Roman"/>
        </w:rPr>
      </w:pPr>
      <w:r w:rsidRPr="00EC1B29">
        <w:rPr>
          <w:noProof/>
          <w:lang w:val="en-IN" w:eastAsia="en-IN"/>
        </w:rPr>
        <w:drawing>
          <wp:inline distT="0" distB="0" distL="0" distR="0">
            <wp:extent cx="5731510" cy="408305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pic:cNvPicPr>
                      <a:picLocks noChangeAspect="1" noChangeArrowheads="1"/>
                    </pic:cNvPicPr>
                  </pic:nvPicPr>
                  <pic:blipFill>
                    <a:blip r:embed="rId7"/>
                    <a:stretch>
                      <a:fillRect/>
                    </a:stretch>
                  </pic:blipFill>
                  <pic:spPr bwMode="auto">
                    <a:xfrm>
                      <a:off x="0" y="0"/>
                      <a:ext cx="5731510" cy="4083050"/>
                    </a:xfrm>
                    <a:prstGeom prst="rect">
                      <a:avLst/>
                    </a:prstGeom>
                  </pic:spPr>
                </pic:pic>
              </a:graphicData>
            </a:graphic>
          </wp:inline>
        </w:drawing>
      </w:r>
    </w:p>
    <w:p w:rsidR="00DE122D" w:rsidRPr="00EC1B29" w:rsidRDefault="00DE122D">
      <w:pPr>
        <w:spacing w:line="480" w:lineRule="auto"/>
        <w:rPr>
          <w:rFonts w:ascii="Times New Roman" w:hAnsi="Times New Roman" w:cs="Times New Roman"/>
          <w:color w:val="FF0000"/>
        </w:rPr>
      </w:pPr>
    </w:p>
    <w:p w:rsidR="00DE122D" w:rsidRPr="00EC1B29" w:rsidRDefault="008E3C33">
      <w:pPr>
        <w:spacing w:line="480" w:lineRule="auto"/>
        <w:rPr>
          <w:rFonts w:ascii="Times New Roman" w:hAnsi="Times New Roman" w:cs="Times New Roman"/>
          <w:color w:val="FF0000"/>
        </w:rPr>
      </w:pPr>
      <w:r w:rsidRPr="00EC1B29">
        <w:rPr>
          <w:rFonts w:ascii="Times New Roman" w:hAnsi="Times New Roman" w:cs="Times New Roman"/>
          <w:color w:val="FF0000"/>
        </w:rPr>
        <w:lastRenderedPageBreak/>
        <w:t xml:space="preserve">The steps and data inputs needed to develop </w:t>
      </w:r>
      <w:r w:rsidRPr="00EC1B29">
        <w:rPr>
          <w:rFonts w:ascii="Times New Roman" w:hAnsi="Times New Roman" w:cs="Times New Roman"/>
          <w:b/>
          <w:color w:val="FF0000"/>
        </w:rPr>
        <w:t>Figures 5 and 6 reported within the article</w:t>
      </w:r>
      <w:r w:rsidRPr="00EC1B29">
        <w:rPr>
          <w:rFonts w:ascii="Times New Roman" w:hAnsi="Times New Roman" w:cs="Times New Roman"/>
          <w:bCs/>
          <w:color w:val="FF0000"/>
        </w:rPr>
        <w:t xml:space="preserve"> included</w:t>
      </w:r>
      <w:r w:rsidRPr="00EC1B29">
        <w:rPr>
          <w:rFonts w:ascii="Times New Roman" w:hAnsi="Times New Roman" w:cs="Times New Roman"/>
          <w:color w:val="FF0000"/>
        </w:rPr>
        <w:t>:</w:t>
      </w:r>
    </w:p>
    <w:p w:rsidR="00DE122D" w:rsidRPr="00EC1B29" w:rsidRDefault="008E3C33">
      <w:pPr>
        <w:pStyle w:val="ListParagraph"/>
        <w:numPr>
          <w:ilvl w:val="0"/>
          <w:numId w:val="3"/>
        </w:numPr>
        <w:spacing w:line="480" w:lineRule="auto"/>
        <w:rPr>
          <w:rFonts w:ascii="Times New Roman" w:hAnsi="Times New Roman" w:cs="Times New Roman"/>
          <w:color w:val="FF0000"/>
        </w:rPr>
      </w:pPr>
      <w:r w:rsidRPr="00EC1B29">
        <w:rPr>
          <w:rFonts w:ascii="Times New Roman" w:hAnsi="Times New Roman" w:cs="Times New Roman"/>
          <w:color w:val="FF0000"/>
        </w:rPr>
        <w:t>Data collection of the annual imports by product code (see Table 1), expressed in monetary values, for each bilateral trade (e.g. Italy-Indonesia).</w:t>
      </w:r>
    </w:p>
    <w:p w:rsidR="00DE122D" w:rsidRPr="00EC1B29" w:rsidRDefault="008E3C33">
      <w:pPr>
        <w:pStyle w:val="ListParagraph"/>
        <w:numPr>
          <w:ilvl w:val="0"/>
          <w:numId w:val="3"/>
        </w:numPr>
        <w:spacing w:line="480" w:lineRule="auto"/>
        <w:rPr>
          <w:rFonts w:ascii="Times New Roman" w:hAnsi="Times New Roman" w:cs="Times New Roman"/>
          <w:color w:val="FF0000"/>
        </w:rPr>
      </w:pPr>
      <w:r w:rsidRPr="00EC1B29">
        <w:rPr>
          <w:rFonts w:ascii="Times New Roman" w:hAnsi="Times New Roman" w:cs="Times New Roman"/>
          <w:color w:val="FF0000"/>
        </w:rPr>
        <w:t>Total annual imports – in value - for each bilateral trade, of each product code assigned to the same sector (Table 1) (by summing data collected in step 1).</w:t>
      </w:r>
    </w:p>
    <w:p w:rsidR="00DE122D" w:rsidRPr="00EC1B29" w:rsidRDefault="008E3C33">
      <w:pPr>
        <w:pStyle w:val="ListParagraph"/>
        <w:numPr>
          <w:ilvl w:val="0"/>
          <w:numId w:val="3"/>
        </w:numPr>
        <w:spacing w:line="480" w:lineRule="auto"/>
        <w:rPr>
          <w:rFonts w:ascii="Times New Roman" w:hAnsi="Times New Roman" w:cs="Times New Roman"/>
          <w:color w:val="FF0000"/>
        </w:rPr>
      </w:pPr>
      <w:r w:rsidRPr="00EC1B29">
        <w:rPr>
          <w:rFonts w:ascii="Times New Roman" w:hAnsi="Times New Roman" w:cs="Times New Roman"/>
          <w:color w:val="FF0000"/>
        </w:rPr>
        <w:t>Annual share (%) by sector and country of export (the proportion of the total annual imports in value by sector and country of export (step 2), over the total annual imports in value by country of export).</w:t>
      </w:r>
    </w:p>
    <w:p w:rsidR="00DE122D" w:rsidRPr="00EC1B29" w:rsidRDefault="008E3C33">
      <w:pPr>
        <w:pStyle w:val="ListParagraph"/>
        <w:numPr>
          <w:ilvl w:val="0"/>
          <w:numId w:val="3"/>
        </w:numPr>
        <w:spacing w:line="480" w:lineRule="auto"/>
        <w:rPr>
          <w:rFonts w:ascii="Times New Roman" w:hAnsi="Times New Roman" w:cs="Times New Roman"/>
          <w:color w:val="FF0000"/>
        </w:rPr>
      </w:pPr>
      <w:r w:rsidRPr="00EC1B29">
        <w:rPr>
          <w:rFonts w:ascii="Times New Roman" w:hAnsi="Times New Roman" w:cs="Times New Roman"/>
          <w:color w:val="FF0000"/>
        </w:rPr>
        <w:t>Allocation of the imports – in volume – of primary crop equivalents to each sector differentiated by country of production (by means of the annual share calculated in step 3);</w:t>
      </w:r>
    </w:p>
    <w:p w:rsidR="00DE122D" w:rsidRPr="00EC1B29" w:rsidRDefault="008E3C33">
      <w:pPr>
        <w:pStyle w:val="ListParagraph"/>
        <w:numPr>
          <w:ilvl w:val="0"/>
          <w:numId w:val="3"/>
        </w:numPr>
        <w:spacing w:line="480" w:lineRule="auto"/>
        <w:rPr>
          <w:rFonts w:ascii="Times New Roman" w:hAnsi="Times New Roman" w:cs="Times New Roman"/>
          <w:color w:val="FF0000"/>
        </w:rPr>
      </w:pPr>
      <w:r w:rsidRPr="00EC1B29">
        <w:rPr>
          <w:rFonts w:ascii="Times New Roman" w:hAnsi="Times New Roman" w:cs="Times New Roman"/>
          <w:color w:val="FF0000"/>
        </w:rPr>
        <w:t>Total annual imports of primary crop eq. by sector (by summing the annual volumes by sector imported from all the producing countries).</w:t>
      </w:r>
    </w:p>
    <w:p w:rsidR="00DE122D" w:rsidRPr="00EC1B29" w:rsidRDefault="008E3C33">
      <w:pPr>
        <w:pStyle w:val="ListParagraph"/>
        <w:numPr>
          <w:ilvl w:val="0"/>
          <w:numId w:val="3"/>
        </w:numPr>
        <w:spacing w:line="480" w:lineRule="auto"/>
        <w:rPr>
          <w:rFonts w:ascii="Times New Roman" w:hAnsi="Times New Roman" w:cs="Times New Roman"/>
          <w:color w:val="FF0000"/>
        </w:rPr>
      </w:pPr>
      <w:r w:rsidRPr="00EC1B29">
        <w:rPr>
          <w:rFonts w:ascii="Times New Roman" w:hAnsi="Times New Roman" w:cs="Times New Roman"/>
          <w:color w:val="FF0000"/>
        </w:rPr>
        <w:t>Annual share (%) of imports of primary crop eq. by sector (the proportion of annual imports by sector over the total imports quantified in step 5).</w:t>
      </w:r>
    </w:p>
    <w:p w:rsidR="00DE122D" w:rsidRPr="00EC1B29" w:rsidRDefault="008E3C33">
      <w:pPr>
        <w:pStyle w:val="ListParagraph"/>
        <w:numPr>
          <w:ilvl w:val="0"/>
          <w:numId w:val="3"/>
        </w:numPr>
        <w:spacing w:line="480" w:lineRule="auto"/>
        <w:rPr>
          <w:rFonts w:ascii="Times New Roman" w:hAnsi="Times New Roman" w:cs="Times New Roman"/>
          <w:color w:val="FF0000"/>
        </w:rPr>
      </w:pPr>
      <w:r w:rsidRPr="00EC1B29">
        <w:rPr>
          <w:rFonts w:ascii="Times New Roman" w:hAnsi="Times New Roman" w:cs="Times New Roman"/>
          <w:color w:val="FF0000"/>
        </w:rPr>
        <w:t xml:space="preserve">Annual imports – in volume - of primary crop equivalent by sector (by means of the annual share calculated in step 6) </w:t>
      </w:r>
      <w:r w:rsidRPr="00EC1B29">
        <w:rPr>
          <w:rFonts w:ascii="Times New Roman" w:hAnsi="Times New Roman" w:cs="Times New Roman"/>
          <w:b/>
          <w:color w:val="FF0000"/>
        </w:rPr>
        <w:t>(Figure 5 in the paper)</w:t>
      </w:r>
      <w:r w:rsidRPr="00EC1B29">
        <w:rPr>
          <w:rFonts w:ascii="Times New Roman" w:hAnsi="Times New Roman" w:cs="Times New Roman"/>
          <w:color w:val="FF0000"/>
        </w:rPr>
        <w:t>.</w:t>
      </w:r>
    </w:p>
    <w:p w:rsidR="00DE122D" w:rsidRPr="00EC1B29" w:rsidRDefault="008E3C33">
      <w:pPr>
        <w:pStyle w:val="ListParagraph"/>
        <w:numPr>
          <w:ilvl w:val="0"/>
          <w:numId w:val="3"/>
        </w:numPr>
        <w:spacing w:line="480" w:lineRule="auto"/>
        <w:rPr>
          <w:rFonts w:ascii="Times New Roman" w:hAnsi="Times New Roman" w:cs="Times New Roman"/>
          <w:color w:val="FF0000"/>
        </w:rPr>
      </w:pPr>
      <w:r w:rsidRPr="00EC1B29">
        <w:rPr>
          <w:rFonts w:ascii="Times New Roman" w:hAnsi="Times New Roman" w:cs="Times New Roman"/>
          <w:color w:val="FF0000"/>
        </w:rPr>
        <w:t xml:space="preserve">Mean share of imports, between 2004 and 2020, of primary crop equivalents by sector </w:t>
      </w:r>
      <w:r w:rsidRPr="00EC1B29">
        <w:rPr>
          <w:rFonts w:ascii="Times New Roman" w:hAnsi="Times New Roman" w:cs="Times New Roman"/>
          <w:b/>
          <w:color w:val="FF0000"/>
        </w:rPr>
        <w:t>(Figure 6 in the paper)</w:t>
      </w:r>
      <w:r w:rsidRPr="00EC1B29">
        <w:rPr>
          <w:rFonts w:ascii="Times New Roman" w:hAnsi="Times New Roman" w:cs="Times New Roman"/>
          <w:color w:val="FF0000"/>
        </w:rPr>
        <w:t>.</w:t>
      </w:r>
    </w:p>
    <w:p w:rsidR="00DE122D" w:rsidRPr="00EC1B29" w:rsidRDefault="00DE122D">
      <w:pPr>
        <w:pStyle w:val="Standard"/>
        <w:spacing w:line="480" w:lineRule="auto"/>
        <w:jc w:val="both"/>
        <w:rPr>
          <w:rFonts w:ascii="Times New Roman" w:hAnsi="Times New Roman" w:cs="Times New Roman"/>
          <w:b/>
          <w:sz w:val="22"/>
          <w:szCs w:val="22"/>
        </w:rPr>
      </w:pPr>
    </w:p>
    <w:p w:rsidR="00DE122D" w:rsidRPr="00EC1B29" w:rsidRDefault="008E3C33">
      <w:pPr>
        <w:pStyle w:val="Standard"/>
        <w:spacing w:line="480" w:lineRule="auto"/>
        <w:jc w:val="both"/>
        <w:rPr>
          <w:rFonts w:ascii="Times New Roman" w:hAnsi="Times New Roman" w:cs="Times New Roman"/>
        </w:rPr>
      </w:pPr>
      <w:r w:rsidRPr="00EC1B29">
        <w:rPr>
          <w:rFonts w:ascii="Times New Roman" w:hAnsi="Times New Roman" w:cs="Times New Roman"/>
          <w:b/>
          <w:sz w:val="22"/>
          <w:szCs w:val="22"/>
        </w:rPr>
        <w:t>Step three (3):</w:t>
      </w:r>
      <w:r w:rsidRPr="00EC1B29">
        <w:rPr>
          <w:rFonts w:ascii="Times New Roman" w:hAnsi="Times New Roman" w:cs="Times New Roman"/>
          <w:sz w:val="22"/>
          <w:szCs w:val="22"/>
        </w:rPr>
        <w:t xml:space="preserve">  </w:t>
      </w:r>
      <w:r w:rsidRPr="00EC1B29">
        <w:rPr>
          <w:rFonts w:ascii="Times New Roman" w:hAnsi="Times New Roman" w:cs="Times New Roman"/>
          <w:b/>
          <w:bCs/>
          <w:sz w:val="22"/>
          <w:szCs w:val="22"/>
        </w:rPr>
        <w:t>Land Footprint estimation</w:t>
      </w:r>
    </w:p>
    <w:p w:rsidR="00DE122D" w:rsidRPr="00EC1B29" w:rsidRDefault="008E3C33">
      <w:pPr>
        <w:spacing w:after="0" w:line="480" w:lineRule="auto"/>
        <w:jc w:val="both"/>
        <w:rPr>
          <w:rFonts w:ascii="Times New Roman" w:hAnsi="Times New Roman" w:cs="Times New Roman"/>
        </w:rPr>
      </w:pPr>
      <w:bookmarkStart w:id="0" w:name="move112769678"/>
      <w:bookmarkEnd w:id="0"/>
      <w:r w:rsidRPr="00EC1B29">
        <w:rPr>
          <w:rFonts w:ascii="Times New Roman" w:hAnsi="Times New Roman" w:cs="Times New Roman"/>
        </w:rPr>
        <w:t xml:space="preserve">Figures 1, 2, and 3 show an example of the difference between the raw data collected from Faostat (orange line) and the rolling mean (blue line) for the yield – t/ha - of oil palm fruits in, respectively, Indonesia, Malaysia, and Papua New Guinea between 2000 and 2020. </w:t>
      </w:r>
    </w:p>
    <w:p w:rsidR="00DE122D" w:rsidRPr="00EC1B29" w:rsidRDefault="00DE122D">
      <w:pPr>
        <w:spacing w:after="0" w:line="480" w:lineRule="auto"/>
        <w:jc w:val="both"/>
        <w:rPr>
          <w:rFonts w:ascii="Times New Roman" w:hAnsi="Times New Roman" w:cs="Times New Roman"/>
        </w:rPr>
      </w:pPr>
    </w:p>
    <w:p w:rsidR="00DE122D" w:rsidRPr="00EC1B29" w:rsidRDefault="00DE122D">
      <w:pPr>
        <w:spacing w:after="0" w:line="480" w:lineRule="auto"/>
        <w:jc w:val="both"/>
        <w:rPr>
          <w:rFonts w:ascii="Times New Roman" w:hAnsi="Times New Roman" w:cs="Times New Roman"/>
        </w:rPr>
      </w:pPr>
    </w:p>
    <w:p w:rsidR="00DE122D" w:rsidRPr="00EC1B29" w:rsidRDefault="008E3C33">
      <w:pPr>
        <w:pStyle w:val="Standard"/>
        <w:keepNext/>
        <w:spacing w:line="480" w:lineRule="auto"/>
        <w:jc w:val="center"/>
        <w:rPr>
          <w:rFonts w:ascii="Times New Roman" w:hAnsi="Times New Roman" w:cs="Times New Roman"/>
        </w:rPr>
      </w:pPr>
      <w:r w:rsidRPr="00EC1B29">
        <w:rPr>
          <w:noProof/>
          <w:lang w:val="en-IN" w:eastAsia="en-IN" w:bidi="ar-SA"/>
        </w:rPr>
        <w:lastRenderedPageBreak/>
        <w:drawing>
          <wp:inline distT="0" distB="0" distL="0" distR="0">
            <wp:extent cx="4319905" cy="1800225"/>
            <wp:effectExtent l="0" t="0" r="0" b="0"/>
            <wp:docPr id="2" name="Picture 1" descr="C:\Users\bausagi\AppData\Local\Microsoft\Windows\INetCache\Content.MSO\B1DE937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Users\bausagi\AppData\Local\Microsoft\Windows\INetCache\Content.MSO\B1DE9374.tmp"/>
                    <pic:cNvPicPr>
                      <a:picLocks noChangeAspect="1" noChangeArrowheads="1"/>
                    </pic:cNvPicPr>
                  </pic:nvPicPr>
                  <pic:blipFill>
                    <a:blip r:embed="rId8"/>
                    <a:stretch>
                      <a:fillRect/>
                    </a:stretch>
                  </pic:blipFill>
                  <pic:spPr bwMode="auto">
                    <a:xfrm>
                      <a:off x="0" y="0"/>
                      <a:ext cx="4319905" cy="1800225"/>
                    </a:xfrm>
                    <a:prstGeom prst="rect">
                      <a:avLst/>
                    </a:prstGeom>
                  </pic:spPr>
                </pic:pic>
              </a:graphicData>
            </a:graphic>
          </wp:inline>
        </w:drawing>
      </w:r>
    </w:p>
    <w:p w:rsidR="00DE122D" w:rsidRPr="00EC1B29" w:rsidRDefault="008E3C33">
      <w:pPr>
        <w:pStyle w:val="Caption"/>
        <w:spacing w:line="480" w:lineRule="auto"/>
        <w:jc w:val="center"/>
        <w:rPr>
          <w:rFonts w:ascii="Times New Roman" w:hAnsi="Times New Roman" w:cs="Times New Roman"/>
        </w:rPr>
      </w:pPr>
      <w:r w:rsidRPr="00EC1B29">
        <w:rPr>
          <w:rFonts w:ascii="Times New Roman" w:hAnsi="Times New Roman" w:cs="Times New Roman"/>
          <w:b/>
          <w:i w:val="0"/>
          <w:iCs w:val="0"/>
          <w:color w:val="auto"/>
        </w:rPr>
        <w:t xml:space="preserve">Figure </w:t>
      </w:r>
      <w:r w:rsidRPr="00EC1B29">
        <w:rPr>
          <w:rFonts w:ascii="Times New Roman" w:hAnsi="Times New Roman" w:cs="Times New Roman"/>
          <w:b/>
          <w:i w:val="0"/>
          <w:iCs w:val="0"/>
          <w:color w:val="auto"/>
        </w:rPr>
        <w:fldChar w:fldCharType="begin"/>
      </w:r>
      <w:r w:rsidRPr="00EC1B29">
        <w:rPr>
          <w:rFonts w:ascii="Times New Roman" w:hAnsi="Times New Roman" w:cs="Times New Roman"/>
          <w:b/>
          <w:i w:val="0"/>
          <w:iCs w:val="0"/>
          <w:color w:val="auto"/>
        </w:rPr>
        <w:instrText>SEQ Figura \* ARABIC</w:instrText>
      </w:r>
      <w:r w:rsidRPr="00EC1B29">
        <w:rPr>
          <w:rFonts w:ascii="Times New Roman" w:hAnsi="Times New Roman" w:cs="Times New Roman"/>
          <w:b/>
          <w:i w:val="0"/>
          <w:iCs w:val="0"/>
          <w:color w:val="auto"/>
        </w:rPr>
        <w:fldChar w:fldCharType="separate"/>
      </w:r>
      <w:r w:rsidRPr="00EC1B29">
        <w:rPr>
          <w:rFonts w:ascii="Times New Roman" w:hAnsi="Times New Roman" w:cs="Times New Roman"/>
          <w:b/>
          <w:i w:val="0"/>
          <w:iCs w:val="0"/>
          <w:color w:val="auto"/>
        </w:rPr>
        <w:t>1</w:t>
      </w:r>
      <w:r w:rsidRPr="00EC1B29">
        <w:rPr>
          <w:rFonts w:ascii="Times New Roman" w:hAnsi="Times New Roman" w:cs="Times New Roman"/>
          <w:b/>
          <w:i w:val="0"/>
          <w:iCs w:val="0"/>
          <w:color w:val="auto"/>
        </w:rPr>
        <w:fldChar w:fldCharType="end"/>
      </w:r>
      <w:r w:rsidRPr="00EC1B29">
        <w:rPr>
          <w:rFonts w:ascii="Times New Roman" w:hAnsi="Times New Roman" w:cs="Times New Roman"/>
          <w:i w:val="0"/>
          <w:iCs w:val="0"/>
        </w:rPr>
        <w:t xml:space="preserve">: </w:t>
      </w:r>
      <w:r w:rsidRPr="00EC1B29">
        <w:rPr>
          <w:rFonts w:ascii="Times New Roman" w:hAnsi="Times New Roman" w:cs="Times New Roman"/>
          <w:i w:val="0"/>
          <w:iCs w:val="0"/>
          <w:color w:val="auto"/>
        </w:rPr>
        <w:t>Comparison between Indonesia’s FAO yield (t/ha) data on oil palm fruits and their 5-year rolling mean.</w:t>
      </w:r>
    </w:p>
    <w:p w:rsidR="00DE122D" w:rsidRPr="00EC1B29" w:rsidRDefault="008E3C33">
      <w:pPr>
        <w:pStyle w:val="Standard"/>
        <w:keepNext/>
        <w:spacing w:line="480" w:lineRule="auto"/>
        <w:jc w:val="center"/>
        <w:rPr>
          <w:rFonts w:ascii="Times New Roman" w:hAnsi="Times New Roman" w:cs="Times New Roman"/>
        </w:rPr>
      </w:pPr>
      <w:r w:rsidRPr="00EC1B29">
        <w:rPr>
          <w:noProof/>
          <w:lang w:val="en-IN" w:eastAsia="en-IN" w:bidi="ar-SA"/>
        </w:rPr>
        <w:drawing>
          <wp:inline distT="0" distB="0" distL="0" distR="0">
            <wp:extent cx="4089400" cy="1703070"/>
            <wp:effectExtent l="0" t="0" r="0" b="0"/>
            <wp:docPr id="3" name="Picture 2" descr="C:\Users\bausagi\AppData\Local\Microsoft\Windows\INetCache\Content.MSO\16666D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bausagi\AppData\Local\Microsoft\Windows\INetCache\Content.MSO\16666DA2.tmp"/>
                    <pic:cNvPicPr>
                      <a:picLocks noChangeAspect="1" noChangeArrowheads="1"/>
                    </pic:cNvPicPr>
                  </pic:nvPicPr>
                  <pic:blipFill>
                    <a:blip r:embed="rId9"/>
                    <a:stretch>
                      <a:fillRect/>
                    </a:stretch>
                  </pic:blipFill>
                  <pic:spPr bwMode="auto">
                    <a:xfrm>
                      <a:off x="0" y="0"/>
                      <a:ext cx="4089400" cy="1703070"/>
                    </a:xfrm>
                    <a:prstGeom prst="rect">
                      <a:avLst/>
                    </a:prstGeom>
                  </pic:spPr>
                </pic:pic>
              </a:graphicData>
            </a:graphic>
          </wp:inline>
        </w:drawing>
      </w:r>
    </w:p>
    <w:p w:rsidR="00DE122D" w:rsidRPr="00EC1B29" w:rsidRDefault="008E3C33" w:rsidP="008E3C33">
      <w:pPr>
        <w:pStyle w:val="Caption"/>
        <w:spacing w:line="480" w:lineRule="auto"/>
        <w:jc w:val="center"/>
        <w:rPr>
          <w:rFonts w:ascii="Times New Roman" w:hAnsi="Times New Roman" w:cs="Times New Roman"/>
        </w:rPr>
      </w:pPr>
      <w:r w:rsidRPr="00EC1B29">
        <w:rPr>
          <w:rFonts w:ascii="Times New Roman" w:hAnsi="Times New Roman" w:cs="Times New Roman"/>
          <w:b/>
          <w:i w:val="0"/>
          <w:color w:val="auto"/>
        </w:rPr>
        <w:t xml:space="preserve">    Figure </w:t>
      </w:r>
      <w:r w:rsidRPr="00EC1B29">
        <w:rPr>
          <w:rFonts w:ascii="Times New Roman" w:hAnsi="Times New Roman" w:cs="Times New Roman"/>
          <w:b/>
          <w:i w:val="0"/>
          <w:color w:val="auto"/>
        </w:rPr>
        <w:fldChar w:fldCharType="begin"/>
      </w:r>
      <w:r w:rsidRPr="00EC1B29">
        <w:rPr>
          <w:rFonts w:ascii="Times New Roman" w:hAnsi="Times New Roman" w:cs="Times New Roman"/>
          <w:b/>
          <w:i w:val="0"/>
          <w:color w:val="auto"/>
        </w:rPr>
        <w:instrText>SEQ Figura \* ARABIC</w:instrText>
      </w:r>
      <w:r w:rsidRPr="00EC1B29">
        <w:rPr>
          <w:rFonts w:ascii="Times New Roman" w:hAnsi="Times New Roman" w:cs="Times New Roman"/>
          <w:b/>
          <w:i w:val="0"/>
          <w:color w:val="auto"/>
        </w:rPr>
        <w:fldChar w:fldCharType="separate"/>
      </w:r>
      <w:r w:rsidRPr="00EC1B29">
        <w:rPr>
          <w:rFonts w:ascii="Times New Roman" w:hAnsi="Times New Roman" w:cs="Times New Roman"/>
          <w:b/>
          <w:i w:val="0"/>
          <w:color w:val="auto"/>
        </w:rPr>
        <w:t>2</w:t>
      </w:r>
      <w:r w:rsidRPr="00EC1B29">
        <w:rPr>
          <w:rFonts w:ascii="Times New Roman" w:hAnsi="Times New Roman" w:cs="Times New Roman"/>
          <w:b/>
          <w:i w:val="0"/>
          <w:color w:val="auto"/>
        </w:rPr>
        <w:fldChar w:fldCharType="end"/>
      </w:r>
      <w:r w:rsidRPr="00EC1B29">
        <w:rPr>
          <w:rFonts w:ascii="Times New Roman" w:hAnsi="Times New Roman" w:cs="Times New Roman"/>
          <w:i w:val="0"/>
          <w:color w:val="auto"/>
        </w:rPr>
        <w:t>: Comparison between Malaysia’s FAO yield (t/ha) data on oil palm fruits and their 5-year window rolling mean.</w:t>
      </w:r>
    </w:p>
    <w:p w:rsidR="00DE122D" w:rsidRPr="00EC1B29" w:rsidRDefault="008E3C33">
      <w:pPr>
        <w:pStyle w:val="Standard"/>
        <w:keepNext/>
        <w:spacing w:line="480" w:lineRule="auto"/>
        <w:jc w:val="center"/>
        <w:rPr>
          <w:rFonts w:ascii="Times New Roman" w:hAnsi="Times New Roman" w:cs="Times New Roman"/>
        </w:rPr>
      </w:pPr>
      <w:r w:rsidRPr="00EC1B29">
        <w:rPr>
          <w:noProof/>
          <w:lang w:val="en-IN" w:eastAsia="en-IN" w:bidi="ar-SA"/>
        </w:rPr>
        <w:drawing>
          <wp:inline distT="0" distB="0" distL="0" distR="0">
            <wp:extent cx="4093545" cy="1798955"/>
            <wp:effectExtent l="0" t="0" r="0" b="0"/>
            <wp:docPr id="4" name="Picture 3" descr="C:\Users\bausagi\AppData\Local\Microsoft\Windows\INetCache\Content.MSO\228DFE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Users\bausagi\AppData\Local\Microsoft\Windows\INetCache\Content.MSO\228DFE00.tmp"/>
                    <pic:cNvPicPr>
                      <a:picLocks noChangeAspect="1" noChangeArrowheads="1"/>
                    </pic:cNvPicPr>
                  </pic:nvPicPr>
                  <pic:blipFill>
                    <a:blip r:embed="rId10"/>
                    <a:stretch>
                      <a:fillRect/>
                    </a:stretch>
                  </pic:blipFill>
                  <pic:spPr bwMode="auto">
                    <a:xfrm>
                      <a:off x="0" y="0"/>
                      <a:ext cx="4192080" cy="1842257"/>
                    </a:xfrm>
                    <a:prstGeom prst="rect">
                      <a:avLst/>
                    </a:prstGeom>
                  </pic:spPr>
                </pic:pic>
              </a:graphicData>
            </a:graphic>
          </wp:inline>
        </w:drawing>
      </w:r>
    </w:p>
    <w:p w:rsidR="00DE122D" w:rsidRPr="00EC1B29" w:rsidRDefault="008E3C33">
      <w:pPr>
        <w:pStyle w:val="Caption"/>
        <w:spacing w:line="480" w:lineRule="auto"/>
        <w:jc w:val="center"/>
        <w:rPr>
          <w:rFonts w:ascii="Times New Roman" w:hAnsi="Times New Roman" w:cs="Times New Roman"/>
          <w:i w:val="0"/>
          <w:color w:val="auto"/>
        </w:rPr>
      </w:pPr>
      <w:r w:rsidRPr="00EC1B29">
        <w:rPr>
          <w:rFonts w:ascii="Times New Roman" w:hAnsi="Times New Roman" w:cs="Times New Roman"/>
          <w:b/>
          <w:i w:val="0"/>
          <w:color w:val="auto"/>
        </w:rPr>
        <w:t xml:space="preserve"> Figure </w:t>
      </w:r>
      <w:r w:rsidRPr="00EC1B29">
        <w:rPr>
          <w:rFonts w:ascii="Times New Roman" w:hAnsi="Times New Roman" w:cs="Times New Roman"/>
          <w:b/>
          <w:i w:val="0"/>
          <w:color w:val="auto"/>
        </w:rPr>
        <w:fldChar w:fldCharType="begin"/>
      </w:r>
      <w:r w:rsidRPr="00EC1B29">
        <w:rPr>
          <w:rFonts w:ascii="Times New Roman" w:hAnsi="Times New Roman" w:cs="Times New Roman"/>
          <w:b/>
          <w:i w:val="0"/>
          <w:color w:val="auto"/>
        </w:rPr>
        <w:instrText>SEQ Figura \* ARABIC</w:instrText>
      </w:r>
      <w:r w:rsidRPr="00EC1B29">
        <w:rPr>
          <w:rFonts w:ascii="Times New Roman" w:hAnsi="Times New Roman" w:cs="Times New Roman"/>
          <w:b/>
          <w:i w:val="0"/>
          <w:color w:val="auto"/>
        </w:rPr>
        <w:fldChar w:fldCharType="separate"/>
      </w:r>
      <w:r w:rsidRPr="00EC1B29">
        <w:rPr>
          <w:rFonts w:ascii="Times New Roman" w:hAnsi="Times New Roman" w:cs="Times New Roman"/>
          <w:b/>
          <w:i w:val="0"/>
          <w:color w:val="auto"/>
        </w:rPr>
        <w:t>3</w:t>
      </w:r>
      <w:r w:rsidRPr="00EC1B29">
        <w:rPr>
          <w:rFonts w:ascii="Times New Roman" w:hAnsi="Times New Roman" w:cs="Times New Roman"/>
          <w:b/>
          <w:i w:val="0"/>
          <w:color w:val="auto"/>
        </w:rPr>
        <w:fldChar w:fldCharType="end"/>
      </w:r>
      <w:r w:rsidRPr="00EC1B29">
        <w:rPr>
          <w:rFonts w:ascii="Times New Roman" w:hAnsi="Times New Roman" w:cs="Times New Roman"/>
          <w:i w:val="0"/>
          <w:color w:val="auto"/>
        </w:rPr>
        <w:t>: Comparison between Papua New Guinea’s FAO yield (t/ha) data on oil palm fruits and their 5-year window rolling mean.</w:t>
      </w:r>
    </w:p>
    <w:p w:rsidR="00DE122D" w:rsidRPr="00EC1B29" w:rsidRDefault="00DE122D"/>
    <w:p w:rsidR="008E3C33" w:rsidRPr="00EC1B29" w:rsidRDefault="008E3C33">
      <w:pPr>
        <w:pStyle w:val="Standard"/>
        <w:spacing w:line="480" w:lineRule="auto"/>
        <w:jc w:val="both"/>
        <w:rPr>
          <w:rFonts w:ascii="Times New Roman" w:hAnsi="Times New Roman" w:cs="Times New Roman"/>
          <w:sz w:val="22"/>
          <w:szCs w:val="22"/>
        </w:rPr>
      </w:pPr>
    </w:p>
    <w:p w:rsidR="008E3C33" w:rsidRPr="00EC1B29" w:rsidRDefault="008E3C33">
      <w:pPr>
        <w:pStyle w:val="Standard"/>
        <w:spacing w:line="480" w:lineRule="auto"/>
        <w:jc w:val="both"/>
        <w:rPr>
          <w:rFonts w:ascii="Times New Roman" w:hAnsi="Times New Roman" w:cs="Times New Roman"/>
          <w:sz w:val="22"/>
          <w:szCs w:val="22"/>
        </w:rPr>
      </w:pPr>
    </w:p>
    <w:p w:rsidR="008E3C33" w:rsidRPr="00EC1B29" w:rsidRDefault="008E3C33">
      <w:pPr>
        <w:pStyle w:val="Standard"/>
        <w:spacing w:line="480" w:lineRule="auto"/>
        <w:jc w:val="both"/>
        <w:rPr>
          <w:rFonts w:ascii="Times New Roman" w:hAnsi="Times New Roman" w:cs="Times New Roman"/>
          <w:sz w:val="22"/>
          <w:szCs w:val="22"/>
        </w:rPr>
      </w:pPr>
    </w:p>
    <w:p w:rsidR="008E3C33" w:rsidRPr="00EC1B29" w:rsidRDefault="008E3C33">
      <w:pPr>
        <w:pStyle w:val="Standard"/>
        <w:spacing w:line="480" w:lineRule="auto"/>
        <w:jc w:val="both"/>
        <w:rPr>
          <w:rFonts w:ascii="Times New Roman" w:hAnsi="Times New Roman" w:cs="Times New Roman"/>
          <w:sz w:val="22"/>
          <w:szCs w:val="22"/>
        </w:rPr>
      </w:pPr>
    </w:p>
    <w:p w:rsidR="00DE122D" w:rsidRPr="00EC1B29" w:rsidRDefault="008E3C33">
      <w:pPr>
        <w:pStyle w:val="Standard"/>
        <w:spacing w:line="480" w:lineRule="auto"/>
        <w:jc w:val="both"/>
        <w:rPr>
          <w:rFonts w:ascii="Times New Roman" w:hAnsi="Times New Roman" w:cs="Times New Roman"/>
        </w:rPr>
      </w:pPr>
      <w:r w:rsidRPr="00EC1B29">
        <w:rPr>
          <w:rFonts w:ascii="Times New Roman" w:hAnsi="Times New Roman" w:cs="Times New Roman"/>
          <w:sz w:val="22"/>
          <w:szCs w:val="22"/>
        </w:rPr>
        <w:lastRenderedPageBreak/>
        <w:t xml:space="preserve">At the end of step 3 we calculated the annual Land Footprint per country of direct export through Eq. 2: </w:t>
      </w:r>
    </w:p>
    <w:p w:rsidR="00DE122D" w:rsidRPr="00EC1B29" w:rsidRDefault="00DE122D">
      <w:pPr>
        <w:pStyle w:val="Standard"/>
        <w:spacing w:line="480" w:lineRule="auto"/>
        <w:jc w:val="both"/>
        <w:rPr>
          <w:rFonts w:ascii="Times New Roman" w:hAnsi="Times New Roman" w:cs="Times New Roman"/>
          <w:sz w:val="22"/>
          <w:szCs w:val="22"/>
        </w:rPr>
      </w:pPr>
    </w:p>
    <w:p w:rsidR="00DE122D" w:rsidRPr="00EC1B29" w:rsidRDefault="008E3C33">
      <w:pPr>
        <w:pStyle w:val="Standard"/>
        <w:spacing w:line="480" w:lineRule="auto"/>
        <w:jc w:val="center"/>
        <w:rPr>
          <w:rFonts w:ascii="Times New Roman" w:hAnsi="Times New Roman" w:cs="Times New Roman"/>
        </w:rPr>
      </w:pPr>
      <w:r w:rsidRPr="00EC1B29">
        <w:rPr>
          <w:rFonts w:ascii="Times New Roman" w:hAnsi="Times New Roman" w:cs="Times New Roman"/>
          <w:b/>
          <w:sz w:val="28"/>
          <w:szCs w:val="28"/>
        </w:rPr>
        <w:t>LF</w:t>
      </w:r>
      <w:r w:rsidRPr="00EC1B29">
        <w:rPr>
          <w:rFonts w:ascii="Times New Roman" w:hAnsi="Times New Roman" w:cs="Times New Roman"/>
          <w:b/>
          <w:sz w:val="28"/>
          <w:szCs w:val="28"/>
          <w:vertAlign w:val="subscript"/>
        </w:rPr>
        <w:t>dir,i,t</w:t>
      </w:r>
      <w:r w:rsidRPr="00EC1B29">
        <w:rPr>
          <w:rFonts w:ascii="Times New Roman" w:hAnsi="Times New Roman" w:cs="Times New Roman"/>
          <w:b/>
          <w:sz w:val="28"/>
          <w:szCs w:val="28"/>
        </w:rPr>
        <w:t xml:space="preserve"> = Imp</w:t>
      </w:r>
      <w:r w:rsidRPr="00EC1B29">
        <w:rPr>
          <w:rFonts w:ascii="Times New Roman" w:hAnsi="Times New Roman" w:cs="Times New Roman"/>
          <w:b/>
          <w:sz w:val="28"/>
          <w:szCs w:val="28"/>
          <w:vertAlign w:val="subscript"/>
        </w:rPr>
        <w:t>prim.eq,i,t</w:t>
      </w:r>
      <w:r w:rsidRPr="00EC1B29">
        <w:rPr>
          <w:rFonts w:ascii="Times New Roman" w:hAnsi="Times New Roman" w:cs="Times New Roman"/>
          <w:b/>
          <w:sz w:val="28"/>
          <w:szCs w:val="28"/>
        </w:rPr>
        <w:t xml:space="preserve"> / Y</w:t>
      </w:r>
      <w:r w:rsidRPr="00EC1B29">
        <w:rPr>
          <w:rFonts w:ascii="Times New Roman" w:hAnsi="Times New Roman" w:cs="Times New Roman"/>
          <w:b/>
          <w:sz w:val="28"/>
          <w:szCs w:val="28"/>
          <w:vertAlign w:val="subscript"/>
        </w:rPr>
        <w:t>smoothed,i,t</w:t>
      </w:r>
      <w:r w:rsidRPr="00EC1B29">
        <w:rPr>
          <w:rFonts w:ascii="Times New Roman" w:hAnsi="Times New Roman" w:cs="Times New Roman"/>
          <w:b/>
          <w:sz w:val="28"/>
          <w:szCs w:val="28"/>
        </w:rPr>
        <w:t xml:space="preserve"> </w:t>
      </w:r>
      <w:r w:rsidRPr="00EC1B29">
        <w:rPr>
          <w:rFonts w:ascii="Times New Roman" w:hAnsi="Times New Roman" w:cs="Times New Roman"/>
          <w:b/>
          <w:sz w:val="28"/>
          <w:szCs w:val="28"/>
          <w:vertAlign w:val="subscript"/>
        </w:rPr>
        <w:t xml:space="preserve">OR </w:t>
      </w:r>
      <w:r w:rsidRPr="00EC1B29">
        <w:rPr>
          <w:rFonts w:ascii="Times New Roman" w:hAnsi="Times New Roman" w:cs="Times New Roman"/>
          <w:b/>
          <w:sz w:val="28"/>
          <w:szCs w:val="28"/>
        </w:rPr>
        <w:t>Y</w:t>
      </w:r>
      <w:r w:rsidRPr="00EC1B29">
        <w:rPr>
          <w:rFonts w:ascii="Times New Roman" w:hAnsi="Times New Roman" w:cs="Times New Roman"/>
          <w:b/>
          <w:sz w:val="28"/>
          <w:szCs w:val="28"/>
          <w:vertAlign w:val="subscript"/>
        </w:rPr>
        <w:t>smoothed,g,t</w:t>
      </w:r>
      <w:r w:rsidRPr="00EC1B29">
        <w:rPr>
          <w:rFonts w:ascii="Times New Roman" w:hAnsi="Times New Roman" w:cs="Times New Roman"/>
          <w:b/>
          <w:sz w:val="28"/>
          <w:szCs w:val="28"/>
        </w:rPr>
        <w:t xml:space="preserve"> </w:t>
      </w:r>
      <w:r w:rsidRPr="00EC1B29">
        <w:rPr>
          <w:rFonts w:ascii="Times New Roman" w:hAnsi="Times New Roman" w:cs="Times New Roman"/>
          <w:b/>
          <w:sz w:val="28"/>
          <w:szCs w:val="28"/>
          <w:vertAlign w:val="subscript"/>
        </w:rPr>
        <w:t xml:space="preserve">        </w:t>
      </w:r>
      <w:r w:rsidRPr="00EC1B29">
        <w:rPr>
          <w:rFonts w:ascii="Times New Roman" w:hAnsi="Times New Roman" w:cs="Times New Roman"/>
          <w:b/>
          <w:sz w:val="28"/>
          <w:szCs w:val="28"/>
          <w:lang w:val="en-US"/>
        </w:rPr>
        <w:t>[Eq. 2]</w:t>
      </w:r>
    </w:p>
    <w:p w:rsidR="00DE122D" w:rsidRPr="00EC1B29" w:rsidRDefault="008E3C33">
      <w:pPr>
        <w:pStyle w:val="Standard"/>
        <w:spacing w:line="480" w:lineRule="auto"/>
        <w:rPr>
          <w:rFonts w:ascii="Times New Roman" w:hAnsi="Times New Roman" w:cs="Times New Roman"/>
        </w:rPr>
      </w:pPr>
      <w:r w:rsidRPr="00EC1B29">
        <w:rPr>
          <w:rFonts w:ascii="Times New Roman" w:hAnsi="Times New Roman" w:cs="Times New Roman"/>
          <w:sz w:val="22"/>
          <w:szCs w:val="22"/>
        </w:rPr>
        <w:t>Where:</w:t>
      </w:r>
    </w:p>
    <w:p w:rsidR="00DE122D" w:rsidRPr="00EC1B29" w:rsidRDefault="008E3C33">
      <w:pPr>
        <w:pStyle w:val="Standard"/>
        <w:spacing w:line="480" w:lineRule="auto"/>
        <w:jc w:val="both"/>
        <w:rPr>
          <w:rFonts w:ascii="Times New Roman" w:hAnsi="Times New Roman" w:cs="Times New Roman"/>
          <w:sz w:val="22"/>
          <w:szCs w:val="22"/>
        </w:rPr>
      </w:pPr>
      <w:r w:rsidRPr="00EC1B29">
        <w:rPr>
          <w:rFonts w:ascii="Times New Roman" w:hAnsi="Times New Roman" w:cs="Times New Roman"/>
          <w:b/>
          <w:sz w:val="22"/>
          <w:szCs w:val="22"/>
        </w:rPr>
        <w:t>LF</w:t>
      </w:r>
      <w:r w:rsidRPr="00EC1B29">
        <w:rPr>
          <w:rFonts w:ascii="Times New Roman" w:hAnsi="Times New Roman" w:cs="Times New Roman"/>
          <w:b/>
          <w:sz w:val="22"/>
          <w:szCs w:val="22"/>
          <w:vertAlign w:val="subscript"/>
        </w:rPr>
        <w:t>dir,i,t</w:t>
      </w:r>
      <w:r w:rsidRPr="00EC1B29">
        <w:rPr>
          <w:rFonts w:ascii="Times New Roman" w:hAnsi="Times New Roman" w:cs="Times New Roman"/>
          <w:b/>
          <w:sz w:val="22"/>
          <w:szCs w:val="22"/>
        </w:rPr>
        <w:t xml:space="preserve">: </w:t>
      </w:r>
      <w:r w:rsidRPr="00EC1B29">
        <w:rPr>
          <w:rFonts w:ascii="Times New Roman" w:hAnsi="Times New Roman" w:cs="Times New Roman"/>
          <w:sz w:val="22"/>
          <w:szCs w:val="22"/>
        </w:rPr>
        <w:t>Annual (t) hectares of palm oil plantations imported from direct trade partner (ha).</w:t>
      </w:r>
    </w:p>
    <w:p w:rsidR="00DE122D" w:rsidRPr="00EC1B29" w:rsidRDefault="008E3C33">
      <w:pPr>
        <w:pStyle w:val="Standard"/>
        <w:spacing w:line="480" w:lineRule="auto"/>
        <w:rPr>
          <w:rFonts w:ascii="Times New Roman" w:hAnsi="Times New Roman" w:cs="Times New Roman"/>
          <w:sz w:val="22"/>
          <w:szCs w:val="22"/>
        </w:rPr>
      </w:pPr>
      <w:r w:rsidRPr="00EC1B29">
        <w:rPr>
          <w:rFonts w:ascii="Times New Roman" w:hAnsi="Times New Roman" w:cs="Times New Roman"/>
          <w:b/>
          <w:sz w:val="22"/>
          <w:szCs w:val="22"/>
        </w:rPr>
        <w:t>Imp</w:t>
      </w:r>
      <w:r w:rsidRPr="00EC1B29">
        <w:rPr>
          <w:rFonts w:ascii="Times New Roman" w:hAnsi="Times New Roman" w:cs="Times New Roman"/>
          <w:b/>
          <w:sz w:val="22"/>
          <w:szCs w:val="22"/>
          <w:vertAlign w:val="subscript"/>
        </w:rPr>
        <w:t>prim.eq,i,t</w:t>
      </w:r>
      <w:r w:rsidRPr="00EC1B29">
        <w:rPr>
          <w:rFonts w:ascii="Times New Roman" w:hAnsi="Times New Roman" w:cs="Times New Roman"/>
          <w:b/>
          <w:sz w:val="22"/>
          <w:szCs w:val="22"/>
        </w:rPr>
        <w:t xml:space="preserve">: </w:t>
      </w:r>
      <w:r w:rsidRPr="00EC1B29">
        <w:rPr>
          <w:rFonts w:ascii="Times New Roman" w:hAnsi="Times New Roman" w:cs="Times New Roman"/>
          <w:sz w:val="22"/>
          <w:szCs w:val="22"/>
        </w:rPr>
        <w:t>Annual (t) import of oil palm fruit eq. from the i</w:t>
      </w:r>
      <w:r w:rsidRPr="00EC1B29">
        <w:rPr>
          <w:rFonts w:ascii="Times New Roman" w:hAnsi="Times New Roman" w:cs="Times New Roman"/>
          <w:sz w:val="22"/>
          <w:szCs w:val="22"/>
          <w:vertAlign w:val="superscript"/>
        </w:rPr>
        <w:t>th</w:t>
      </w:r>
      <w:r w:rsidRPr="00EC1B29">
        <w:rPr>
          <w:rFonts w:ascii="Times New Roman" w:hAnsi="Times New Roman" w:cs="Times New Roman"/>
          <w:sz w:val="22"/>
          <w:szCs w:val="22"/>
        </w:rPr>
        <w:t xml:space="preserve"> direct partner (tonnes).</w:t>
      </w:r>
    </w:p>
    <w:p w:rsidR="00DE122D" w:rsidRPr="00EC1B29" w:rsidRDefault="008E3C33">
      <w:pPr>
        <w:pStyle w:val="Standard"/>
        <w:spacing w:line="480" w:lineRule="auto"/>
        <w:rPr>
          <w:rFonts w:ascii="Times New Roman" w:hAnsi="Times New Roman" w:cs="Times New Roman"/>
          <w:sz w:val="22"/>
          <w:szCs w:val="22"/>
        </w:rPr>
      </w:pPr>
      <w:r w:rsidRPr="00EC1B29">
        <w:rPr>
          <w:rFonts w:ascii="Times New Roman" w:hAnsi="Times New Roman" w:cs="Times New Roman"/>
          <w:b/>
          <w:sz w:val="22"/>
          <w:szCs w:val="22"/>
        </w:rPr>
        <w:t>Y</w:t>
      </w:r>
      <w:r w:rsidRPr="00EC1B29">
        <w:rPr>
          <w:rFonts w:ascii="Times New Roman" w:hAnsi="Times New Roman" w:cs="Times New Roman"/>
          <w:b/>
          <w:sz w:val="22"/>
          <w:szCs w:val="22"/>
          <w:vertAlign w:val="subscript"/>
        </w:rPr>
        <w:t xml:space="preserve">smoothed,i,t: </w:t>
      </w:r>
      <w:r w:rsidRPr="00EC1B29">
        <w:rPr>
          <w:rFonts w:ascii="Times New Roman" w:hAnsi="Times New Roman" w:cs="Times New Roman"/>
          <w:sz w:val="22"/>
          <w:szCs w:val="22"/>
        </w:rPr>
        <w:t>Annual (t)  smoothed yield of the i</w:t>
      </w:r>
      <w:r w:rsidRPr="00EC1B29">
        <w:rPr>
          <w:rFonts w:ascii="Times New Roman" w:hAnsi="Times New Roman" w:cs="Times New Roman"/>
          <w:sz w:val="22"/>
          <w:szCs w:val="22"/>
          <w:vertAlign w:val="superscript"/>
        </w:rPr>
        <w:t>th</w:t>
      </w:r>
      <w:r w:rsidRPr="00EC1B29">
        <w:rPr>
          <w:rFonts w:ascii="Times New Roman" w:hAnsi="Times New Roman" w:cs="Times New Roman"/>
          <w:sz w:val="22"/>
          <w:szCs w:val="22"/>
        </w:rPr>
        <w:t xml:space="preserve"> country of direct export (if a producing country) (t/ha).</w:t>
      </w:r>
    </w:p>
    <w:p w:rsidR="00DE122D" w:rsidRPr="00EC1B29" w:rsidRDefault="008E3C33">
      <w:pPr>
        <w:pStyle w:val="Standard"/>
        <w:spacing w:line="480" w:lineRule="auto"/>
        <w:rPr>
          <w:rFonts w:ascii="Times New Roman" w:hAnsi="Times New Roman" w:cs="Times New Roman"/>
          <w:sz w:val="22"/>
          <w:szCs w:val="22"/>
        </w:rPr>
      </w:pPr>
      <w:r w:rsidRPr="00EC1B29">
        <w:rPr>
          <w:rFonts w:ascii="Times New Roman" w:hAnsi="Times New Roman" w:cs="Times New Roman"/>
          <w:b/>
          <w:sz w:val="22"/>
          <w:szCs w:val="22"/>
        </w:rPr>
        <w:t>Y</w:t>
      </w:r>
      <w:r w:rsidRPr="00EC1B29">
        <w:rPr>
          <w:rFonts w:ascii="Times New Roman" w:hAnsi="Times New Roman" w:cs="Times New Roman"/>
          <w:b/>
          <w:sz w:val="22"/>
          <w:szCs w:val="22"/>
          <w:vertAlign w:val="subscript"/>
        </w:rPr>
        <w:t xml:space="preserve">smoothed,g,t: </w:t>
      </w:r>
      <w:r w:rsidRPr="00EC1B29">
        <w:rPr>
          <w:rFonts w:ascii="Times New Roman" w:hAnsi="Times New Roman" w:cs="Times New Roman"/>
          <w:sz w:val="22"/>
          <w:szCs w:val="22"/>
        </w:rPr>
        <w:t>Annual (t)  average global smoothed yield (if not a producing country) (t/ha).</w:t>
      </w:r>
    </w:p>
    <w:p w:rsidR="00DE122D" w:rsidRPr="00EC1B29" w:rsidRDefault="00DE122D">
      <w:pPr>
        <w:pStyle w:val="Standard"/>
        <w:spacing w:line="480" w:lineRule="auto"/>
        <w:jc w:val="both"/>
        <w:rPr>
          <w:rFonts w:ascii="Times New Roman" w:hAnsi="Times New Roman" w:cs="Times New Roman"/>
        </w:rPr>
      </w:pPr>
    </w:p>
    <w:p w:rsidR="00DE122D" w:rsidRPr="00EC1B29" w:rsidRDefault="008E3C33">
      <w:pPr>
        <w:pStyle w:val="Standard"/>
        <w:spacing w:line="480" w:lineRule="auto"/>
        <w:jc w:val="both"/>
        <w:rPr>
          <w:rFonts w:ascii="Times New Roman" w:hAnsi="Times New Roman" w:cs="Times New Roman"/>
        </w:rPr>
      </w:pPr>
      <w:r w:rsidRPr="00EC1B29">
        <w:rPr>
          <w:rFonts w:ascii="Times New Roman" w:hAnsi="Times New Roman" w:cs="Times New Roman"/>
          <w:b/>
          <w:sz w:val="22"/>
          <w:szCs w:val="22"/>
        </w:rPr>
        <w:t>Step four (4):</w:t>
      </w:r>
      <w:r w:rsidRPr="00EC1B29">
        <w:rPr>
          <w:rFonts w:ascii="Times New Roman" w:hAnsi="Times New Roman" w:cs="Times New Roman"/>
          <w:sz w:val="22"/>
          <w:szCs w:val="22"/>
        </w:rPr>
        <w:t xml:space="preserve"> </w:t>
      </w:r>
      <w:r w:rsidRPr="00EC1B29">
        <w:rPr>
          <w:rFonts w:ascii="Times New Roman" w:hAnsi="Times New Roman" w:cs="Times New Roman"/>
          <w:b/>
          <w:bCs/>
          <w:iCs/>
          <w:sz w:val="22"/>
          <w:szCs w:val="22"/>
        </w:rPr>
        <w:t>Trade network analysis.</w:t>
      </w:r>
      <w:r w:rsidRPr="00EC1B29">
        <w:rPr>
          <w:rFonts w:ascii="Times New Roman" w:hAnsi="Times New Roman" w:cs="Times New Roman"/>
          <w:sz w:val="22"/>
          <w:szCs w:val="22"/>
        </w:rPr>
        <w:t xml:space="preserve"> </w:t>
      </w:r>
    </w:p>
    <w:p w:rsidR="00DE122D" w:rsidRPr="00EC1B29" w:rsidRDefault="008E3C33">
      <w:pPr>
        <w:spacing w:after="0" w:line="480" w:lineRule="auto"/>
        <w:jc w:val="both"/>
        <w:rPr>
          <w:rFonts w:ascii="Times New Roman" w:hAnsi="Times New Roman" w:cs="Times New Roman"/>
        </w:rPr>
      </w:pPr>
      <w:r w:rsidRPr="00EC1B29">
        <w:rPr>
          <w:rFonts w:ascii="Times New Roman" w:hAnsi="Times New Roman" w:cs="Times New Roman"/>
        </w:rPr>
        <w:t xml:space="preserve">It is critical to assess if the annual Land Footprint (ha) per country of direct export was consistent with the annually harvested area reported by each country (Faostat, 2022). As already mentioned, indeed, the exporting country does not necessarily correspond to the producing country of the primary crop, therefore we decided to perform a test to detect the presence of intermediate trade partners - i.e. trade partners that annually exported a quantity of primary crop eq. greater than the quantity produced domestically in the same year. </w:t>
      </w:r>
    </w:p>
    <w:p w:rsidR="00DE122D" w:rsidRPr="00EC1B29" w:rsidRDefault="008E3C33">
      <w:pPr>
        <w:spacing w:after="0" w:line="480" w:lineRule="auto"/>
        <w:jc w:val="both"/>
        <w:rPr>
          <w:rFonts w:ascii="Times New Roman" w:hAnsi="Times New Roman" w:cs="Times New Roman"/>
        </w:rPr>
      </w:pPr>
      <w:r w:rsidRPr="00EC1B29">
        <w:rPr>
          <w:rFonts w:ascii="Times New Roman" w:hAnsi="Times New Roman" w:cs="Times New Roman"/>
        </w:rPr>
        <w:t xml:space="preserve">To do so, we divided the dataset into two sub-sets: one for those partners where the annually harvested area is equal to or higher than the annual Land Footprint (positive test) and another one for those countries where the harvested area is lower than the annual Land Footprint (negative test). Then, while leaving aside the first subset, the second is further assessed.   </w:t>
      </w:r>
    </w:p>
    <w:p w:rsidR="00DE122D" w:rsidRPr="00EC1B29" w:rsidRDefault="008E3C33">
      <w:pPr>
        <w:spacing w:after="0" w:line="480" w:lineRule="auto"/>
        <w:jc w:val="both"/>
        <w:rPr>
          <w:rFonts w:ascii="Times New Roman" w:hAnsi="Times New Roman" w:cs="Times New Roman"/>
        </w:rPr>
      </w:pPr>
      <w:r w:rsidRPr="00EC1B29">
        <w:rPr>
          <w:rFonts w:ascii="Times New Roman" w:hAnsi="Times New Roman" w:cs="Times New Roman"/>
        </w:rPr>
        <w:t>Hence, from the subset of the negative test, to avoid losing data, we firstly selected all the rows (i.e. countries) that, even if having an annual harvested area lower than the Land Footprint, still presented positive values for the latter. These hectares of palm oil plantations were re-integrated within the dataset containing the positive test. These (very few) cases represent countries that, even if producing the primary crop domestically, have exported to the four EU importers some volumes of oil palm fruits eq. which were cultivated outside of their borders.</w:t>
      </w:r>
    </w:p>
    <w:p w:rsidR="00DE122D" w:rsidRPr="00EC1B29" w:rsidRDefault="008E3C33">
      <w:pPr>
        <w:spacing w:after="0" w:line="480" w:lineRule="auto"/>
        <w:jc w:val="both"/>
        <w:rPr>
          <w:rFonts w:ascii="Times New Roman" w:hAnsi="Times New Roman" w:cs="Times New Roman"/>
        </w:rPr>
      </w:pPr>
      <w:r w:rsidRPr="00EC1B29">
        <w:rPr>
          <w:rFonts w:ascii="Times New Roman" w:hAnsi="Times New Roman" w:cs="Times New Roman"/>
        </w:rPr>
        <w:lastRenderedPageBreak/>
        <w:t>After reintegrating the area harvested, by modifying trade data on ROW imports of oil palm fruits eq., we quantified, for each of the intermediate trade partners (i), the total of the annual imports for the three commodities (x,y,z): (∑</w:t>
      </w:r>
      <w:r w:rsidRPr="00EC1B29">
        <w:rPr>
          <w:rFonts w:ascii="Times New Roman" w:hAnsi="Times New Roman" w:cs="Times New Roman"/>
          <w:vertAlign w:val="subscript"/>
        </w:rPr>
        <w:t>i</w:t>
      </w:r>
      <w:r w:rsidRPr="00EC1B29">
        <w:rPr>
          <w:rFonts w:ascii="Times New Roman" w:hAnsi="Times New Roman" w:cs="Times New Roman"/>
          <w:vertAlign w:val="superscript"/>
        </w:rPr>
        <w:t>n =t</w:t>
      </w:r>
      <w:r w:rsidRPr="00EC1B29">
        <w:rPr>
          <w:rFonts w:ascii="Times New Roman" w:hAnsi="Times New Roman" w:cs="Times New Roman"/>
        </w:rPr>
        <w:t xml:space="preserve"> Imp</w:t>
      </w:r>
      <w:r w:rsidRPr="00EC1B29">
        <w:rPr>
          <w:rFonts w:ascii="Times New Roman" w:hAnsi="Times New Roman" w:cs="Times New Roman"/>
          <w:vertAlign w:val="subscript"/>
        </w:rPr>
        <w:t>(x,y,z)</w:t>
      </w:r>
      <w:r w:rsidRPr="00EC1B29">
        <w:rPr>
          <w:rFonts w:ascii="Times New Roman" w:hAnsi="Times New Roman" w:cs="Times New Roman"/>
        </w:rPr>
        <w:t xml:space="preserve">). </w:t>
      </w:r>
    </w:p>
    <w:p w:rsidR="00DE122D" w:rsidRPr="00EC1B29" w:rsidRDefault="008E3C33">
      <w:pPr>
        <w:spacing w:after="0" w:line="480" w:lineRule="auto"/>
        <w:jc w:val="both"/>
        <w:rPr>
          <w:rFonts w:ascii="Times New Roman" w:hAnsi="Times New Roman" w:cs="Times New Roman"/>
        </w:rPr>
      </w:pPr>
      <w:r w:rsidRPr="00EC1B29">
        <w:rPr>
          <w:rFonts w:ascii="Times New Roman" w:hAnsi="Times New Roman" w:cs="Times New Roman"/>
        </w:rPr>
        <w:t>Then through Eq. 3 and Eq. 4, we calculated respectively 1) the annual trade share of imports of each intermediate trade partners from each corresponding annual trade partner, and 2) the annual “extra Land Footprint” of each intermediate trade partner.</w:t>
      </w:r>
    </w:p>
    <w:p w:rsidR="00DE122D" w:rsidRPr="00EC1B29" w:rsidRDefault="00DE122D">
      <w:pPr>
        <w:spacing w:after="0" w:line="480" w:lineRule="auto"/>
        <w:jc w:val="both"/>
        <w:rPr>
          <w:rFonts w:ascii="Times New Roman" w:hAnsi="Times New Roman" w:cs="Times New Roman"/>
        </w:rPr>
      </w:pPr>
    </w:p>
    <w:p w:rsidR="00DE122D" w:rsidRPr="00EC1B29" w:rsidRDefault="008E3C33">
      <w:pPr>
        <w:spacing w:after="0" w:line="480" w:lineRule="auto"/>
        <w:jc w:val="center"/>
        <w:rPr>
          <w:rFonts w:ascii="Times New Roman" w:hAnsi="Times New Roman" w:cs="Times New Roman"/>
        </w:rPr>
      </w:pPr>
      <w:r w:rsidRPr="00EC1B29">
        <w:rPr>
          <w:rFonts w:ascii="Times New Roman" w:hAnsi="Times New Roman" w:cs="Times New Roman"/>
          <w:b/>
          <w:sz w:val="28"/>
        </w:rPr>
        <w:t>T</w:t>
      </w:r>
      <w:r w:rsidRPr="00EC1B29">
        <w:rPr>
          <w:rFonts w:ascii="Times New Roman" w:hAnsi="Times New Roman" w:cs="Times New Roman"/>
          <w:b/>
          <w:sz w:val="28"/>
          <w:vertAlign w:val="subscript"/>
        </w:rPr>
        <w:t>%,i,p,</w:t>
      </w:r>
      <w:r w:rsidRPr="00EC1B29">
        <w:rPr>
          <w:rFonts w:ascii="Times New Roman" w:hAnsi="Times New Roman" w:cs="Times New Roman"/>
          <w:b/>
          <w:sz w:val="28"/>
          <w:szCs w:val="28"/>
          <w:vertAlign w:val="subscript"/>
        </w:rPr>
        <w:t>t</w:t>
      </w:r>
      <w:r w:rsidRPr="00EC1B29">
        <w:rPr>
          <w:rFonts w:ascii="Times New Roman" w:hAnsi="Times New Roman" w:cs="Times New Roman"/>
          <w:b/>
          <w:sz w:val="28"/>
          <w:szCs w:val="28"/>
        </w:rPr>
        <w:t xml:space="preserve"> </w:t>
      </w:r>
      <w:r w:rsidRPr="00EC1B29">
        <w:rPr>
          <w:rFonts w:ascii="Times New Roman" w:hAnsi="Times New Roman" w:cs="Times New Roman"/>
          <w:vertAlign w:val="superscript"/>
        </w:rPr>
        <w:t xml:space="preserve">  </w:t>
      </w:r>
      <w:r w:rsidRPr="00EC1B29">
        <w:rPr>
          <w:rFonts w:ascii="Times New Roman" w:hAnsi="Times New Roman" w:cs="Times New Roman"/>
        </w:rPr>
        <w:t>= (</w:t>
      </w:r>
      <w:r w:rsidRPr="00EC1B29">
        <w:rPr>
          <w:rFonts w:ascii="Times New Roman" w:hAnsi="Times New Roman" w:cs="Times New Roman"/>
          <w:b/>
          <w:sz w:val="28"/>
        </w:rPr>
        <w:t>Imp</w:t>
      </w:r>
      <w:r w:rsidRPr="00EC1B29">
        <w:rPr>
          <w:rFonts w:ascii="Times New Roman" w:hAnsi="Times New Roman" w:cs="Times New Roman"/>
          <w:b/>
          <w:sz w:val="28"/>
          <w:vertAlign w:val="superscript"/>
        </w:rPr>
        <w:t xml:space="preserve"> </w:t>
      </w:r>
      <w:r w:rsidRPr="00EC1B29">
        <w:rPr>
          <w:rFonts w:ascii="Times New Roman" w:hAnsi="Times New Roman" w:cs="Times New Roman"/>
          <w:b/>
          <w:sz w:val="28"/>
          <w:vertAlign w:val="subscript"/>
        </w:rPr>
        <w:t>i,p,</w:t>
      </w:r>
      <w:r w:rsidRPr="00EC1B29">
        <w:rPr>
          <w:rFonts w:ascii="Times New Roman" w:hAnsi="Times New Roman" w:cs="Times New Roman"/>
          <w:b/>
          <w:sz w:val="28"/>
          <w:szCs w:val="28"/>
          <w:vertAlign w:val="subscript"/>
        </w:rPr>
        <w:t>t</w:t>
      </w:r>
      <w:r w:rsidRPr="00EC1B29">
        <w:rPr>
          <w:rFonts w:ascii="Times New Roman" w:hAnsi="Times New Roman" w:cs="Times New Roman"/>
          <w:b/>
          <w:sz w:val="28"/>
          <w:szCs w:val="28"/>
        </w:rPr>
        <w:t xml:space="preserve"> </w:t>
      </w:r>
      <w:r w:rsidRPr="00EC1B29">
        <w:rPr>
          <w:rFonts w:ascii="Times New Roman" w:hAnsi="Times New Roman" w:cs="Times New Roman"/>
        </w:rPr>
        <w:t xml:space="preserve"> </w:t>
      </w:r>
      <w:r w:rsidRPr="00EC1B29">
        <w:rPr>
          <w:rFonts w:ascii="Times New Roman" w:hAnsi="Times New Roman" w:cs="Times New Roman"/>
          <w:b/>
          <w:sz w:val="28"/>
        </w:rPr>
        <w:t>/ ∑</w:t>
      </w:r>
      <w:r w:rsidRPr="00EC1B29">
        <w:rPr>
          <w:rFonts w:ascii="Times New Roman" w:hAnsi="Times New Roman" w:cs="Times New Roman"/>
          <w:b/>
          <w:sz w:val="28"/>
          <w:szCs w:val="28"/>
          <w:vertAlign w:val="subscript"/>
        </w:rPr>
        <w:t xml:space="preserve"> </w:t>
      </w:r>
      <w:r w:rsidRPr="00EC1B29">
        <w:rPr>
          <w:rFonts w:ascii="Times New Roman" w:hAnsi="Times New Roman" w:cs="Times New Roman"/>
          <w:b/>
          <w:sz w:val="28"/>
          <w:szCs w:val="28"/>
          <w:vertAlign w:val="superscript"/>
        </w:rPr>
        <w:t>t</w:t>
      </w:r>
      <w:r w:rsidRPr="00EC1B29">
        <w:rPr>
          <w:rFonts w:ascii="Times New Roman" w:hAnsi="Times New Roman" w:cs="Times New Roman"/>
          <w:b/>
          <w:sz w:val="28"/>
        </w:rPr>
        <w:t>Imp</w:t>
      </w:r>
      <w:r w:rsidRPr="00EC1B29">
        <w:rPr>
          <w:rFonts w:ascii="Times New Roman" w:hAnsi="Times New Roman" w:cs="Times New Roman"/>
          <w:b/>
          <w:sz w:val="28"/>
          <w:vertAlign w:val="subscript"/>
        </w:rPr>
        <w:t>i</w:t>
      </w:r>
      <w:r w:rsidRPr="00EC1B29">
        <w:rPr>
          <w:rFonts w:ascii="Times New Roman" w:hAnsi="Times New Roman" w:cs="Times New Roman"/>
          <w:b/>
          <w:sz w:val="28"/>
        </w:rPr>
        <w:t xml:space="preserve"> </w:t>
      </w:r>
      <w:r w:rsidRPr="00EC1B29">
        <w:rPr>
          <w:rFonts w:ascii="Times New Roman" w:hAnsi="Times New Roman" w:cs="Times New Roman"/>
          <w:b/>
          <w:sz w:val="28"/>
          <w:vertAlign w:val="subscript"/>
        </w:rPr>
        <w:t>(x,y,z)</w:t>
      </w:r>
      <w:r w:rsidRPr="00EC1B29">
        <w:rPr>
          <w:rFonts w:ascii="Times New Roman" w:hAnsi="Times New Roman" w:cs="Times New Roman"/>
          <w:b/>
          <w:sz w:val="28"/>
        </w:rPr>
        <w:t xml:space="preserve">) *100   </w:t>
      </w:r>
      <w:r w:rsidRPr="00EC1B29">
        <w:rPr>
          <w:rFonts w:ascii="Times New Roman" w:hAnsi="Times New Roman" w:cs="Times New Roman"/>
          <w:b/>
        </w:rPr>
        <w:t>[Eq. 3]</w:t>
      </w:r>
    </w:p>
    <w:p w:rsidR="00DE122D" w:rsidRPr="00EC1B29" w:rsidRDefault="008E3C33">
      <w:pPr>
        <w:spacing w:after="0" w:line="480" w:lineRule="auto"/>
        <w:rPr>
          <w:rFonts w:ascii="Times New Roman" w:hAnsi="Times New Roman" w:cs="Times New Roman"/>
        </w:rPr>
      </w:pPr>
      <w:r w:rsidRPr="00EC1B29">
        <w:rPr>
          <w:rFonts w:ascii="Times New Roman" w:hAnsi="Times New Roman" w:cs="Times New Roman"/>
        </w:rPr>
        <w:t>Where:</w:t>
      </w:r>
    </w:p>
    <w:p w:rsidR="00DE122D" w:rsidRPr="00EC1B29" w:rsidRDefault="008E3C33">
      <w:pPr>
        <w:spacing w:after="0" w:line="480" w:lineRule="auto"/>
        <w:rPr>
          <w:rFonts w:ascii="Times New Roman" w:hAnsi="Times New Roman" w:cs="Times New Roman"/>
        </w:rPr>
      </w:pPr>
      <w:r w:rsidRPr="00EC1B29">
        <w:rPr>
          <w:rFonts w:ascii="Times New Roman" w:hAnsi="Times New Roman" w:cs="Times New Roman"/>
          <w:b/>
        </w:rPr>
        <w:t>T</w:t>
      </w:r>
      <w:r w:rsidRPr="00EC1B29">
        <w:rPr>
          <w:rFonts w:ascii="Times New Roman" w:hAnsi="Times New Roman" w:cs="Times New Roman"/>
          <w:b/>
          <w:vertAlign w:val="subscript"/>
        </w:rPr>
        <w:t>%,i,p,t</w:t>
      </w:r>
      <w:r w:rsidRPr="00EC1B29">
        <w:rPr>
          <w:rFonts w:ascii="Times New Roman" w:hAnsi="Times New Roman" w:cs="Times New Roman"/>
        </w:rPr>
        <w:t>: Annual (t) trade share of the i</w:t>
      </w:r>
      <w:r w:rsidRPr="00EC1B29">
        <w:rPr>
          <w:rFonts w:ascii="Times New Roman" w:hAnsi="Times New Roman" w:cs="Times New Roman"/>
          <w:vertAlign w:val="superscript"/>
        </w:rPr>
        <w:t>th</w:t>
      </w:r>
      <w:r w:rsidRPr="00EC1B29">
        <w:rPr>
          <w:rFonts w:ascii="Times New Roman" w:hAnsi="Times New Roman" w:cs="Times New Roman"/>
        </w:rPr>
        <w:t xml:space="preserve"> intermediate trade partner from the p</w:t>
      </w:r>
      <w:r w:rsidRPr="00EC1B29">
        <w:rPr>
          <w:rFonts w:ascii="Times New Roman" w:hAnsi="Times New Roman" w:cs="Times New Roman"/>
          <w:vertAlign w:val="superscript"/>
        </w:rPr>
        <w:t>th</w:t>
      </w:r>
      <w:r w:rsidRPr="00EC1B29">
        <w:rPr>
          <w:rFonts w:ascii="Times New Roman" w:hAnsi="Times New Roman" w:cs="Times New Roman"/>
        </w:rPr>
        <w:t xml:space="preserve"> trade partner (%).</w:t>
      </w:r>
    </w:p>
    <w:p w:rsidR="00DE122D" w:rsidRPr="00EC1B29" w:rsidRDefault="008E3C33">
      <w:pPr>
        <w:spacing w:after="0" w:line="480" w:lineRule="auto"/>
        <w:rPr>
          <w:rFonts w:ascii="Times New Roman" w:hAnsi="Times New Roman" w:cs="Times New Roman"/>
        </w:rPr>
      </w:pPr>
      <w:r w:rsidRPr="00EC1B29">
        <w:rPr>
          <w:rFonts w:ascii="Times New Roman" w:hAnsi="Times New Roman" w:cs="Times New Roman"/>
          <w:b/>
        </w:rPr>
        <w:t>Imp</w:t>
      </w:r>
      <w:r w:rsidRPr="00EC1B29">
        <w:rPr>
          <w:rFonts w:ascii="Times New Roman" w:hAnsi="Times New Roman" w:cs="Times New Roman"/>
          <w:b/>
          <w:vertAlign w:val="superscript"/>
        </w:rPr>
        <w:t xml:space="preserve"> </w:t>
      </w:r>
      <w:r w:rsidRPr="00EC1B29">
        <w:rPr>
          <w:rFonts w:ascii="Times New Roman" w:hAnsi="Times New Roman" w:cs="Times New Roman"/>
          <w:b/>
          <w:vertAlign w:val="subscript"/>
        </w:rPr>
        <w:t>i,p,t</w:t>
      </w:r>
      <w:r w:rsidRPr="00EC1B29">
        <w:rPr>
          <w:rFonts w:ascii="Times New Roman" w:hAnsi="Times New Roman" w:cs="Times New Roman"/>
          <w:b/>
        </w:rPr>
        <w:t xml:space="preserve">: </w:t>
      </w:r>
      <w:r w:rsidRPr="00EC1B29">
        <w:rPr>
          <w:rFonts w:ascii="Times New Roman" w:hAnsi="Times New Roman" w:cs="Times New Roman"/>
        </w:rPr>
        <w:t>Annual (n=t) import of the i</w:t>
      </w:r>
      <w:r w:rsidRPr="00EC1B29">
        <w:rPr>
          <w:rFonts w:ascii="Times New Roman" w:hAnsi="Times New Roman" w:cs="Times New Roman"/>
          <w:vertAlign w:val="superscript"/>
        </w:rPr>
        <w:t>th</w:t>
      </w:r>
      <w:r w:rsidRPr="00EC1B29">
        <w:rPr>
          <w:rFonts w:ascii="Times New Roman" w:hAnsi="Times New Roman" w:cs="Times New Roman"/>
        </w:rPr>
        <w:t xml:space="preserve"> intermediate trade partner from the p</w:t>
      </w:r>
      <w:r w:rsidRPr="00EC1B29">
        <w:rPr>
          <w:rFonts w:ascii="Times New Roman" w:hAnsi="Times New Roman" w:cs="Times New Roman"/>
          <w:vertAlign w:val="superscript"/>
        </w:rPr>
        <w:t>th</w:t>
      </w:r>
      <w:r w:rsidRPr="00EC1B29">
        <w:rPr>
          <w:rFonts w:ascii="Times New Roman" w:hAnsi="Times New Roman" w:cs="Times New Roman"/>
        </w:rPr>
        <w:t xml:space="preserve"> trade partner (tonnes).</w:t>
      </w:r>
    </w:p>
    <w:p w:rsidR="00DE122D" w:rsidRPr="00EC1B29" w:rsidRDefault="008E3C33">
      <w:pPr>
        <w:spacing w:after="0" w:line="480" w:lineRule="auto"/>
        <w:rPr>
          <w:rFonts w:ascii="Times New Roman" w:hAnsi="Times New Roman" w:cs="Times New Roman"/>
        </w:rPr>
      </w:pPr>
      <w:r w:rsidRPr="00EC1B29">
        <w:rPr>
          <w:rFonts w:ascii="Times New Roman" w:hAnsi="Times New Roman" w:cs="Times New Roman"/>
          <w:b/>
        </w:rPr>
        <w:t>∑</w:t>
      </w:r>
      <w:r w:rsidRPr="00EC1B29">
        <w:rPr>
          <w:rFonts w:ascii="Times New Roman" w:hAnsi="Times New Roman" w:cs="Times New Roman"/>
          <w:b/>
          <w:sz w:val="28"/>
          <w:szCs w:val="28"/>
          <w:vertAlign w:val="superscript"/>
        </w:rPr>
        <w:t>t</w:t>
      </w:r>
      <w:r w:rsidRPr="00EC1B29">
        <w:rPr>
          <w:rFonts w:ascii="Times New Roman" w:hAnsi="Times New Roman" w:cs="Times New Roman"/>
          <w:b/>
        </w:rPr>
        <w:t>Imp</w:t>
      </w:r>
      <w:r w:rsidRPr="00EC1B29">
        <w:rPr>
          <w:rFonts w:ascii="Times New Roman" w:hAnsi="Times New Roman" w:cs="Times New Roman"/>
          <w:b/>
          <w:vertAlign w:val="subscript"/>
        </w:rPr>
        <w:t>i(x,y,z)</w:t>
      </w:r>
      <w:r w:rsidRPr="00EC1B29">
        <w:rPr>
          <w:rFonts w:ascii="Times New Roman" w:hAnsi="Times New Roman" w:cs="Times New Roman"/>
          <w:b/>
        </w:rPr>
        <w:t xml:space="preserve">: </w:t>
      </w:r>
      <w:r w:rsidRPr="00EC1B29">
        <w:rPr>
          <w:rFonts w:ascii="Times New Roman" w:hAnsi="Times New Roman" w:cs="Times New Roman"/>
        </w:rPr>
        <w:t>Total annual (t) imports of the i</w:t>
      </w:r>
      <w:r w:rsidRPr="00EC1B29">
        <w:rPr>
          <w:rFonts w:ascii="Times New Roman" w:hAnsi="Times New Roman" w:cs="Times New Roman"/>
          <w:vertAlign w:val="superscript"/>
        </w:rPr>
        <w:t>th</w:t>
      </w:r>
      <w:r w:rsidRPr="00EC1B29">
        <w:rPr>
          <w:rFonts w:ascii="Times New Roman" w:hAnsi="Times New Roman" w:cs="Times New Roman"/>
        </w:rPr>
        <w:t xml:space="preserve"> intermediate trade partner for the three commodities x, y, z (tonnes).</w:t>
      </w:r>
    </w:p>
    <w:p w:rsidR="00DE122D" w:rsidRPr="00EC1B29" w:rsidRDefault="00DE122D">
      <w:pPr>
        <w:spacing w:after="0" w:line="480" w:lineRule="auto"/>
        <w:rPr>
          <w:rFonts w:ascii="Times New Roman" w:hAnsi="Times New Roman" w:cs="Times New Roman"/>
        </w:rPr>
      </w:pPr>
    </w:p>
    <w:p w:rsidR="00DE122D" w:rsidRPr="00EC1B29" w:rsidRDefault="008E3C33">
      <w:pPr>
        <w:spacing w:after="0" w:line="480" w:lineRule="auto"/>
        <w:jc w:val="center"/>
        <w:rPr>
          <w:rFonts w:ascii="Times New Roman" w:hAnsi="Times New Roman" w:cs="Times New Roman"/>
        </w:rPr>
      </w:pPr>
      <w:r w:rsidRPr="00EC1B29">
        <w:rPr>
          <w:rFonts w:ascii="Times New Roman" w:hAnsi="Times New Roman" w:cs="Times New Roman"/>
          <w:b/>
          <w:sz w:val="28"/>
          <w:szCs w:val="28"/>
        </w:rPr>
        <w:t>EF</w:t>
      </w:r>
      <w:r w:rsidRPr="00EC1B29">
        <w:rPr>
          <w:rFonts w:ascii="Times New Roman" w:hAnsi="Times New Roman" w:cs="Times New Roman"/>
          <w:b/>
          <w:sz w:val="28"/>
          <w:szCs w:val="28"/>
          <w:vertAlign w:val="subscript"/>
        </w:rPr>
        <w:t>i,t</w:t>
      </w:r>
      <w:r w:rsidRPr="00EC1B29">
        <w:rPr>
          <w:rFonts w:ascii="Times New Roman" w:hAnsi="Times New Roman" w:cs="Times New Roman"/>
          <w:b/>
          <w:sz w:val="28"/>
          <w:szCs w:val="28"/>
        </w:rPr>
        <w:t xml:space="preserve"> = LF</w:t>
      </w:r>
      <w:r w:rsidRPr="00EC1B29">
        <w:rPr>
          <w:rFonts w:ascii="Times New Roman" w:hAnsi="Times New Roman" w:cs="Times New Roman"/>
          <w:b/>
          <w:sz w:val="28"/>
          <w:szCs w:val="28"/>
          <w:vertAlign w:val="subscript"/>
        </w:rPr>
        <w:t>dir,i,t</w:t>
      </w:r>
      <w:r w:rsidRPr="00EC1B29">
        <w:rPr>
          <w:rFonts w:ascii="Times New Roman" w:hAnsi="Times New Roman" w:cs="Times New Roman"/>
          <w:b/>
          <w:sz w:val="28"/>
          <w:szCs w:val="28"/>
        </w:rPr>
        <w:t xml:space="preserve"> </w:t>
      </w:r>
      <w:r w:rsidRPr="00EC1B29">
        <w:rPr>
          <w:rFonts w:ascii="Times New Roman" w:hAnsi="Times New Roman" w:cs="Times New Roman"/>
          <w:b/>
          <w:sz w:val="28"/>
          <w:szCs w:val="28"/>
          <w:vertAlign w:val="superscript"/>
        </w:rPr>
        <w:t xml:space="preserve"> </w:t>
      </w:r>
      <w:r w:rsidRPr="00EC1B29">
        <w:rPr>
          <w:rFonts w:ascii="Times New Roman" w:hAnsi="Times New Roman" w:cs="Times New Roman"/>
          <w:b/>
          <w:sz w:val="28"/>
          <w:szCs w:val="28"/>
        </w:rPr>
        <w:t>- AreaHarv</w:t>
      </w:r>
      <w:r w:rsidRPr="00EC1B29">
        <w:rPr>
          <w:rFonts w:ascii="Times New Roman" w:hAnsi="Times New Roman" w:cs="Times New Roman"/>
          <w:b/>
          <w:sz w:val="28"/>
          <w:szCs w:val="28"/>
          <w:vertAlign w:val="subscript"/>
        </w:rPr>
        <w:t>i,t</w:t>
      </w:r>
      <w:r w:rsidRPr="00EC1B29">
        <w:rPr>
          <w:rFonts w:ascii="Times New Roman" w:hAnsi="Times New Roman" w:cs="Times New Roman"/>
          <w:b/>
          <w:sz w:val="28"/>
          <w:szCs w:val="28"/>
        </w:rPr>
        <w:t xml:space="preserve"> </w:t>
      </w:r>
      <w:r w:rsidRPr="00EC1B29">
        <w:rPr>
          <w:rFonts w:ascii="Times New Roman" w:hAnsi="Times New Roman" w:cs="Times New Roman"/>
          <w:b/>
          <w:sz w:val="28"/>
          <w:szCs w:val="28"/>
          <w:vertAlign w:val="subscript"/>
        </w:rPr>
        <w:t xml:space="preserve">      </w:t>
      </w:r>
      <w:r w:rsidRPr="00EC1B29">
        <w:rPr>
          <w:rFonts w:ascii="Times New Roman" w:hAnsi="Times New Roman" w:cs="Times New Roman"/>
          <w:b/>
        </w:rPr>
        <w:t>[Eq. 4]</w:t>
      </w:r>
    </w:p>
    <w:p w:rsidR="00DE122D" w:rsidRPr="00EC1B29" w:rsidRDefault="008E3C33">
      <w:pPr>
        <w:spacing w:after="0" w:line="480" w:lineRule="auto"/>
        <w:rPr>
          <w:rFonts w:ascii="Times New Roman" w:hAnsi="Times New Roman" w:cs="Times New Roman"/>
        </w:rPr>
      </w:pPr>
      <w:r w:rsidRPr="00EC1B29">
        <w:rPr>
          <w:rFonts w:ascii="Times New Roman" w:hAnsi="Times New Roman" w:cs="Times New Roman"/>
        </w:rPr>
        <w:t>Where:</w:t>
      </w:r>
    </w:p>
    <w:p w:rsidR="00DE122D" w:rsidRPr="00EC1B29" w:rsidRDefault="008E3C33">
      <w:pPr>
        <w:spacing w:after="0" w:line="480" w:lineRule="auto"/>
        <w:rPr>
          <w:rFonts w:ascii="Times New Roman" w:hAnsi="Times New Roman" w:cs="Times New Roman"/>
        </w:rPr>
      </w:pPr>
      <w:r w:rsidRPr="00EC1B29">
        <w:rPr>
          <w:rFonts w:ascii="Times New Roman" w:hAnsi="Times New Roman" w:cs="Times New Roman"/>
          <w:b/>
          <w:bCs/>
        </w:rPr>
        <w:t>EF</w:t>
      </w:r>
      <w:r w:rsidRPr="00EC1B29">
        <w:rPr>
          <w:rFonts w:ascii="Times New Roman" w:hAnsi="Times New Roman" w:cs="Times New Roman"/>
          <w:b/>
          <w:bCs/>
          <w:vertAlign w:val="subscript"/>
        </w:rPr>
        <w:t>i,</w:t>
      </w:r>
      <w:r w:rsidRPr="00EC1B29">
        <w:rPr>
          <w:rFonts w:ascii="Times New Roman" w:hAnsi="Times New Roman" w:cs="Times New Roman"/>
          <w:b/>
          <w:vertAlign w:val="subscript"/>
        </w:rPr>
        <w:t>t</w:t>
      </w:r>
      <w:r w:rsidRPr="00EC1B29">
        <w:rPr>
          <w:rFonts w:ascii="Times New Roman" w:hAnsi="Times New Roman" w:cs="Times New Roman"/>
          <w:b/>
          <w:bCs/>
        </w:rPr>
        <w:t>:</w:t>
      </w:r>
      <w:r w:rsidRPr="00EC1B29">
        <w:rPr>
          <w:rFonts w:ascii="Times New Roman" w:hAnsi="Times New Roman" w:cs="Times New Roman"/>
        </w:rPr>
        <w:t xml:space="preserve"> Annual (t) extra Land Footprint of the i</w:t>
      </w:r>
      <w:r w:rsidRPr="00EC1B29">
        <w:rPr>
          <w:rFonts w:ascii="Times New Roman" w:hAnsi="Times New Roman" w:cs="Times New Roman"/>
          <w:vertAlign w:val="superscript"/>
        </w:rPr>
        <w:t>th</w:t>
      </w:r>
      <w:r w:rsidRPr="00EC1B29">
        <w:rPr>
          <w:rFonts w:ascii="Times New Roman" w:hAnsi="Times New Roman" w:cs="Times New Roman"/>
        </w:rPr>
        <w:t xml:space="preserve"> intermediate trade partner (ha).</w:t>
      </w:r>
    </w:p>
    <w:p w:rsidR="00DE122D" w:rsidRPr="00EC1B29" w:rsidRDefault="008E3C33">
      <w:pPr>
        <w:spacing w:after="0" w:line="480" w:lineRule="auto"/>
        <w:rPr>
          <w:rFonts w:ascii="Times New Roman" w:hAnsi="Times New Roman" w:cs="Times New Roman"/>
        </w:rPr>
      </w:pPr>
      <w:r w:rsidRPr="00EC1B29">
        <w:rPr>
          <w:rFonts w:ascii="Times New Roman" w:hAnsi="Times New Roman" w:cs="Times New Roman"/>
          <w:b/>
          <w:bCs/>
        </w:rPr>
        <w:t>LF</w:t>
      </w:r>
      <w:r w:rsidRPr="00EC1B29">
        <w:rPr>
          <w:rFonts w:ascii="Times New Roman" w:hAnsi="Times New Roman" w:cs="Times New Roman"/>
          <w:b/>
          <w:bCs/>
          <w:vertAlign w:val="subscript"/>
        </w:rPr>
        <w:t>dir,i,</w:t>
      </w:r>
      <w:r w:rsidRPr="00EC1B29">
        <w:rPr>
          <w:rFonts w:ascii="Times New Roman" w:hAnsi="Times New Roman" w:cs="Times New Roman"/>
          <w:b/>
          <w:vertAlign w:val="subscript"/>
        </w:rPr>
        <w:t>t</w:t>
      </w:r>
      <w:r w:rsidRPr="00EC1B29">
        <w:rPr>
          <w:rFonts w:ascii="Times New Roman" w:hAnsi="Times New Roman" w:cs="Times New Roman"/>
          <w:b/>
          <w:bCs/>
        </w:rPr>
        <w:t xml:space="preserve">: </w:t>
      </w:r>
      <w:r w:rsidRPr="00EC1B29">
        <w:rPr>
          <w:rFonts w:ascii="Times New Roman" w:eastAsia="Segoe UI" w:hAnsi="Times New Roman" w:cs="Times New Roman"/>
          <w:color w:val="000000"/>
          <w:kern w:val="2"/>
          <w:lang w:eastAsia="zh-CN" w:bidi="hi-IN"/>
        </w:rPr>
        <w:t>Annual (t) h</w:t>
      </w:r>
      <w:r w:rsidRPr="00EC1B29">
        <w:rPr>
          <w:rFonts w:ascii="Times New Roman" w:hAnsi="Times New Roman" w:cs="Times New Roman"/>
        </w:rPr>
        <w:t>ectares of palm oil plantations imported from the i</w:t>
      </w:r>
      <w:r w:rsidRPr="00EC1B29">
        <w:rPr>
          <w:rFonts w:ascii="Times New Roman" w:hAnsi="Times New Roman" w:cs="Times New Roman"/>
          <w:vertAlign w:val="superscript"/>
        </w:rPr>
        <w:t>th</w:t>
      </w:r>
      <w:r w:rsidRPr="00EC1B29">
        <w:rPr>
          <w:rFonts w:ascii="Times New Roman" w:hAnsi="Times New Roman" w:cs="Times New Roman"/>
        </w:rPr>
        <w:t xml:space="preserve"> intermediate (direct) t</w:t>
      </w:r>
      <w:r w:rsidRPr="00EC1B29">
        <w:rPr>
          <w:rFonts w:ascii="Times New Roman" w:eastAsia="Segoe UI" w:hAnsi="Times New Roman" w:cs="Times New Roman"/>
          <w:color w:val="000000"/>
          <w:kern w:val="2"/>
          <w:lang w:eastAsia="zh-CN" w:bidi="hi-IN"/>
        </w:rPr>
        <w:t>ra</w:t>
      </w:r>
      <w:r w:rsidRPr="00EC1B29">
        <w:rPr>
          <w:rFonts w:ascii="Times New Roman" w:hAnsi="Times New Roman" w:cs="Times New Roman"/>
        </w:rPr>
        <w:t>de partners (ha).</w:t>
      </w:r>
    </w:p>
    <w:p w:rsidR="00DE122D" w:rsidRPr="00EC1B29" w:rsidRDefault="008E3C33">
      <w:pPr>
        <w:spacing w:after="0" w:line="480" w:lineRule="auto"/>
        <w:rPr>
          <w:rFonts w:ascii="Times New Roman" w:hAnsi="Times New Roman" w:cs="Times New Roman"/>
        </w:rPr>
      </w:pPr>
      <w:r w:rsidRPr="00EC1B29">
        <w:rPr>
          <w:rFonts w:ascii="Times New Roman" w:hAnsi="Times New Roman" w:cs="Times New Roman"/>
          <w:b/>
        </w:rPr>
        <w:t>AreaHarv</w:t>
      </w:r>
      <w:r w:rsidRPr="00EC1B29">
        <w:rPr>
          <w:rFonts w:ascii="Times New Roman" w:hAnsi="Times New Roman" w:cs="Times New Roman"/>
          <w:b/>
          <w:vertAlign w:val="subscript"/>
        </w:rPr>
        <w:t>i,t</w:t>
      </w:r>
      <w:r w:rsidRPr="00EC1B29">
        <w:rPr>
          <w:rFonts w:ascii="Times New Roman" w:hAnsi="Times New Roman" w:cs="Times New Roman"/>
          <w:b/>
          <w:bCs/>
        </w:rPr>
        <w:t>:</w:t>
      </w:r>
      <w:r w:rsidRPr="00EC1B29">
        <w:rPr>
          <w:rFonts w:ascii="Times New Roman" w:hAnsi="Times New Roman" w:cs="Times New Roman"/>
        </w:rPr>
        <w:t xml:space="preserve"> Annual (t) area harvested of the i</w:t>
      </w:r>
      <w:r w:rsidRPr="00EC1B29">
        <w:rPr>
          <w:rFonts w:ascii="Times New Roman" w:hAnsi="Times New Roman" w:cs="Times New Roman"/>
          <w:vertAlign w:val="superscript"/>
        </w:rPr>
        <w:t>th</w:t>
      </w:r>
      <w:r w:rsidRPr="00EC1B29">
        <w:rPr>
          <w:rFonts w:ascii="Times New Roman" w:hAnsi="Times New Roman" w:cs="Times New Roman"/>
        </w:rPr>
        <w:t xml:space="preserve"> intermediate trade partner (ha).</w:t>
      </w:r>
    </w:p>
    <w:p w:rsidR="00DE122D" w:rsidRPr="00EC1B29" w:rsidRDefault="00DE122D">
      <w:pPr>
        <w:spacing w:after="0" w:line="480" w:lineRule="auto"/>
        <w:jc w:val="both"/>
        <w:rPr>
          <w:rFonts w:ascii="Times New Roman" w:hAnsi="Times New Roman" w:cs="Times New Roman"/>
        </w:rPr>
      </w:pPr>
    </w:p>
    <w:p w:rsidR="00DE122D" w:rsidRPr="00EC1B29" w:rsidRDefault="008E3C33">
      <w:pPr>
        <w:spacing w:after="0" w:line="480" w:lineRule="auto"/>
        <w:jc w:val="both"/>
        <w:rPr>
          <w:rFonts w:ascii="Times New Roman" w:hAnsi="Times New Roman" w:cs="Times New Roman"/>
        </w:rPr>
      </w:pPr>
      <w:r w:rsidRPr="00EC1B29">
        <w:rPr>
          <w:rFonts w:ascii="Times New Roman" w:hAnsi="Times New Roman" w:cs="Times New Roman"/>
        </w:rPr>
        <w:t>In order to re-allocate the extra Land Footprint, through Eq. 5, we quantified the annual indirect Land Footprint via intermediate trade partners to indirect trade partners (i.e., producing country):</w:t>
      </w:r>
    </w:p>
    <w:p w:rsidR="00DE122D" w:rsidRPr="00EC1B29" w:rsidRDefault="00DE122D">
      <w:pPr>
        <w:spacing w:after="0" w:line="480" w:lineRule="auto"/>
        <w:jc w:val="both"/>
        <w:rPr>
          <w:rFonts w:ascii="Times New Roman" w:hAnsi="Times New Roman" w:cs="Times New Roman"/>
        </w:rPr>
      </w:pPr>
    </w:p>
    <w:p w:rsidR="00DE122D" w:rsidRPr="00EC1B29" w:rsidRDefault="008E3C33">
      <w:pPr>
        <w:spacing w:after="0" w:line="480" w:lineRule="auto"/>
        <w:jc w:val="center"/>
        <w:rPr>
          <w:rFonts w:ascii="Times New Roman" w:hAnsi="Times New Roman" w:cs="Times New Roman"/>
        </w:rPr>
      </w:pPr>
      <w:r w:rsidRPr="00EC1B29">
        <w:rPr>
          <w:rFonts w:ascii="Times New Roman" w:hAnsi="Times New Roman" w:cs="Times New Roman"/>
          <w:b/>
          <w:sz w:val="28"/>
          <w:szCs w:val="28"/>
        </w:rPr>
        <w:t>LF</w:t>
      </w:r>
      <w:r w:rsidRPr="00EC1B29">
        <w:rPr>
          <w:rFonts w:ascii="Times New Roman" w:hAnsi="Times New Roman" w:cs="Times New Roman"/>
          <w:b/>
          <w:sz w:val="28"/>
          <w:szCs w:val="28"/>
          <w:vertAlign w:val="subscript"/>
        </w:rPr>
        <w:t xml:space="preserve"> indi,j,t</w:t>
      </w:r>
      <w:r w:rsidRPr="00EC1B29">
        <w:rPr>
          <w:rFonts w:ascii="Times New Roman" w:hAnsi="Times New Roman" w:cs="Times New Roman"/>
          <w:b/>
          <w:sz w:val="28"/>
          <w:szCs w:val="28"/>
        </w:rPr>
        <w:t xml:space="preserve">  =  (EF</w:t>
      </w:r>
      <w:r w:rsidRPr="00EC1B29">
        <w:rPr>
          <w:rFonts w:ascii="Times New Roman" w:hAnsi="Times New Roman" w:cs="Times New Roman"/>
          <w:b/>
          <w:sz w:val="28"/>
          <w:szCs w:val="28"/>
          <w:vertAlign w:val="subscript"/>
        </w:rPr>
        <w:t>i,t</w:t>
      </w:r>
      <w:r w:rsidRPr="00EC1B29">
        <w:rPr>
          <w:rFonts w:ascii="Times New Roman" w:hAnsi="Times New Roman" w:cs="Times New Roman"/>
          <w:b/>
          <w:sz w:val="28"/>
          <w:szCs w:val="28"/>
        </w:rPr>
        <w:t xml:space="preserve"> </w:t>
      </w:r>
      <w:r w:rsidRPr="00EC1B29">
        <w:rPr>
          <w:rFonts w:ascii="Times New Roman" w:hAnsi="Times New Roman" w:cs="Times New Roman"/>
          <w:b/>
          <w:sz w:val="28"/>
          <w:szCs w:val="28"/>
          <w:vertAlign w:val="superscript"/>
        </w:rPr>
        <w:t xml:space="preserve"> </w:t>
      </w:r>
      <w:r w:rsidRPr="00EC1B29">
        <w:rPr>
          <w:rFonts w:ascii="Times New Roman" w:hAnsi="Times New Roman" w:cs="Times New Roman"/>
          <w:b/>
          <w:sz w:val="28"/>
          <w:szCs w:val="28"/>
        </w:rPr>
        <w:t>* T</w:t>
      </w:r>
      <w:r w:rsidRPr="00EC1B29">
        <w:rPr>
          <w:rFonts w:ascii="Times New Roman" w:hAnsi="Times New Roman" w:cs="Times New Roman"/>
          <w:b/>
          <w:sz w:val="28"/>
          <w:szCs w:val="28"/>
          <w:vertAlign w:val="subscript"/>
        </w:rPr>
        <w:t>%,i,p,t</w:t>
      </w:r>
      <w:r w:rsidRPr="00EC1B29">
        <w:rPr>
          <w:rFonts w:ascii="Times New Roman" w:hAnsi="Times New Roman" w:cs="Times New Roman"/>
          <w:b/>
          <w:sz w:val="28"/>
          <w:szCs w:val="28"/>
        </w:rPr>
        <w:t>)</w:t>
      </w:r>
      <w:r w:rsidRPr="00EC1B29">
        <w:rPr>
          <w:rFonts w:ascii="Times New Roman" w:hAnsi="Times New Roman" w:cs="Times New Roman"/>
          <w:b/>
          <w:sz w:val="28"/>
          <w:szCs w:val="28"/>
          <w:vertAlign w:val="superscript"/>
        </w:rPr>
        <w:t xml:space="preserve"> </w:t>
      </w:r>
      <w:r w:rsidRPr="00EC1B29">
        <w:rPr>
          <w:rFonts w:ascii="Times New Roman" w:hAnsi="Times New Roman" w:cs="Times New Roman"/>
          <w:b/>
          <w:sz w:val="28"/>
          <w:szCs w:val="28"/>
        </w:rPr>
        <w:t xml:space="preserve">/ 100     </w:t>
      </w:r>
      <w:r w:rsidRPr="00EC1B29">
        <w:rPr>
          <w:rFonts w:ascii="Times New Roman" w:hAnsi="Times New Roman" w:cs="Times New Roman"/>
          <w:b/>
        </w:rPr>
        <w:t>[Eq. 5]</w:t>
      </w:r>
    </w:p>
    <w:p w:rsidR="00DE122D" w:rsidRPr="00EC1B29" w:rsidRDefault="008E3C33">
      <w:pPr>
        <w:spacing w:after="0" w:line="480" w:lineRule="auto"/>
        <w:rPr>
          <w:rFonts w:ascii="Times New Roman" w:hAnsi="Times New Roman" w:cs="Times New Roman"/>
        </w:rPr>
      </w:pPr>
      <w:r w:rsidRPr="00EC1B29">
        <w:rPr>
          <w:rFonts w:ascii="Times New Roman" w:hAnsi="Times New Roman" w:cs="Times New Roman"/>
        </w:rPr>
        <w:t>Where:</w:t>
      </w:r>
    </w:p>
    <w:p w:rsidR="00DE122D" w:rsidRPr="00EC1B29" w:rsidRDefault="008E3C33">
      <w:pPr>
        <w:spacing w:after="0" w:line="480" w:lineRule="auto"/>
        <w:rPr>
          <w:rFonts w:ascii="Times New Roman" w:hAnsi="Times New Roman" w:cs="Times New Roman"/>
        </w:rPr>
      </w:pPr>
      <w:r w:rsidRPr="00EC1B29">
        <w:rPr>
          <w:rFonts w:ascii="Times New Roman" w:hAnsi="Times New Roman" w:cs="Times New Roman"/>
          <w:b/>
        </w:rPr>
        <w:lastRenderedPageBreak/>
        <w:t>LF</w:t>
      </w:r>
      <w:r w:rsidRPr="00EC1B29">
        <w:rPr>
          <w:rFonts w:ascii="Times New Roman" w:hAnsi="Times New Roman" w:cs="Times New Roman"/>
          <w:b/>
          <w:vertAlign w:val="subscript"/>
        </w:rPr>
        <w:t>ind i,j,t</w:t>
      </w:r>
      <w:r w:rsidRPr="00EC1B29">
        <w:rPr>
          <w:rFonts w:ascii="Times New Roman" w:hAnsi="Times New Roman" w:cs="Times New Roman"/>
          <w:b/>
        </w:rPr>
        <w:t xml:space="preserve">: </w:t>
      </w:r>
      <w:r w:rsidRPr="00EC1B29">
        <w:rPr>
          <w:rFonts w:ascii="Times New Roman" w:eastAsia="Segoe UI" w:hAnsi="Times New Roman" w:cs="Times New Roman"/>
          <w:color w:val="000000"/>
          <w:kern w:val="2"/>
          <w:lang w:eastAsia="zh-CN" w:bidi="hi-IN"/>
        </w:rPr>
        <w:t>Annual (t) h</w:t>
      </w:r>
      <w:r w:rsidRPr="00EC1B29">
        <w:rPr>
          <w:rFonts w:ascii="Times New Roman" w:hAnsi="Times New Roman" w:cs="Times New Roman"/>
        </w:rPr>
        <w:t xml:space="preserve">ectares of palm oil plantations imported via the </w:t>
      </w:r>
      <w:r w:rsidRPr="00EC1B29">
        <w:rPr>
          <w:rFonts w:ascii="Times New Roman" w:eastAsia="Segoe UI" w:hAnsi="Times New Roman" w:cs="Times New Roman"/>
          <w:color w:val="000000"/>
          <w:kern w:val="2"/>
          <w:lang w:eastAsia="zh-CN" w:bidi="hi-IN"/>
        </w:rPr>
        <w:t>i</w:t>
      </w:r>
      <w:r w:rsidRPr="00EC1B29">
        <w:rPr>
          <w:rFonts w:ascii="Times New Roman" w:eastAsia="Segoe UI" w:hAnsi="Times New Roman" w:cs="Times New Roman"/>
          <w:color w:val="000000"/>
          <w:kern w:val="2"/>
          <w:vertAlign w:val="superscript"/>
          <w:lang w:eastAsia="zh-CN" w:bidi="hi-IN"/>
        </w:rPr>
        <w:t>th</w:t>
      </w:r>
      <w:r w:rsidRPr="00EC1B29">
        <w:rPr>
          <w:rFonts w:ascii="Times New Roman" w:hAnsi="Times New Roman" w:cs="Times New Roman"/>
        </w:rPr>
        <w:t xml:space="preserve"> intermediate (direct) t</w:t>
      </w:r>
      <w:r w:rsidRPr="00EC1B29">
        <w:rPr>
          <w:rFonts w:ascii="Times New Roman" w:eastAsia="Segoe UI" w:hAnsi="Times New Roman" w:cs="Times New Roman"/>
          <w:color w:val="000000"/>
          <w:kern w:val="2"/>
          <w:lang w:eastAsia="zh-CN" w:bidi="hi-IN"/>
        </w:rPr>
        <w:t>ra</w:t>
      </w:r>
      <w:r w:rsidRPr="00EC1B29">
        <w:rPr>
          <w:rFonts w:ascii="Times New Roman" w:hAnsi="Times New Roman" w:cs="Times New Roman"/>
        </w:rPr>
        <w:t>de partners from the j</w:t>
      </w:r>
      <w:r w:rsidRPr="00EC1B29">
        <w:rPr>
          <w:rFonts w:ascii="Times New Roman" w:hAnsi="Times New Roman" w:cs="Times New Roman"/>
          <w:vertAlign w:val="superscript"/>
        </w:rPr>
        <w:t>th</w:t>
      </w:r>
      <w:r w:rsidRPr="00EC1B29">
        <w:rPr>
          <w:rFonts w:ascii="Times New Roman" w:hAnsi="Times New Roman" w:cs="Times New Roman"/>
        </w:rPr>
        <w:t xml:space="preserve"> indirect trade partners (ha).</w:t>
      </w:r>
    </w:p>
    <w:p w:rsidR="00DE122D" w:rsidRPr="00EC1B29" w:rsidRDefault="008E3C33">
      <w:pPr>
        <w:spacing w:after="0" w:line="480" w:lineRule="auto"/>
        <w:rPr>
          <w:rFonts w:ascii="Times New Roman" w:hAnsi="Times New Roman" w:cs="Times New Roman"/>
        </w:rPr>
      </w:pPr>
      <w:r w:rsidRPr="00EC1B29">
        <w:rPr>
          <w:rFonts w:ascii="Times New Roman" w:hAnsi="Times New Roman" w:cs="Times New Roman"/>
          <w:b/>
        </w:rPr>
        <w:t>EF</w:t>
      </w:r>
      <w:r w:rsidRPr="00EC1B29">
        <w:rPr>
          <w:rFonts w:ascii="Times New Roman" w:hAnsi="Times New Roman" w:cs="Times New Roman"/>
          <w:b/>
          <w:vertAlign w:val="subscript"/>
        </w:rPr>
        <w:t>i,t</w:t>
      </w:r>
      <w:r w:rsidRPr="00EC1B29">
        <w:rPr>
          <w:rFonts w:ascii="Times New Roman" w:hAnsi="Times New Roman" w:cs="Times New Roman"/>
          <w:b/>
        </w:rPr>
        <w:t xml:space="preserve">: </w:t>
      </w:r>
      <w:r w:rsidRPr="00EC1B29">
        <w:rPr>
          <w:rFonts w:ascii="Times New Roman" w:hAnsi="Times New Roman" w:cs="Times New Roman"/>
        </w:rPr>
        <w:t xml:space="preserve">Annual (t) extra Land Footprint of the </w:t>
      </w:r>
      <w:r w:rsidRPr="00EC1B29">
        <w:rPr>
          <w:rFonts w:ascii="Times New Roman" w:eastAsia="Segoe UI" w:hAnsi="Times New Roman" w:cs="Times New Roman"/>
          <w:color w:val="000000"/>
          <w:kern w:val="2"/>
          <w:lang w:eastAsia="zh-CN" w:bidi="hi-IN"/>
        </w:rPr>
        <w:t>i</w:t>
      </w:r>
      <w:r w:rsidRPr="00EC1B29">
        <w:rPr>
          <w:rFonts w:ascii="Times New Roman" w:eastAsia="Segoe UI" w:hAnsi="Times New Roman" w:cs="Times New Roman"/>
          <w:color w:val="000000"/>
          <w:kern w:val="2"/>
          <w:vertAlign w:val="superscript"/>
          <w:lang w:eastAsia="zh-CN" w:bidi="hi-IN"/>
        </w:rPr>
        <w:t>th</w:t>
      </w:r>
      <w:r w:rsidRPr="00EC1B29">
        <w:rPr>
          <w:rFonts w:ascii="Times New Roman" w:hAnsi="Times New Roman" w:cs="Times New Roman"/>
        </w:rPr>
        <w:t xml:space="preserve"> intermediate trade partner (ha).</w:t>
      </w:r>
    </w:p>
    <w:p w:rsidR="00DE122D" w:rsidRPr="00EC1B29" w:rsidRDefault="008E3C33">
      <w:pPr>
        <w:spacing w:after="0" w:line="480" w:lineRule="auto"/>
        <w:rPr>
          <w:rFonts w:ascii="Times New Roman" w:hAnsi="Times New Roman" w:cs="Times New Roman"/>
        </w:rPr>
      </w:pPr>
      <w:r w:rsidRPr="00EC1B29">
        <w:rPr>
          <w:rFonts w:ascii="Times New Roman" w:hAnsi="Times New Roman" w:cs="Times New Roman"/>
          <w:b/>
        </w:rPr>
        <w:t>T</w:t>
      </w:r>
      <w:r w:rsidRPr="00EC1B29">
        <w:rPr>
          <w:rFonts w:ascii="Times New Roman" w:hAnsi="Times New Roman" w:cs="Times New Roman"/>
          <w:b/>
          <w:vertAlign w:val="subscript"/>
        </w:rPr>
        <w:t>%,i,p,t</w:t>
      </w:r>
      <w:r w:rsidRPr="00EC1B29">
        <w:rPr>
          <w:rFonts w:ascii="Times New Roman" w:hAnsi="Times New Roman" w:cs="Times New Roman"/>
        </w:rPr>
        <w:t xml:space="preserve">: Annual (t) trade share of the </w:t>
      </w:r>
      <w:r w:rsidRPr="00EC1B29">
        <w:rPr>
          <w:rFonts w:ascii="Times New Roman" w:eastAsia="Segoe UI" w:hAnsi="Times New Roman" w:cs="Times New Roman"/>
          <w:color w:val="000000"/>
          <w:kern w:val="2"/>
          <w:lang w:eastAsia="zh-CN" w:bidi="hi-IN"/>
        </w:rPr>
        <w:t>i</w:t>
      </w:r>
      <w:r w:rsidRPr="00EC1B29">
        <w:rPr>
          <w:rFonts w:ascii="Times New Roman" w:eastAsia="Segoe UI" w:hAnsi="Times New Roman" w:cs="Times New Roman"/>
          <w:color w:val="000000"/>
          <w:kern w:val="2"/>
          <w:vertAlign w:val="superscript"/>
          <w:lang w:eastAsia="zh-CN" w:bidi="hi-IN"/>
        </w:rPr>
        <w:t>th</w:t>
      </w:r>
      <w:r w:rsidRPr="00EC1B29">
        <w:rPr>
          <w:rFonts w:ascii="Times New Roman" w:hAnsi="Times New Roman" w:cs="Times New Roman"/>
        </w:rPr>
        <w:t xml:space="preserve"> intermediate trade partner from the p</w:t>
      </w:r>
      <w:r w:rsidRPr="00EC1B29">
        <w:rPr>
          <w:rFonts w:ascii="Times New Roman" w:hAnsi="Times New Roman" w:cs="Times New Roman"/>
          <w:vertAlign w:val="superscript"/>
        </w:rPr>
        <w:t>th</w:t>
      </w:r>
      <w:r w:rsidRPr="00EC1B29">
        <w:rPr>
          <w:rFonts w:ascii="Times New Roman" w:hAnsi="Times New Roman" w:cs="Times New Roman"/>
        </w:rPr>
        <w:t xml:space="preserve"> trade partner (%).</w:t>
      </w:r>
    </w:p>
    <w:p w:rsidR="00DE122D" w:rsidRPr="00EC1B29" w:rsidRDefault="00DE122D">
      <w:pPr>
        <w:spacing w:after="0" w:line="480" w:lineRule="auto"/>
        <w:rPr>
          <w:rFonts w:ascii="Times New Roman" w:hAnsi="Times New Roman" w:cs="Times New Roman"/>
        </w:rPr>
      </w:pPr>
    </w:p>
    <w:p w:rsidR="00DE122D" w:rsidRPr="00EC1B29" w:rsidRDefault="008E3C33">
      <w:pPr>
        <w:spacing w:after="0" w:line="480" w:lineRule="auto"/>
        <w:rPr>
          <w:rFonts w:ascii="Times New Roman" w:hAnsi="Times New Roman" w:cs="Times New Roman"/>
        </w:rPr>
      </w:pPr>
      <w:r w:rsidRPr="00EC1B29">
        <w:rPr>
          <w:rFonts w:ascii="Times New Roman" w:hAnsi="Times New Roman" w:cs="Times New Roman"/>
        </w:rPr>
        <w:t>Once all the LF</w:t>
      </w:r>
      <w:r w:rsidRPr="00EC1B29">
        <w:rPr>
          <w:rFonts w:ascii="Times New Roman" w:hAnsi="Times New Roman" w:cs="Times New Roman"/>
          <w:vertAlign w:val="superscript"/>
        </w:rPr>
        <w:t>t</w:t>
      </w:r>
      <w:r w:rsidRPr="00EC1B29">
        <w:rPr>
          <w:rFonts w:ascii="Times New Roman" w:hAnsi="Times New Roman" w:cs="Times New Roman"/>
          <w:vertAlign w:val="subscript"/>
        </w:rPr>
        <w:t>ind i,j,t</w:t>
      </w:r>
      <w:r w:rsidRPr="00EC1B29">
        <w:rPr>
          <w:rFonts w:ascii="Times New Roman" w:hAnsi="Times New Roman" w:cs="Times New Roman"/>
          <w:b/>
          <w:sz w:val="28"/>
          <w:szCs w:val="28"/>
        </w:rPr>
        <w:t xml:space="preserve"> </w:t>
      </w:r>
      <w:r w:rsidRPr="00EC1B29">
        <w:rPr>
          <w:rFonts w:ascii="Times New Roman" w:hAnsi="Times New Roman" w:cs="Times New Roman"/>
        </w:rPr>
        <w:t xml:space="preserve"> values were re-integrated into the initial dataset (positive test), and the first Land Footprint re-allocation procedure was completed we performed a second test. The procedure was repeated until the extra land footprint reached a negligible value.</w:t>
      </w:r>
    </w:p>
    <w:p w:rsidR="00DE122D" w:rsidRPr="00EC1B29" w:rsidRDefault="00DE122D">
      <w:pPr>
        <w:spacing w:after="0" w:line="480" w:lineRule="auto"/>
        <w:rPr>
          <w:rFonts w:ascii="Times New Roman" w:hAnsi="Times New Roman" w:cs="Times New Roman"/>
        </w:rPr>
      </w:pPr>
    </w:p>
    <w:p w:rsidR="00DE122D" w:rsidRPr="00EC1B29" w:rsidRDefault="008E3C33">
      <w:pPr>
        <w:spacing w:after="0" w:line="480" w:lineRule="auto"/>
        <w:rPr>
          <w:rFonts w:ascii="Times New Roman" w:hAnsi="Times New Roman" w:cs="Times New Roman"/>
        </w:rPr>
      </w:pPr>
      <w:r w:rsidRPr="00EC1B29">
        <w:rPr>
          <w:rFonts w:ascii="Times New Roman" w:hAnsi="Times New Roman" w:cs="Times New Roman"/>
        </w:rPr>
        <w:t>Hence, for each importing country, we obtained a final dataset with the total Land Footprint of imports of oil palm fruits eq, which includes the re-allocation of the Land Footprint from intermediate trade partners to the EU indirect trade partners (i.e. producing countries).</w:t>
      </w:r>
    </w:p>
    <w:p w:rsidR="00DE122D" w:rsidRPr="00EC1B29" w:rsidRDefault="00DE122D">
      <w:pPr>
        <w:spacing w:after="0" w:line="480" w:lineRule="auto"/>
        <w:rPr>
          <w:rFonts w:ascii="Times New Roman" w:hAnsi="Times New Roman" w:cs="Times New Roman"/>
        </w:rPr>
      </w:pPr>
    </w:p>
    <w:p w:rsidR="00DE122D" w:rsidRPr="00EC1B29" w:rsidRDefault="008E3C33">
      <w:pPr>
        <w:pStyle w:val="Standard"/>
        <w:spacing w:after="160" w:line="480" w:lineRule="auto"/>
        <w:jc w:val="both"/>
        <w:rPr>
          <w:rFonts w:ascii="Times New Roman" w:hAnsi="Times New Roman" w:cs="Times New Roman"/>
        </w:rPr>
      </w:pPr>
      <w:r w:rsidRPr="00EC1B29">
        <w:rPr>
          <w:rFonts w:ascii="Times New Roman" w:hAnsi="Times New Roman" w:cs="Times New Roman"/>
          <w:b/>
          <w:sz w:val="22"/>
          <w:szCs w:val="22"/>
        </w:rPr>
        <w:t>Step five (5):</w:t>
      </w:r>
      <w:r w:rsidRPr="00EC1B29">
        <w:rPr>
          <w:rFonts w:ascii="Times New Roman" w:hAnsi="Times New Roman" w:cs="Times New Roman"/>
          <w:sz w:val="22"/>
          <w:szCs w:val="22"/>
        </w:rPr>
        <w:t xml:space="preserve"> </w:t>
      </w:r>
      <w:r w:rsidRPr="00EC1B29">
        <w:rPr>
          <w:rFonts w:ascii="Times New Roman" w:hAnsi="Times New Roman" w:cs="Times New Roman"/>
          <w:b/>
          <w:bCs/>
          <w:i/>
          <w:iCs/>
          <w:sz w:val="22"/>
          <w:szCs w:val="22"/>
        </w:rPr>
        <w:t>Embodied deforestation</w:t>
      </w:r>
      <w:r w:rsidRPr="00EC1B29">
        <w:rPr>
          <w:rFonts w:ascii="Times New Roman" w:hAnsi="Times New Roman" w:cs="Times New Roman"/>
          <w:sz w:val="22"/>
          <w:szCs w:val="22"/>
        </w:rPr>
        <w:t xml:space="preserve"> </w:t>
      </w:r>
    </w:p>
    <w:p w:rsidR="00DE122D" w:rsidRPr="00EC1B29" w:rsidRDefault="008E3C33">
      <w:pPr>
        <w:pStyle w:val="Standard"/>
        <w:spacing w:after="160" w:line="480" w:lineRule="auto"/>
        <w:jc w:val="both"/>
        <w:rPr>
          <w:rFonts w:ascii="Times New Roman" w:hAnsi="Times New Roman" w:cs="Times New Roman"/>
        </w:rPr>
      </w:pPr>
      <w:r w:rsidRPr="00EC1B29">
        <w:rPr>
          <w:rFonts w:ascii="Times New Roman" w:hAnsi="Times New Roman" w:cs="Times New Roman"/>
          <w:sz w:val="22"/>
          <w:szCs w:val="22"/>
        </w:rPr>
        <w:t>Table 2 in the article reports estimates from five studies regarding the annual share of forest loss within palm oil plantations in the Borneo regions. Here we explain the procedure adopted to obtain annual forest loss values (%).</w:t>
      </w:r>
    </w:p>
    <w:p w:rsidR="00DE122D" w:rsidRPr="00EC1B29" w:rsidRDefault="008E3C33">
      <w:pPr>
        <w:pStyle w:val="Standard"/>
        <w:spacing w:after="160" w:line="480" w:lineRule="auto"/>
        <w:jc w:val="both"/>
        <w:rPr>
          <w:rFonts w:ascii="Times New Roman" w:hAnsi="Times New Roman" w:cs="Times New Roman"/>
        </w:rPr>
      </w:pPr>
      <w:r w:rsidRPr="00EC1B29">
        <w:rPr>
          <w:rFonts w:ascii="Times New Roman" w:hAnsi="Times New Roman" w:cs="Times New Roman"/>
          <w:sz w:val="22"/>
          <w:szCs w:val="22"/>
        </w:rPr>
        <w:t>According to Meijaard et al., (2017), the average annual rate of forest loss within RSPO concessions between 2000 and 2015 was around 0.5% (Table 2 in Meijaard et al., 2017). Since, starting from 2005, a substantial reduction in deforestation rates has been detected, we arbitrarily lowered the average annual rate of forest loss to 0.4%. The same data for conventional plantations (i.e. NO-RSPO) is 0.9% (see Table 3 in Meijaard et al., 2017).</w:t>
      </w:r>
    </w:p>
    <w:p w:rsidR="00DE122D" w:rsidRPr="00EC1B29" w:rsidRDefault="008E3C33">
      <w:pPr>
        <w:pStyle w:val="Standard"/>
        <w:spacing w:after="160" w:line="480" w:lineRule="auto"/>
        <w:jc w:val="both"/>
        <w:rPr>
          <w:rFonts w:ascii="Times New Roman" w:hAnsi="Times New Roman" w:cs="Times New Roman"/>
          <w:sz w:val="22"/>
          <w:szCs w:val="22"/>
        </w:rPr>
      </w:pPr>
      <w:r w:rsidRPr="00EC1B29">
        <w:rPr>
          <w:rFonts w:ascii="Times New Roman" w:hAnsi="Times New Roman" w:cs="Times New Roman"/>
          <w:sz w:val="22"/>
          <w:szCs w:val="22"/>
        </w:rPr>
        <w:t xml:space="preserve">In order to quantify the annual rate of deforestation </w:t>
      </w:r>
      <w:bookmarkStart w:id="1" w:name="move1182147391"/>
      <w:r w:rsidRPr="00EC1B29">
        <w:rPr>
          <w:rFonts w:ascii="Times New Roman" w:hAnsi="Times New Roman" w:cs="Times New Roman"/>
          <w:sz w:val="22"/>
          <w:szCs w:val="22"/>
        </w:rPr>
        <w:t>from Gunarso et al. (2013),</w:t>
      </w:r>
      <w:bookmarkEnd w:id="1"/>
      <w:r w:rsidRPr="00EC1B29">
        <w:rPr>
          <w:rFonts w:ascii="Times New Roman" w:hAnsi="Times New Roman" w:cs="Times New Roman"/>
          <w:sz w:val="22"/>
          <w:szCs w:val="22"/>
        </w:rPr>
        <w:t xml:space="preserve"> we modified data on forest loss due to palm oil production between 2001 and 2015 for specific forest classes in Indonesia, Malaysia, and Papua New Guinea, as well as forest cover area in the year 2000 (Table 1).</w:t>
      </w:r>
    </w:p>
    <w:p w:rsidR="00DE122D" w:rsidRPr="00EC1B29" w:rsidRDefault="00DE122D">
      <w:pPr>
        <w:pStyle w:val="Standard"/>
        <w:spacing w:after="160" w:line="480" w:lineRule="auto"/>
        <w:jc w:val="both"/>
        <w:rPr>
          <w:rFonts w:ascii="Times New Roman" w:hAnsi="Times New Roman" w:cs="Times New Roman"/>
          <w:sz w:val="22"/>
          <w:szCs w:val="22"/>
        </w:rPr>
      </w:pPr>
    </w:p>
    <w:p w:rsidR="00DE122D" w:rsidRPr="00EC1B29" w:rsidRDefault="00DE122D">
      <w:pPr>
        <w:pStyle w:val="Standard"/>
        <w:spacing w:after="160" w:line="480" w:lineRule="auto"/>
        <w:jc w:val="both"/>
        <w:rPr>
          <w:rFonts w:ascii="Times New Roman" w:hAnsi="Times New Roman" w:cs="Times New Roman"/>
          <w:sz w:val="22"/>
          <w:szCs w:val="22"/>
        </w:rPr>
      </w:pPr>
    </w:p>
    <w:p w:rsidR="00DE122D" w:rsidRPr="00EC1B29" w:rsidRDefault="00DE122D">
      <w:pPr>
        <w:pStyle w:val="Standard"/>
        <w:spacing w:after="160" w:line="480" w:lineRule="auto"/>
        <w:jc w:val="both"/>
        <w:rPr>
          <w:rFonts w:ascii="Times New Roman" w:hAnsi="Times New Roman" w:cs="Times New Roman"/>
          <w:sz w:val="22"/>
          <w:szCs w:val="22"/>
        </w:rPr>
      </w:pPr>
    </w:p>
    <w:p w:rsidR="00DE122D" w:rsidRPr="00EC1B29" w:rsidRDefault="008E3C33">
      <w:pPr>
        <w:pStyle w:val="Standard"/>
        <w:spacing w:after="160" w:line="480" w:lineRule="auto"/>
        <w:jc w:val="center"/>
        <w:rPr>
          <w:rFonts w:ascii="Times New Roman" w:hAnsi="Times New Roman" w:cs="Times New Roman"/>
        </w:rPr>
      </w:pPr>
      <w:r w:rsidRPr="00EC1B29">
        <w:rPr>
          <w:rFonts w:ascii="Times New Roman" w:hAnsi="Times New Roman" w:cs="Times New Roman"/>
          <w:b/>
          <w:sz w:val="22"/>
          <w:szCs w:val="22"/>
        </w:rPr>
        <w:t>Table 2</w:t>
      </w:r>
      <w:r w:rsidRPr="00EC1B29">
        <w:rPr>
          <w:rFonts w:ascii="Times New Roman" w:hAnsi="Times New Roman" w:cs="Times New Roman"/>
          <w:sz w:val="22"/>
          <w:szCs w:val="22"/>
        </w:rPr>
        <w:t xml:space="preserve"> </w:t>
      </w:r>
      <w:r w:rsidRPr="00EC1B29">
        <w:rPr>
          <w:sz w:val="20"/>
          <w:szCs w:val="20"/>
          <w:lang w:val="en-US" w:eastAsia="en-US" w:bidi="en-US"/>
        </w:rPr>
        <w:t>Forest cover and forest loss due to palm oil production, per forest type, in Indonesia, Malaysia and PNG</w:t>
      </w:r>
      <w:r w:rsidRPr="00EC1B29">
        <w:rPr>
          <w:rFonts w:ascii="Times New Roman" w:hAnsi="Times New Roman" w:cs="Times New Roman"/>
          <w:sz w:val="22"/>
          <w:szCs w:val="22"/>
        </w:rPr>
        <w:t xml:space="preserve"> </w:t>
      </w:r>
    </w:p>
    <w:tbl>
      <w:tblPr>
        <w:tblW w:w="9660" w:type="dxa"/>
        <w:tblInd w:w="-30" w:type="dxa"/>
        <w:tblLayout w:type="fixed"/>
        <w:tblCellMar>
          <w:left w:w="30" w:type="dxa"/>
          <w:right w:w="30" w:type="dxa"/>
        </w:tblCellMar>
        <w:tblLook w:val="04A0" w:firstRow="1" w:lastRow="0" w:firstColumn="1" w:lastColumn="0" w:noHBand="0" w:noVBand="1"/>
      </w:tblPr>
      <w:tblGrid>
        <w:gridCol w:w="2500"/>
        <w:gridCol w:w="2380"/>
        <w:gridCol w:w="4780"/>
      </w:tblGrid>
      <w:tr w:rsidR="00DE122D" w:rsidRPr="00EC1B29">
        <w:trPr>
          <w:trHeight w:val="27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rPr>
                <w:rFonts w:ascii="Times New Roman" w:hAnsi="Times New Roman" w:cs="Times New Roman"/>
              </w:rPr>
            </w:pPr>
            <w:r w:rsidRPr="00EC1B29">
              <w:rPr>
                <w:rFonts w:ascii="Times New Roman" w:hAnsi="Times New Roman" w:cs="Times New Roman"/>
                <w:b/>
              </w:rPr>
              <w:t>Indonesia</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b/>
              </w:rPr>
              <w:t>Forest cover (ha)</w:t>
            </w:r>
          </w:p>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b/>
              </w:rPr>
              <w:t>(2000)</w:t>
            </w: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b/>
              </w:rPr>
              <w:t>Forest loss for palm oil production (ha)</w:t>
            </w:r>
          </w:p>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b/>
              </w:rPr>
              <w:t>(2001-2010)</w:t>
            </w: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Undisturbed Upland forest</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42,792,000</w:t>
            </w: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11,300</w:t>
            </w: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Disturbed Upland forest</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23,233,000</w:t>
            </w: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732,000</w:t>
            </w: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Undisturbed Swamp forest</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10,160,000</w:t>
            </w: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9,900</w:t>
            </w: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Disturbed Swamp forest</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6,267,000</w:t>
            </w: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366,000</w:t>
            </w: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rPr>
                <w:rFonts w:ascii="Times New Roman" w:hAnsi="Times New Roman" w:cs="Times New Roman"/>
                <w:b/>
                <w:bCs/>
              </w:rPr>
            </w:pPr>
            <w:r w:rsidRPr="00EC1B29">
              <w:rPr>
                <w:rFonts w:ascii="Times New Roman" w:hAnsi="Times New Roman" w:cs="Times New Roman"/>
                <w:b/>
                <w:bCs/>
              </w:rPr>
              <w:t>Total</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b/>
                <w:bCs/>
              </w:rPr>
            </w:pPr>
            <w:r w:rsidRPr="00EC1B29">
              <w:rPr>
                <w:rFonts w:ascii="Times New Roman" w:hAnsi="Times New Roman" w:cs="Times New Roman"/>
                <w:b/>
                <w:bCs/>
              </w:rPr>
              <w:t>82,452,000</w:t>
            </w: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b/>
                <w:bCs/>
              </w:rPr>
            </w:pPr>
            <w:r w:rsidRPr="00EC1B29">
              <w:rPr>
                <w:rFonts w:ascii="Times New Roman" w:hAnsi="Times New Roman" w:cs="Times New Roman"/>
                <w:b/>
                <w:bCs/>
              </w:rPr>
              <w:t>1,119,200</w:t>
            </w: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rPr>
                <w:rFonts w:ascii="Times New Roman" w:hAnsi="Times New Roman" w:cs="Times New Roman"/>
              </w:rPr>
            </w:pPr>
            <w:r w:rsidRPr="00EC1B29">
              <w:rPr>
                <w:rFonts w:ascii="Times New Roman" w:hAnsi="Times New Roman" w:cs="Times New Roman"/>
                <w:b/>
              </w:rPr>
              <w:t>Malaysia</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DE122D">
            <w:pPr>
              <w:widowControl w:val="0"/>
              <w:spacing w:line="480" w:lineRule="auto"/>
              <w:jc w:val="center"/>
              <w:rPr>
                <w:rFonts w:ascii="Times New Roman" w:hAnsi="Times New Roman" w:cs="Times New Roman"/>
              </w:rPr>
            </w:pP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DE122D">
            <w:pPr>
              <w:widowControl w:val="0"/>
              <w:spacing w:line="480" w:lineRule="auto"/>
              <w:jc w:val="center"/>
              <w:rPr>
                <w:rFonts w:ascii="Times New Roman" w:hAnsi="Times New Roman" w:cs="Times New Roman"/>
              </w:rPr>
            </w:pP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Undisturbed Upland forest</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3,710,000</w:t>
            </w: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200</w:t>
            </w: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Disturbed Upland forest</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16,901,000</w:t>
            </w: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496,000</w:t>
            </w: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Undisturbed Swamp forest</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189,000</w:t>
            </w: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0</w:t>
            </w: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Disturbed Swamp forest</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928,000</w:t>
            </w: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89,000</w:t>
            </w: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rPr>
                <w:rFonts w:ascii="Times New Roman" w:hAnsi="Times New Roman" w:cs="Times New Roman"/>
                <w:b/>
                <w:bCs/>
              </w:rPr>
            </w:pPr>
            <w:r w:rsidRPr="00EC1B29">
              <w:rPr>
                <w:rFonts w:ascii="Times New Roman" w:hAnsi="Times New Roman" w:cs="Times New Roman"/>
                <w:b/>
                <w:bCs/>
              </w:rPr>
              <w:t>Total</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b/>
                <w:bCs/>
              </w:rPr>
            </w:pPr>
            <w:r w:rsidRPr="00EC1B29">
              <w:rPr>
                <w:rFonts w:ascii="Times New Roman" w:hAnsi="Times New Roman" w:cs="Times New Roman"/>
                <w:b/>
                <w:bCs/>
              </w:rPr>
              <w:t>21,728,000</w:t>
            </w: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b/>
                <w:bCs/>
              </w:rPr>
            </w:pPr>
            <w:r w:rsidRPr="00EC1B29">
              <w:rPr>
                <w:rFonts w:ascii="Times New Roman" w:hAnsi="Times New Roman" w:cs="Times New Roman"/>
                <w:b/>
                <w:bCs/>
              </w:rPr>
              <w:t>585,200</w:t>
            </w: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rPr>
                <w:rFonts w:ascii="Times New Roman" w:hAnsi="Times New Roman" w:cs="Times New Roman"/>
              </w:rPr>
            </w:pPr>
            <w:r w:rsidRPr="00EC1B29">
              <w:rPr>
                <w:rFonts w:ascii="Times New Roman" w:hAnsi="Times New Roman" w:cs="Times New Roman"/>
                <w:b/>
              </w:rPr>
              <w:t>Papua New Guinea</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DE122D">
            <w:pPr>
              <w:widowControl w:val="0"/>
              <w:spacing w:line="480" w:lineRule="auto"/>
              <w:jc w:val="center"/>
              <w:rPr>
                <w:rFonts w:ascii="Times New Roman" w:hAnsi="Times New Roman" w:cs="Times New Roman"/>
              </w:rPr>
            </w:pP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DE122D">
            <w:pPr>
              <w:widowControl w:val="0"/>
              <w:spacing w:line="480" w:lineRule="auto"/>
              <w:jc w:val="center"/>
              <w:rPr>
                <w:rFonts w:ascii="Times New Roman" w:hAnsi="Times New Roman" w:cs="Times New Roman"/>
              </w:rPr>
            </w:pP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Undisturbed Upland forest</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23,452,000</w:t>
            </w: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4,934</w:t>
            </w: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Disturbed Upland forest</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7,588,000</w:t>
            </w: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61,944</w:t>
            </w: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Undisturbed Swamp forest</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1,533,000</w:t>
            </w: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0</w:t>
            </w: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lastRenderedPageBreak/>
              <w:t>Disturbed Swamp forest</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2,791,000</w:t>
            </w: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rPr>
            </w:pPr>
            <w:r w:rsidRPr="00EC1B29">
              <w:rPr>
                <w:rFonts w:ascii="Times New Roman" w:hAnsi="Times New Roman" w:cs="Times New Roman"/>
              </w:rPr>
              <w:t>338</w:t>
            </w:r>
          </w:p>
        </w:tc>
      </w:tr>
      <w:tr w:rsidR="00DE122D" w:rsidRPr="00EC1B29">
        <w:trPr>
          <w:trHeight w:val="256"/>
        </w:trPr>
        <w:tc>
          <w:tcPr>
            <w:tcW w:w="250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rPr>
                <w:rFonts w:ascii="Times New Roman" w:hAnsi="Times New Roman" w:cs="Times New Roman"/>
                <w:b/>
                <w:bCs/>
              </w:rPr>
            </w:pPr>
            <w:r w:rsidRPr="00EC1B29">
              <w:rPr>
                <w:rFonts w:ascii="Times New Roman" w:hAnsi="Times New Roman" w:cs="Times New Roman"/>
                <w:b/>
                <w:bCs/>
              </w:rPr>
              <w:t>Total</w:t>
            </w:r>
          </w:p>
        </w:tc>
        <w:tc>
          <w:tcPr>
            <w:tcW w:w="23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b/>
                <w:bCs/>
              </w:rPr>
            </w:pPr>
            <w:r w:rsidRPr="00EC1B29">
              <w:rPr>
                <w:rFonts w:ascii="Times New Roman" w:hAnsi="Times New Roman" w:cs="Times New Roman"/>
                <w:b/>
                <w:bCs/>
              </w:rPr>
              <w:t>35,364,000</w:t>
            </w:r>
          </w:p>
        </w:tc>
        <w:tc>
          <w:tcPr>
            <w:tcW w:w="4780" w:type="dxa"/>
            <w:tcBorders>
              <w:top w:val="single" w:sz="4" w:space="0" w:color="000000"/>
              <w:left w:val="single" w:sz="4" w:space="0" w:color="000000"/>
              <w:bottom w:val="single" w:sz="4" w:space="0" w:color="000000"/>
              <w:right w:val="single" w:sz="4" w:space="0" w:color="000000"/>
            </w:tcBorders>
            <w:vAlign w:val="bottom"/>
          </w:tcPr>
          <w:p w:rsidR="00DE122D" w:rsidRPr="00EC1B29" w:rsidRDefault="008E3C33">
            <w:pPr>
              <w:widowControl w:val="0"/>
              <w:spacing w:line="480" w:lineRule="auto"/>
              <w:jc w:val="center"/>
              <w:rPr>
                <w:rFonts w:ascii="Times New Roman" w:hAnsi="Times New Roman" w:cs="Times New Roman"/>
                <w:b/>
                <w:bCs/>
              </w:rPr>
            </w:pPr>
            <w:r w:rsidRPr="00EC1B29">
              <w:rPr>
                <w:rFonts w:ascii="Times New Roman" w:hAnsi="Times New Roman" w:cs="Times New Roman"/>
                <w:b/>
                <w:bCs/>
              </w:rPr>
              <w:t>67,216</w:t>
            </w:r>
          </w:p>
        </w:tc>
      </w:tr>
    </w:tbl>
    <w:p w:rsidR="00DE122D" w:rsidRPr="00EC1B29" w:rsidRDefault="00DE122D">
      <w:pPr>
        <w:spacing w:line="480" w:lineRule="auto"/>
        <w:rPr>
          <w:rFonts w:ascii="Times New Roman" w:eastAsia="Segoe UI" w:hAnsi="Times New Roman" w:cs="Times New Roman"/>
          <w:color w:val="000000"/>
          <w:kern w:val="2"/>
          <w:lang w:eastAsia="zh-CN" w:bidi="hi-IN"/>
        </w:rPr>
      </w:pPr>
    </w:p>
    <w:p w:rsidR="00DE122D" w:rsidRPr="00EC1B29" w:rsidRDefault="008E3C33" w:rsidP="008E3C33">
      <w:pPr>
        <w:spacing w:line="480" w:lineRule="auto"/>
        <w:jc w:val="both"/>
        <w:rPr>
          <w:rFonts w:ascii="Times New Roman" w:eastAsia="Segoe UI" w:hAnsi="Times New Roman" w:cs="Times New Roman"/>
          <w:color w:val="000000"/>
          <w:kern w:val="2"/>
          <w:lang w:eastAsia="zh-CN" w:bidi="hi-IN"/>
        </w:rPr>
      </w:pPr>
      <w:r w:rsidRPr="00EC1B29">
        <w:rPr>
          <w:rFonts w:ascii="Times New Roman" w:eastAsia="Segoe UI" w:hAnsi="Times New Roman" w:cs="Times New Roman"/>
          <w:color w:val="000000"/>
          <w:kern w:val="2"/>
          <w:lang w:eastAsia="zh-CN" w:bidi="hi-IN"/>
        </w:rPr>
        <w:t>Data for forest cover in Indonesia reported in Table 2 were also used to quantify the annual rate of deforestation that occurred within the country between 2000 and 2015, by considering the deforestation area caused during the period for palm oil production (1,558,000 ha) as reported within the supplementary materials in Austin et al. (2017).</w:t>
      </w:r>
    </w:p>
    <w:p w:rsidR="00DE122D" w:rsidRPr="00EC1B29" w:rsidRDefault="008E3C33" w:rsidP="008E3C33">
      <w:pPr>
        <w:spacing w:line="480" w:lineRule="auto"/>
        <w:jc w:val="both"/>
        <w:rPr>
          <w:rFonts w:ascii="Times New Roman" w:hAnsi="Times New Roman" w:cs="Times New Roman"/>
        </w:rPr>
      </w:pPr>
      <w:r w:rsidRPr="00EC1B29">
        <w:rPr>
          <w:rFonts w:ascii="Times New Roman" w:hAnsi="Times New Roman" w:cs="Times New Roman"/>
          <w:color w:val="0F0E0E"/>
        </w:rPr>
        <w:t>Regarding the RSPO and NO-RSPO annual deforestation rate (2001-2016) taken from the study of Cazzolla Gatti et al. (2019), we firstly quantified, from the supplementary information, the tree cover characterizing each assessed RSPO concessions in the year 2000 according to the following:</w:t>
      </w:r>
    </w:p>
    <w:p w:rsidR="00DE122D" w:rsidRPr="00EC1B29" w:rsidRDefault="008E3C33">
      <w:pPr>
        <w:spacing w:line="480" w:lineRule="auto"/>
        <w:jc w:val="center"/>
        <w:rPr>
          <w:rFonts w:ascii="Times New Roman" w:hAnsi="Times New Roman" w:cs="Times New Roman"/>
        </w:rPr>
      </w:pPr>
      <w:r w:rsidRPr="00EC1B29">
        <w:rPr>
          <w:rFonts w:ascii="Times New Roman" w:hAnsi="Times New Roman" w:cs="Times New Roman"/>
          <w:b/>
          <w:bCs/>
          <w:color w:val="0F0E0E"/>
        </w:rPr>
        <w:t xml:space="preserve">(Total tree cover loss </w:t>
      </w:r>
      <w:r w:rsidRPr="00EC1B29">
        <w:rPr>
          <w:rFonts w:ascii="Times New Roman" w:hAnsi="Times New Roman" w:cs="Times New Roman"/>
          <w:b/>
          <w:bCs/>
          <w:color w:val="0F0E0E"/>
          <w:vertAlign w:val="subscript"/>
        </w:rPr>
        <w:t xml:space="preserve">(2001-2016) </w:t>
      </w:r>
      <w:r w:rsidRPr="00EC1B29">
        <w:rPr>
          <w:rFonts w:ascii="Times New Roman" w:hAnsi="Times New Roman" w:cs="Times New Roman"/>
          <w:b/>
          <w:bCs/>
          <w:color w:val="0F0E0E"/>
        </w:rPr>
        <w:t xml:space="preserve">*100) / % of tree cover loss </w:t>
      </w:r>
      <w:r w:rsidRPr="00EC1B29">
        <w:rPr>
          <w:rFonts w:ascii="Times New Roman" w:hAnsi="Times New Roman" w:cs="Times New Roman"/>
          <w:b/>
          <w:bCs/>
          <w:color w:val="0F0E0E"/>
          <w:vertAlign w:val="subscript"/>
        </w:rPr>
        <w:t>(2001-2016)</w:t>
      </w:r>
      <w:r w:rsidRPr="00EC1B29">
        <w:rPr>
          <w:rFonts w:ascii="Times New Roman" w:hAnsi="Times New Roman" w:cs="Times New Roman"/>
          <w:b/>
          <w:bCs/>
          <w:color w:val="0F0E0E"/>
        </w:rPr>
        <w:t xml:space="preserve">   Eq. [6]</w:t>
      </w:r>
    </w:p>
    <w:p w:rsidR="00DE122D" w:rsidRPr="00EC1B29" w:rsidRDefault="008E3C33">
      <w:pPr>
        <w:spacing w:line="480" w:lineRule="auto"/>
        <w:rPr>
          <w:rFonts w:ascii="Times New Roman" w:hAnsi="Times New Roman" w:cs="Times New Roman"/>
        </w:rPr>
      </w:pPr>
      <w:r w:rsidRPr="00EC1B29">
        <w:rPr>
          <w:rFonts w:ascii="Times New Roman" w:hAnsi="Times New Roman" w:cs="Times New Roman"/>
          <w:color w:val="0F0E0E"/>
        </w:rPr>
        <w:t>Then, we quantified the tree cover still present in the year 2008 as follows:</w:t>
      </w:r>
    </w:p>
    <w:p w:rsidR="00DE122D" w:rsidRPr="00EC1B29" w:rsidRDefault="008E3C33">
      <w:pPr>
        <w:spacing w:line="480" w:lineRule="auto"/>
        <w:jc w:val="center"/>
        <w:rPr>
          <w:rFonts w:ascii="Times New Roman" w:hAnsi="Times New Roman" w:cs="Times New Roman"/>
        </w:rPr>
      </w:pPr>
      <w:r w:rsidRPr="00EC1B29">
        <w:rPr>
          <w:rFonts w:ascii="Times New Roman" w:hAnsi="Times New Roman" w:cs="Times New Roman"/>
          <w:b/>
          <w:bCs/>
          <w:color w:val="0F0E0E"/>
        </w:rPr>
        <w:t xml:space="preserve">Tree cover </w:t>
      </w:r>
      <w:r w:rsidRPr="00EC1B29">
        <w:rPr>
          <w:rFonts w:ascii="Times New Roman" w:hAnsi="Times New Roman" w:cs="Times New Roman"/>
          <w:b/>
          <w:bCs/>
          <w:color w:val="0F0E0E"/>
          <w:vertAlign w:val="subscript"/>
        </w:rPr>
        <w:t>(2000)</w:t>
      </w:r>
      <w:r w:rsidRPr="00EC1B29">
        <w:rPr>
          <w:rFonts w:ascii="Times New Roman" w:hAnsi="Times New Roman" w:cs="Times New Roman"/>
          <w:b/>
          <w:bCs/>
          <w:color w:val="0F0E0E"/>
        </w:rPr>
        <w:t xml:space="preserve"> - ∑</w:t>
      </w:r>
      <w:r w:rsidRPr="00EC1B29">
        <w:rPr>
          <w:rFonts w:ascii="Times New Roman" w:hAnsi="Times New Roman" w:cs="Times New Roman"/>
          <w:b/>
          <w:bCs/>
          <w:color w:val="0F0E0E"/>
          <w:vertAlign w:val="subscript"/>
        </w:rPr>
        <w:t>t</w:t>
      </w:r>
      <w:r w:rsidRPr="00EC1B29">
        <w:rPr>
          <w:rFonts w:ascii="Times New Roman" w:hAnsi="Times New Roman" w:cs="Times New Roman"/>
          <w:b/>
          <w:bCs/>
          <w:color w:val="0F0E0E"/>
          <w:vertAlign w:val="superscript"/>
        </w:rPr>
        <w:t xml:space="preserve"> </w:t>
      </w:r>
      <w:r w:rsidRPr="00EC1B29">
        <w:rPr>
          <w:rFonts w:ascii="Times New Roman" w:hAnsi="Times New Roman" w:cs="Times New Roman"/>
          <w:b/>
          <w:bCs/>
          <w:color w:val="0F0E0E"/>
        </w:rPr>
        <w:t>annual</w:t>
      </w:r>
      <w:r w:rsidRPr="00EC1B29">
        <w:rPr>
          <w:rFonts w:ascii="Times New Roman" w:hAnsi="Times New Roman" w:cs="Times New Roman"/>
          <w:b/>
          <w:bCs/>
          <w:color w:val="0F0E0E"/>
          <w:vertAlign w:val="superscript"/>
        </w:rPr>
        <w:t xml:space="preserve"> </w:t>
      </w:r>
      <w:r w:rsidRPr="00EC1B29">
        <w:rPr>
          <w:rFonts w:ascii="Times New Roman" w:hAnsi="Times New Roman" w:cs="Times New Roman"/>
          <w:b/>
          <w:bCs/>
          <w:color w:val="0F0E0E"/>
        </w:rPr>
        <w:t xml:space="preserve">tree cover loss </w:t>
      </w:r>
      <w:r w:rsidRPr="00EC1B29">
        <w:rPr>
          <w:rFonts w:ascii="Times New Roman" w:hAnsi="Times New Roman" w:cs="Times New Roman"/>
          <w:b/>
          <w:bCs/>
          <w:color w:val="0F0E0E"/>
          <w:vertAlign w:val="subscript"/>
        </w:rPr>
        <w:t>(2001-2007)</w:t>
      </w:r>
      <w:r w:rsidRPr="00EC1B29">
        <w:rPr>
          <w:rFonts w:ascii="Times New Roman" w:hAnsi="Times New Roman" w:cs="Times New Roman"/>
          <w:b/>
          <w:bCs/>
          <w:color w:val="0F0E0E"/>
        </w:rPr>
        <w:t xml:space="preserve">       Eq. [7]</w:t>
      </w:r>
    </w:p>
    <w:p w:rsidR="00DE122D" w:rsidRPr="00EC1B29" w:rsidRDefault="008E3C33">
      <w:pPr>
        <w:spacing w:line="480" w:lineRule="auto"/>
        <w:rPr>
          <w:rFonts w:ascii="Times New Roman" w:hAnsi="Times New Roman" w:cs="Times New Roman"/>
        </w:rPr>
      </w:pPr>
      <w:r w:rsidRPr="00EC1B29">
        <w:rPr>
          <w:rFonts w:ascii="Times New Roman" w:hAnsi="Times New Roman" w:cs="Times New Roman"/>
          <w:color w:val="0F0E0E"/>
        </w:rPr>
        <w:t>Hence, we quantified the annual rate of tree cover loss between 2008 and 2016 as follows:</w:t>
      </w:r>
    </w:p>
    <w:p w:rsidR="00DE122D" w:rsidRPr="00EC1B29" w:rsidRDefault="008E3C33">
      <w:pPr>
        <w:spacing w:line="480" w:lineRule="auto"/>
        <w:jc w:val="center"/>
        <w:rPr>
          <w:rFonts w:ascii="Times New Roman" w:hAnsi="Times New Roman" w:cs="Times New Roman"/>
        </w:rPr>
      </w:pPr>
      <w:r w:rsidRPr="00EC1B29">
        <w:rPr>
          <w:rFonts w:ascii="Times New Roman" w:hAnsi="Times New Roman" w:cs="Times New Roman"/>
          <w:b/>
          <w:bCs/>
          <w:color w:val="0F0E0E"/>
        </w:rPr>
        <w:t>[(∑</w:t>
      </w:r>
      <w:r w:rsidRPr="00EC1B29">
        <w:rPr>
          <w:rFonts w:ascii="Times New Roman" w:hAnsi="Times New Roman" w:cs="Times New Roman"/>
          <w:b/>
          <w:bCs/>
          <w:color w:val="0F0E0E"/>
          <w:vertAlign w:val="superscript"/>
        </w:rPr>
        <w:t xml:space="preserve"> </w:t>
      </w:r>
      <w:r w:rsidRPr="00EC1B29">
        <w:rPr>
          <w:rFonts w:ascii="Times New Roman" w:hAnsi="Times New Roman" w:cs="Times New Roman"/>
          <w:b/>
          <w:bCs/>
          <w:color w:val="0F0E0E"/>
        </w:rPr>
        <w:t>annual</w:t>
      </w:r>
      <w:r w:rsidRPr="00EC1B29">
        <w:rPr>
          <w:rFonts w:ascii="Times New Roman" w:hAnsi="Times New Roman" w:cs="Times New Roman"/>
          <w:b/>
          <w:bCs/>
          <w:color w:val="0F0E0E"/>
          <w:vertAlign w:val="superscript"/>
        </w:rPr>
        <w:t xml:space="preserve"> </w:t>
      </w:r>
      <w:r w:rsidRPr="00EC1B29">
        <w:rPr>
          <w:rFonts w:ascii="Times New Roman" w:hAnsi="Times New Roman" w:cs="Times New Roman"/>
          <w:b/>
          <w:bCs/>
          <w:color w:val="0F0E0E"/>
        </w:rPr>
        <w:t xml:space="preserve">tree cover loss </w:t>
      </w:r>
      <w:r w:rsidRPr="00EC1B29">
        <w:rPr>
          <w:rFonts w:ascii="Times New Roman" w:hAnsi="Times New Roman" w:cs="Times New Roman"/>
          <w:b/>
          <w:bCs/>
          <w:color w:val="0F0E0E"/>
          <w:vertAlign w:val="subscript"/>
        </w:rPr>
        <w:t>(2008-2016)</w:t>
      </w:r>
      <w:r w:rsidRPr="00EC1B29">
        <w:rPr>
          <w:rFonts w:ascii="Times New Roman" w:hAnsi="Times New Roman" w:cs="Times New Roman"/>
          <w:b/>
          <w:bCs/>
          <w:color w:val="0F0E0E"/>
        </w:rPr>
        <w:t xml:space="preserve"> *100) / total tree cover </w:t>
      </w:r>
      <w:r w:rsidRPr="00EC1B29">
        <w:rPr>
          <w:rFonts w:ascii="Times New Roman" w:hAnsi="Times New Roman" w:cs="Times New Roman"/>
          <w:b/>
          <w:bCs/>
          <w:color w:val="0F0E0E"/>
          <w:vertAlign w:val="subscript"/>
        </w:rPr>
        <w:t>(2008)</w:t>
      </w:r>
      <w:r w:rsidRPr="00EC1B29">
        <w:rPr>
          <w:rFonts w:ascii="Times New Roman" w:hAnsi="Times New Roman" w:cs="Times New Roman"/>
          <w:b/>
          <w:bCs/>
          <w:color w:val="0F0E0E"/>
        </w:rPr>
        <w:t xml:space="preserve">]  / 9 </w:t>
      </w:r>
      <w:r w:rsidRPr="00EC1B29">
        <w:rPr>
          <w:rFonts w:ascii="Times New Roman" w:hAnsi="Times New Roman" w:cs="Times New Roman"/>
          <w:b/>
          <w:bCs/>
          <w:color w:val="0F0E0E"/>
          <w:vertAlign w:val="subscript"/>
        </w:rPr>
        <w:t>(years)</w:t>
      </w:r>
      <w:r w:rsidRPr="00EC1B29">
        <w:rPr>
          <w:rFonts w:ascii="Times New Roman" w:hAnsi="Times New Roman" w:cs="Times New Roman"/>
          <w:b/>
          <w:bCs/>
          <w:color w:val="0F0E0E"/>
        </w:rPr>
        <w:t xml:space="preserve">   Eq. [8]</w:t>
      </w:r>
    </w:p>
    <w:p w:rsidR="00DE122D" w:rsidRPr="00EC1B29" w:rsidRDefault="008E3C33" w:rsidP="008E3C33">
      <w:pPr>
        <w:spacing w:line="480" w:lineRule="auto"/>
        <w:jc w:val="both"/>
        <w:rPr>
          <w:rFonts w:ascii="Times New Roman" w:hAnsi="Times New Roman" w:cs="Times New Roman"/>
        </w:rPr>
      </w:pPr>
      <w:r w:rsidRPr="00EC1B29">
        <w:rPr>
          <w:rFonts w:ascii="Times New Roman" w:eastAsia="Segoe UI" w:hAnsi="Times New Roman" w:cs="Times New Roman"/>
          <w:color w:val="0F0E0E"/>
          <w:kern w:val="2"/>
          <w:lang w:eastAsia="zh-CN" w:bidi="hi-IN"/>
        </w:rPr>
        <w:t>Eq. 6 and Eq. 8 allowed the calculation of the tree cover in the year 2000 and the annual tree cover loss between 2000 and 2016 within NO-RSPO production areas.</w:t>
      </w:r>
    </w:p>
    <w:p w:rsidR="00DE122D" w:rsidRPr="00EC1B29" w:rsidRDefault="008E3C33" w:rsidP="008E3C33">
      <w:pPr>
        <w:spacing w:line="480" w:lineRule="auto"/>
        <w:jc w:val="both"/>
        <w:rPr>
          <w:rFonts w:ascii="Times New Roman" w:hAnsi="Times New Roman" w:cs="Times New Roman"/>
          <w:color w:val="0F0E0E"/>
        </w:rPr>
      </w:pPr>
      <w:r w:rsidRPr="00EC1B29">
        <w:rPr>
          <w:rFonts w:ascii="Times New Roman" w:hAnsi="Times New Roman" w:cs="Times New Roman"/>
          <w:color w:val="0F0E0E"/>
        </w:rPr>
        <w:t>Finally, the values from Carlson et al. (2018) were gathered directly from Table S1 in the supplementary information. We chose the results of the base matching scenarios since they are those discussed within the paper.</w:t>
      </w:r>
    </w:p>
    <w:p w:rsidR="00DE122D" w:rsidRPr="00EC1B29" w:rsidRDefault="008E3C33">
      <w:pPr>
        <w:pStyle w:val="Standard"/>
        <w:spacing w:line="480" w:lineRule="auto"/>
        <w:jc w:val="both"/>
        <w:rPr>
          <w:rFonts w:ascii="Times New Roman" w:hAnsi="Times New Roman" w:cs="Times New Roman"/>
        </w:rPr>
      </w:pPr>
      <w:r w:rsidRPr="00EC1B29">
        <w:rPr>
          <w:rFonts w:ascii="Times New Roman" w:hAnsi="Times New Roman" w:cs="Times New Roman"/>
          <w:b/>
          <w:color w:val="0F0E0E"/>
          <w:sz w:val="22"/>
          <w:szCs w:val="22"/>
        </w:rPr>
        <w:t>Step six (6):</w:t>
      </w:r>
      <w:r w:rsidRPr="00EC1B29">
        <w:rPr>
          <w:rFonts w:ascii="Times New Roman" w:hAnsi="Times New Roman" w:cs="Times New Roman"/>
          <w:color w:val="0F0E0E"/>
          <w:sz w:val="22"/>
          <w:szCs w:val="22"/>
        </w:rPr>
        <w:t xml:space="preserve"> </w:t>
      </w:r>
      <w:r w:rsidRPr="00EC1B29">
        <w:rPr>
          <w:rFonts w:ascii="Times New Roman" w:hAnsi="Times New Roman" w:cs="Times New Roman"/>
          <w:b/>
          <w:bCs/>
          <w:i/>
          <w:iCs/>
          <w:color w:val="0F0E0E"/>
          <w:sz w:val="22"/>
          <w:szCs w:val="22"/>
        </w:rPr>
        <w:t>Per-capita deforestation footprint and per-capita embodied carbon dioxide emissions</w:t>
      </w:r>
    </w:p>
    <w:p w:rsidR="00DE122D" w:rsidRPr="00EC1B29" w:rsidRDefault="008E3C33">
      <w:pPr>
        <w:pStyle w:val="Standard"/>
        <w:spacing w:line="480" w:lineRule="auto"/>
        <w:jc w:val="both"/>
        <w:rPr>
          <w:rFonts w:ascii="Times New Roman" w:hAnsi="Times New Roman" w:cs="Times New Roman"/>
        </w:rPr>
      </w:pPr>
      <w:r w:rsidRPr="00EC1B29">
        <w:rPr>
          <w:rFonts w:ascii="Times New Roman" w:hAnsi="Times New Roman" w:cs="Times New Roman"/>
          <w:color w:val="0F0E0E"/>
          <w:sz w:val="22"/>
          <w:szCs w:val="22"/>
        </w:rPr>
        <w:t>Below are the four steps we have followed to estimate the annual carbon dioxide (CO</w:t>
      </w:r>
      <w:r w:rsidRPr="00EC1B29">
        <w:rPr>
          <w:rFonts w:ascii="Times New Roman" w:hAnsi="Times New Roman" w:cs="Times New Roman"/>
          <w:color w:val="0F0E0E"/>
          <w:sz w:val="22"/>
          <w:szCs w:val="22"/>
          <w:vertAlign w:val="subscript"/>
        </w:rPr>
        <w:t>2</w:t>
      </w:r>
      <w:r w:rsidRPr="00EC1B29">
        <w:rPr>
          <w:rFonts w:ascii="Times New Roman" w:hAnsi="Times New Roman" w:cs="Times New Roman"/>
          <w:color w:val="0F0E0E"/>
          <w:sz w:val="22"/>
          <w:szCs w:val="22"/>
        </w:rPr>
        <w:t>) emissions per hectare of palm oil plantations. The data used for estimations have been derived from Agus et al. (2013a) and EUROSTAT (2022).</w:t>
      </w:r>
    </w:p>
    <w:p w:rsidR="00DE122D" w:rsidRPr="00EC1B29" w:rsidRDefault="00DE122D">
      <w:pPr>
        <w:pStyle w:val="Standard"/>
        <w:spacing w:line="480" w:lineRule="auto"/>
        <w:jc w:val="both"/>
        <w:rPr>
          <w:rFonts w:ascii="Times New Roman" w:hAnsi="Times New Roman" w:cs="Times New Roman"/>
          <w:color w:val="0F0E0E"/>
          <w:sz w:val="22"/>
          <w:szCs w:val="22"/>
        </w:rPr>
      </w:pPr>
    </w:p>
    <w:p w:rsidR="00DE122D" w:rsidRPr="00EC1B29" w:rsidRDefault="008E3C33">
      <w:pPr>
        <w:pStyle w:val="Standard"/>
        <w:numPr>
          <w:ilvl w:val="0"/>
          <w:numId w:val="1"/>
        </w:numPr>
        <w:spacing w:line="480" w:lineRule="auto"/>
        <w:jc w:val="both"/>
        <w:rPr>
          <w:rFonts w:ascii="Times New Roman" w:hAnsi="Times New Roman" w:cs="Times New Roman"/>
        </w:rPr>
      </w:pPr>
      <w:r w:rsidRPr="00EC1B29">
        <w:rPr>
          <w:rFonts w:ascii="Times New Roman" w:hAnsi="Times New Roman" w:cs="Times New Roman"/>
          <w:color w:val="0F0E0E"/>
          <w:sz w:val="22"/>
          <w:szCs w:val="22"/>
        </w:rPr>
        <w:t>Mean annual net emissions of CO</w:t>
      </w:r>
      <w:r w:rsidRPr="00EC1B29">
        <w:rPr>
          <w:rFonts w:ascii="Times New Roman" w:hAnsi="Times New Roman" w:cs="Times New Roman"/>
          <w:color w:val="0F0E0E"/>
          <w:sz w:val="22"/>
          <w:szCs w:val="22"/>
          <w:vertAlign w:val="subscript"/>
        </w:rPr>
        <w:t>2</w:t>
      </w:r>
      <w:r w:rsidRPr="00EC1B29">
        <w:rPr>
          <w:rFonts w:ascii="Times New Roman" w:hAnsi="Times New Roman" w:cs="Times New Roman"/>
          <w:color w:val="0F0E0E"/>
          <w:sz w:val="22"/>
          <w:szCs w:val="22"/>
        </w:rPr>
        <w:t xml:space="preserve"> (Tg</w:t>
      </w:r>
      <w:r w:rsidRPr="00EC1B29">
        <w:rPr>
          <w:rFonts w:ascii="Times New Roman" w:hAnsi="Times New Roman" w:cs="Times New Roman"/>
          <w:sz w:val="22"/>
          <w:szCs w:val="22"/>
        </w:rPr>
        <w:t xml:space="preserve">) </w:t>
      </w:r>
      <w:r w:rsidRPr="00EC1B29">
        <w:rPr>
          <w:rFonts w:ascii="Times New Roman" w:hAnsi="Times New Roman" w:cs="Times New Roman"/>
          <w:color w:val="0F0E0E"/>
          <w:sz w:val="22"/>
          <w:szCs w:val="22"/>
        </w:rPr>
        <w:t>from oil palm plantations resulting from changes in AGC due to LUC, peat fires and peat oxidation between 1990 and 2010.</w:t>
      </w:r>
    </w:p>
    <w:p w:rsidR="00DE122D" w:rsidRPr="00EC1B29" w:rsidRDefault="008E3C33">
      <w:pPr>
        <w:pStyle w:val="Standard"/>
        <w:numPr>
          <w:ilvl w:val="0"/>
          <w:numId w:val="1"/>
        </w:numPr>
        <w:spacing w:line="480" w:lineRule="auto"/>
        <w:jc w:val="both"/>
        <w:rPr>
          <w:rFonts w:ascii="Times New Roman" w:hAnsi="Times New Roman" w:cs="Times New Roman"/>
        </w:rPr>
      </w:pPr>
      <w:r w:rsidRPr="00EC1B29">
        <w:rPr>
          <w:rFonts w:ascii="Times New Roman" w:hAnsi="Times New Roman" w:cs="Times New Roman"/>
          <w:color w:val="0F0E0E"/>
          <w:sz w:val="22"/>
          <w:szCs w:val="22"/>
        </w:rPr>
        <w:t>Mean annual palm oil plantations area expansion (480,000 ha), between 1990 and 2010, in Indonesia, Malaysia, and Papua New Guinea.</w:t>
      </w:r>
    </w:p>
    <w:p w:rsidR="00DE122D" w:rsidRPr="00EC1B29" w:rsidRDefault="008E3C33">
      <w:pPr>
        <w:pStyle w:val="Standard"/>
        <w:numPr>
          <w:ilvl w:val="0"/>
          <w:numId w:val="1"/>
        </w:numPr>
        <w:spacing w:line="480" w:lineRule="auto"/>
        <w:jc w:val="both"/>
        <w:rPr>
          <w:rFonts w:ascii="Times New Roman" w:hAnsi="Times New Roman" w:cs="Times New Roman"/>
        </w:rPr>
      </w:pPr>
      <w:r w:rsidRPr="00EC1B29">
        <w:rPr>
          <w:rFonts w:ascii="Times New Roman" w:hAnsi="Times New Roman" w:cs="Times New Roman"/>
          <w:color w:val="0F0E0E"/>
          <w:sz w:val="22"/>
          <w:szCs w:val="22"/>
        </w:rPr>
        <w:t>Mean annual net CO</w:t>
      </w:r>
      <w:r w:rsidRPr="00EC1B29">
        <w:rPr>
          <w:rFonts w:ascii="Times New Roman" w:hAnsi="Times New Roman" w:cs="Times New Roman"/>
          <w:color w:val="0F0E0E"/>
          <w:sz w:val="22"/>
          <w:szCs w:val="22"/>
          <w:vertAlign w:val="subscript"/>
        </w:rPr>
        <w:t xml:space="preserve">2 </w:t>
      </w:r>
      <w:r w:rsidRPr="00EC1B29">
        <w:rPr>
          <w:rFonts w:ascii="Times New Roman" w:hAnsi="Times New Roman" w:cs="Times New Roman"/>
          <w:color w:val="0F0E0E"/>
          <w:sz w:val="22"/>
          <w:szCs w:val="22"/>
        </w:rPr>
        <w:t>emissions (kg) per hectare of palm oil plantation in Indonesia, Malaysia, and Papua New Guinea.</w:t>
      </w:r>
    </w:p>
    <w:p w:rsidR="00DE122D" w:rsidRPr="00EC1B29" w:rsidRDefault="008E3C33">
      <w:pPr>
        <w:pStyle w:val="Standard"/>
        <w:numPr>
          <w:ilvl w:val="0"/>
          <w:numId w:val="1"/>
        </w:numPr>
        <w:spacing w:line="480" w:lineRule="auto"/>
        <w:jc w:val="both"/>
        <w:rPr>
          <w:rFonts w:ascii="Times New Roman" w:hAnsi="Times New Roman" w:cs="Times New Roman"/>
        </w:rPr>
      </w:pPr>
      <w:r w:rsidRPr="00EC1B29">
        <w:rPr>
          <w:rFonts w:ascii="Times New Roman" w:hAnsi="Times New Roman" w:cs="Times New Roman"/>
          <w:color w:val="0F0E0E"/>
          <w:sz w:val="22"/>
          <w:szCs w:val="22"/>
        </w:rPr>
        <w:t>Annual per-capita embodied CO</w:t>
      </w:r>
      <w:r w:rsidRPr="00EC1B29">
        <w:rPr>
          <w:rFonts w:ascii="Times New Roman" w:hAnsi="Times New Roman" w:cs="Times New Roman"/>
          <w:color w:val="0F0E0E"/>
          <w:sz w:val="22"/>
          <w:szCs w:val="22"/>
          <w:vertAlign w:val="subscript"/>
        </w:rPr>
        <w:t xml:space="preserve">2 </w:t>
      </w:r>
      <w:r w:rsidRPr="00EC1B29">
        <w:rPr>
          <w:rFonts w:ascii="Times New Roman" w:hAnsi="Times New Roman" w:cs="Times New Roman"/>
          <w:color w:val="0F0E0E"/>
          <w:sz w:val="22"/>
          <w:szCs w:val="22"/>
        </w:rPr>
        <w:t>emissions per country of import.</w:t>
      </w:r>
    </w:p>
    <w:p w:rsidR="00DE122D" w:rsidRPr="00EC1B29" w:rsidRDefault="00DE122D">
      <w:pPr>
        <w:spacing w:after="7" w:line="266" w:lineRule="auto"/>
        <w:rPr>
          <w:rFonts w:ascii="Times New Roman" w:hAnsi="Times New Roman" w:cs="Times New Roman"/>
        </w:rPr>
      </w:pPr>
    </w:p>
    <w:p w:rsidR="00DE122D" w:rsidRPr="00EC1B29" w:rsidRDefault="00DE122D">
      <w:pPr>
        <w:spacing w:after="7" w:line="266" w:lineRule="auto"/>
        <w:ind w:left="-5"/>
        <w:rPr>
          <w:rFonts w:ascii="Times New Roman" w:hAnsi="Times New Roman" w:cs="Times New Roman"/>
        </w:rPr>
      </w:pPr>
    </w:p>
    <w:p w:rsidR="00DE122D" w:rsidRPr="00EC1B29" w:rsidRDefault="008E3C33">
      <w:pPr>
        <w:pStyle w:val="Standard"/>
        <w:spacing w:line="480" w:lineRule="auto"/>
        <w:ind w:left="640" w:hanging="640"/>
        <w:jc w:val="both"/>
        <w:rPr>
          <w:rFonts w:ascii="Times New Roman" w:hAnsi="Times New Roman" w:cs="Times New Roman"/>
          <w:b/>
          <w:color w:val="0B0A0A"/>
          <w:sz w:val="22"/>
          <w:szCs w:val="22"/>
        </w:rPr>
      </w:pPr>
      <w:r w:rsidRPr="00EC1B29">
        <w:rPr>
          <w:rFonts w:ascii="Times New Roman" w:hAnsi="Times New Roman" w:cs="Times New Roman"/>
          <w:b/>
          <w:color w:val="0B0A0A"/>
          <w:sz w:val="22"/>
          <w:szCs w:val="22"/>
        </w:rPr>
        <w:t>Annex references</w:t>
      </w:r>
    </w:p>
    <w:p w:rsidR="00DE122D" w:rsidRPr="00EC1B29" w:rsidRDefault="00DE122D">
      <w:pPr>
        <w:pStyle w:val="Standard"/>
        <w:spacing w:line="480" w:lineRule="auto"/>
        <w:ind w:left="640" w:hanging="640"/>
        <w:jc w:val="both"/>
        <w:rPr>
          <w:rFonts w:ascii="Times New Roman" w:hAnsi="Times New Roman" w:cs="Times New Roman"/>
          <w:color w:val="0B0A0A"/>
          <w:sz w:val="22"/>
          <w:szCs w:val="22"/>
        </w:rPr>
      </w:pPr>
    </w:p>
    <w:p w:rsidR="00DE122D" w:rsidRPr="00EC1B29" w:rsidRDefault="008E3C33">
      <w:pPr>
        <w:pStyle w:val="Standard"/>
        <w:spacing w:line="480" w:lineRule="auto"/>
        <w:ind w:left="640" w:hanging="640"/>
        <w:jc w:val="both"/>
        <w:rPr>
          <w:rFonts w:ascii="Times New Roman" w:hAnsi="Times New Roman" w:cs="Times New Roman"/>
          <w:sz w:val="22"/>
          <w:szCs w:val="22"/>
        </w:rPr>
      </w:pPr>
      <w:r w:rsidRPr="00EC1B29">
        <w:rPr>
          <w:rFonts w:ascii="Times New Roman" w:hAnsi="Times New Roman" w:cs="Times New Roman"/>
          <w:color w:val="0B0A0A"/>
          <w:sz w:val="22"/>
          <w:szCs w:val="22"/>
        </w:rPr>
        <w:t>Agus, F., Gunarso, P., Sahardjo, B.H., Harris, N., (2013)</w:t>
      </w:r>
      <w:r w:rsidRPr="00EC1B29">
        <w:rPr>
          <w:rFonts w:ascii="Times New Roman" w:hAnsi="Times New Roman" w:cs="Times New Roman"/>
          <w:color w:val="0B0A0A"/>
          <w:sz w:val="22"/>
          <w:szCs w:val="22"/>
          <w:vertAlign w:val="superscript"/>
        </w:rPr>
        <w:t>a</w:t>
      </w:r>
      <w:r w:rsidRPr="00EC1B29">
        <w:rPr>
          <w:rFonts w:ascii="Times New Roman" w:hAnsi="Times New Roman" w:cs="Times New Roman"/>
          <w:color w:val="0B0A0A"/>
          <w:sz w:val="22"/>
          <w:szCs w:val="22"/>
        </w:rPr>
        <w:t>. Historical CO2 emissions from land use and land use change from the oil palm industry in Indonesia, Malaysia and Papua New Guinea.</w:t>
      </w:r>
    </w:p>
    <w:p w:rsidR="00DE122D" w:rsidRPr="00EC1B29" w:rsidRDefault="00DE122D">
      <w:pPr>
        <w:pStyle w:val="Standard"/>
        <w:spacing w:line="480" w:lineRule="auto"/>
        <w:jc w:val="both"/>
        <w:rPr>
          <w:rFonts w:ascii="Times New Roman" w:hAnsi="Times New Roman" w:cs="Times New Roman"/>
          <w:color w:val="0B0A0A"/>
          <w:sz w:val="22"/>
          <w:szCs w:val="22"/>
        </w:rPr>
      </w:pPr>
    </w:p>
    <w:p w:rsidR="00DE122D" w:rsidRPr="00EC1B29" w:rsidRDefault="008E3C33">
      <w:pPr>
        <w:pStyle w:val="Standard"/>
        <w:spacing w:line="480" w:lineRule="auto"/>
        <w:jc w:val="both"/>
        <w:rPr>
          <w:rFonts w:ascii="Times New Roman" w:hAnsi="Times New Roman" w:cs="Times New Roman"/>
          <w:sz w:val="22"/>
          <w:szCs w:val="22"/>
        </w:rPr>
      </w:pPr>
      <w:r w:rsidRPr="00EC1B29">
        <w:rPr>
          <w:rFonts w:ascii="Times New Roman" w:hAnsi="Times New Roman" w:cs="Times New Roman"/>
          <w:color w:val="0B0A0A"/>
          <w:sz w:val="22"/>
          <w:szCs w:val="22"/>
        </w:rPr>
        <w:t xml:space="preserve">Austin, K.G., Mosnier, A., Pirker, J., McCallum, I., Fritz, S., Kasibhatla, P.S., (2017) Shifting patterns of oil palm driven deforestation in Indonesia and implications for zero-deforestation commitments. Land Use Policy 69, 41–48. </w:t>
      </w:r>
      <w:hyperlink r:id="rId11">
        <w:r w:rsidRPr="00EC1B29">
          <w:rPr>
            <w:rStyle w:val="CollegamentoInternet"/>
            <w:rFonts w:ascii="Times New Roman" w:hAnsi="Times New Roman" w:cs="Times New Roman"/>
            <w:sz w:val="22"/>
            <w:szCs w:val="22"/>
          </w:rPr>
          <w:t>https://doi.org/10.1016/j.landusepol.2017.08.036</w:t>
        </w:r>
      </w:hyperlink>
    </w:p>
    <w:p w:rsidR="00DE122D" w:rsidRPr="00EC1B29" w:rsidRDefault="00DE122D">
      <w:pPr>
        <w:pStyle w:val="Standard"/>
        <w:spacing w:line="480" w:lineRule="auto"/>
        <w:jc w:val="both"/>
        <w:rPr>
          <w:rFonts w:ascii="Times New Roman" w:hAnsi="Times New Roman" w:cs="Times New Roman"/>
          <w:sz w:val="22"/>
          <w:szCs w:val="22"/>
        </w:rPr>
      </w:pPr>
    </w:p>
    <w:p w:rsidR="00DE122D" w:rsidRPr="00EC1B29" w:rsidRDefault="008E3C33">
      <w:pPr>
        <w:pStyle w:val="Standard"/>
        <w:spacing w:line="480" w:lineRule="auto"/>
        <w:jc w:val="both"/>
        <w:rPr>
          <w:rFonts w:ascii="Times New Roman" w:hAnsi="Times New Roman" w:cs="Times New Roman"/>
          <w:color w:val="0B0A0A"/>
          <w:sz w:val="22"/>
          <w:szCs w:val="22"/>
        </w:rPr>
      </w:pPr>
      <w:r w:rsidRPr="00EC1B29">
        <w:rPr>
          <w:rFonts w:ascii="Times New Roman" w:hAnsi="Times New Roman" w:cs="Times New Roman"/>
          <w:color w:val="0B0A0A"/>
          <w:sz w:val="22"/>
          <w:szCs w:val="22"/>
        </w:rPr>
        <w:t xml:space="preserve">Carlson, K.M., Heilmayr, R., Gibbs, H.K., Noojipady, P., Burns, D.N., Morton, D.C., Walker, N.F., Paoli, G.D., Kremen, C., (2018) Effect of oil palm sustainability certification on deforestation and fire in Indonesia. Proc. Natl. Acad. Sci. U.S.A. 115, 121–126. </w:t>
      </w:r>
      <w:hyperlink r:id="rId12">
        <w:r w:rsidRPr="00EC1B29">
          <w:rPr>
            <w:rStyle w:val="CollegamentoInternet"/>
            <w:rFonts w:ascii="Times New Roman" w:hAnsi="Times New Roman" w:cs="Times New Roman"/>
            <w:color w:val="0B0A0A"/>
            <w:sz w:val="22"/>
            <w:szCs w:val="22"/>
          </w:rPr>
          <w:t>https://doi.org/10.1073/pnas.1704728114</w:t>
        </w:r>
      </w:hyperlink>
    </w:p>
    <w:p w:rsidR="00DE122D" w:rsidRPr="00EC1B29" w:rsidRDefault="00DE122D">
      <w:pPr>
        <w:pStyle w:val="Standard"/>
        <w:spacing w:line="480" w:lineRule="auto"/>
        <w:jc w:val="both"/>
        <w:rPr>
          <w:rFonts w:ascii="Times New Roman" w:hAnsi="Times New Roman" w:cs="Times New Roman"/>
          <w:sz w:val="22"/>
          <w:szCs w:val="22"/>
        </w:rPr>
      </w:pPr>
    </w:p>
    <w:p w:rsidR="00DE122D" w:rsidRPr="00EC1B29" w:rsidRDefault="008E3C33">
      <w:pPr>
        <w:pStyle w:val="Standard"/>
        <w:spacing w:line="480" w:lineRule="auto"/>
        <w:jc w:val="both"/>
        <w:rPr>
          <w:rFonts w:ascii="Times New Roman" w:hAnsi="Times New Roman" w:cs="Times New Roman"/>
          <w:color w:val="0B0A0A"/>
          <w:sz w:val="22"/>
          <w:szCs w:val="22"/>
        </w:rPr>
      </w:pPr>
      <w:r w:rsidRPr="00EC1B29">
        <w:rPr>
          <w:rFonts w:ascii="Times New Roman" w:hAnsi="Times New Roman" w:cs="Times New Roman"/>
          <w:color w:val="0B0A0A"/>
          <w:sz w:val="22"/>
          <w:szCs w:val="22"/>
        </w:rPr>
        <w:t xml:space="preserve">Cazzolla Gatti, R., Liang, J., Velichevskaya, A., Zhou, M., (2019) Sustainable palm oil may not be so sustainable. Science of The Total Environment 652, 48–51. </w:t>
      </w:r>
      <w:hyperlink r:id="rId13">
        <w:r w:rsidRPr="00EC1B29">
          <w:rPr>
            <w:rStyle w:val="CollegamentoInternet"/>
            <w:rFonts w:ascii="Times New Roman" w:hAnsi="Times New Roman" w:cs="Times New Roman"/>
            <w:color w:val="0B0A0A"/>
            <w:sz w:val="22"/>
            <w:szCs w:val="22"/>
          </w:rPr>
          <w:t>https://doi.org/10.1016/j.scitotenv.2018.10.222</w:t>
        </w:r>
      </w:hyperlink>
    </w:p>
    <w:p w:rsidR="00DE122D" w:rsidRPr="00EC1B29" w:rsidRDefault="00DE122D">
      <w:pPr>
        <w:pStyle w:val="Standard"/>
        <w:spacing w:line="480" w:lineRule="auto"/>
        <w:jc w:val="both"/>
        <w:rPr>
          <w:rFonts w:ascii="Times New Roman" w:hAnsi="Times New Roman" w:cs="Times New Roman"/>
          <w:color w:val="0B0A0A"/>
          <w:sz w:val="22"/>
          <w:szCs w:val="22"/>
        </w:rPr>
      </w:pPr>
    </w:p>
    <w:p w:rsidR="00DE122D" w:rsidRPr="00EC1B29" w:rsidRDefault="008E3C33">
      <w:pPr>
        <w:pStyle w:val="Standard"/>
        <w:spacing w:line="480" w:lineRule="auto"/>
        <w:jc w:val="both"/>
        <w:rPr>
          <w:rFonts w:ascii="Times New Roman" w:hAnsi="Times New Roman" w:cs="Times New Roman"/>
          <w:color w:val="0B0A0A"/>
          <w:sz w:val="22"/>
          <w:szCs w:val="22"/>
        </w:rPr>
      </w:pPr>
      <w:r w:rsidRPr="00EC1B29">
        <w:rPr>
          <w:rFonts w:ascii="Times New Roman" w:hAnsi="Times New Roman" w:cs="Times New Roman"/>
          <w:color w:val="0B0A0A"/>
          <w:sz w:val="22"/>
          <w:szCs w:val="22"/>
        </w:rPr>
        <w:t xml:space="preserve">COMTRADE (2022) </w:t>
      </w:r>
      <w:hyperlink r:id="rId14">
        <w:r w:rsidRPr="00EC1B29">
          <w:rPr>
            <w:rStyle w:val="CollegamentoInternet"/>
            <w:rFonts w:ascii="Times New Roman" w:hAnsi="Times New Roman" w:cs="Times New Roman"/>
            <w:color w:val="0B0A0A"/>
            <w:sz w:val="22"/>
            <w:szCs w:val="22"/>
          </w:rPr>
          <w:t>https://comtrade.un.org/</w:t>
        </w:r>
      </w:hyperlink>
    </w:p>
    <w:p w:rsidR="00DE122D" w:rsidRPr="00EC1B29" w:rsidRDefault="00DE122D">
      <w:pPr>
        <w:pStyle w:val="Standard"/>
        <w:spacing w:line="480" w:lineRule="auto"/>
        <w:jc w:val="both"/>
        <w:rPr>
          <w:rFonts w:ascii="Times New Roman" w:hAnsi="Times New Roman" w:cs="Times New Roman"/>
          <w:color w:val="0B0A0A"/>
          <w:sz w:val="22"/>
          <w:szCs w:val="22"/>
        </w:rPr>
      </w:pPr>
    </w:p>
    <w:p w:rsidR="00DE122D" w:rsidRPr="00EC1B29" w:rsidRDefault="008E3C33">
      <w:pPr>
        <w:pStyle w:val="Standard"/>
        <w:spacing w:line="480" w:lineRule="auto"/>
        <w:jc w:val="both"/>
        <w:rPr>
          <w:rFonts w:ascii="Times New Roman" w:hAnsi="Times New Roman" w:cs="Times New Roman"/>
          <w:sz w:val="22"/>
          <w:szCs w:val="22"/>
        </w:rPr>
      </w:pPr>
      <w:r w:rsidRPr="00EC1B29">
        <w:rPr>
          <w:rFonts w:ascii="Times New Roman" w:hAnsi="Times New Roman" w:cs="Times New Roman"/>
          <w:color w:val="0B0A0A"/>
          <w:sz w:val="22"/>
          <w:szCs w:val="22"/>
        </w:rPr>
        <w:t>Cuypers, D., Lust, A., Geerken, T., Gorissen, L., Peters, G., Karstensen, J., Prieler, S., Fisher, G., Hizsnyik, E., Van Velthuizen, H., (2013) The impact of EU consumption on deforestation: comprehensive analysis of the impact of EU consumption on deforestation : final report. Publications Office, Luxembourg.</w:t>
      </w:r>
    </w:p>
    <w:p w:rsidR="00DE122D" w:rsidRPr="00EC1B29" w:rsidRDefault="00DE122D"/>
    <w:p w:rsidR="00DE122D" w:rsidRPr="00EC1B29" w:rsidRDefault="008E3C33">
      <w:pPr>
        <w:pStyle w:val="Standard"/>
        <w:spacing w:line="480" w:lineRule="auto"/>
        <w:jc w:val="both"/>
        <w:rPr>
          <w:rFonts w:ascii="Times New Roman" w:hAnsi="Times New Roman" w:cs="Times New Roman"/>
          <w:sz w:val="22"/>
          <w:szCs w:val="22"/>
        </w:rPr>
      </w:pPr>
      <w:r w:rsidRPr="00EC1B29">
        <w:rPr>
          <w:rFonts w:ascii="Times New Roman" w:hAnsi="Times New Roman" w:cs="Times New Roman"/>
          <w:sz w:val="22"/>
          <w:szCs w:val="22"/>
        </w:rPr>
        <w:t>De Laurentiis, V., Galli, A., Sala, S., (2022) Modelling the land footprint of EU consumption. Publications Office of the European Union, Luxembourg.</w:t>
      </w:r>
    </w:p>
    <w:p w:rsidR="00DE122D" w:rsidRPr="00EC1B29" w:rsidRDefault="00DE122D">
      <w:pPr>
        <w:pStyle w:val="Standard"/>
        <w:spacing w:line="480" w:lineRule="auto"/>
        <w:jc w:val="both"/>
        <w:rPr>
          <w:rFonts w:ascii="Times New Roman" w:hAnsi="Times New Roman" w:cs="Times New Roman"/>
          <w:sz w:val="22"/>
          <w:szCs w:val="22"/>
        </w:rPr>
      </w:pPr>
    </w:p>
    <w:p w:rsidR="00DE122D" w:rsidRPr="00EC1B29" w:rsidRDefault="008E3C33">
      <w:pPr>
        <w:pStyle w:val="Standard"/>
        <w:spacing w:line="480" w:lineRule="auto"/>
        <w:jc w:val="both"/>
        <w:rPr>
          <w:rFonts w:ascii="Times New Roman" w:hAnsi="Times New Roman" w:cs="Times New Roman"/>
          <w:color w:val="0B0A0A"/>
          <w:sz w:val="22"/>
          <w:szCs w:val="22"/>
        </w:rPr>
      </w:pPr>
      <w:r w:rsidRPr="00EC1B29">
        <w:rPr>
          <w:rFonts w:ascii="Times New Roman" w:hAnsi="Times New Roman" w:cs="Times New Roman"/>
          <w:color w:val="0B0A0A"/>
          <w:sz w:val="22"/>
          <w:szCs w:val="22"/>
        </w:rPr>
        <w:t xml:space="preserve">EUROSTAT (2022) </w:t>
      </w:r>
      <w:hyperlink r:id="rId15">
        <w:r w:rsidRPr="00EC1B29">
          <w:rPr>
            <w:rStyle w:val="CollegamentoInternet"/>
            <w:rFonts w:ascii="Times New Roman" w:hAnsi="Times New Roman" w:cs="Times New Roman"/>
            <w:sz w:val="22"/>
            <w:szCs w:val="22"/>
          </w:rPr>
          <w:t>https://ec.europa.eu/eurostat/data/database</w:t>
        </w:r>
      </w:hyperlink>
    </w:p>
    <w:p w:rsidR="008E3C33" w:rsidRPr="00EC1B29" w:rsidRDefault="008E3C33">
      <w:pPr>
        <w:pStyle w:val="Standard"/>
        <w:spacing w:line="480" w:lineRule="auto"/>
        <w:jc w:val="both"/>
        <w:rPr>
          <w:rFonts w:ascii="Times New Roman" w:hAnsi="Times New Roman" w:cs="Times New Roman"/>
          <w:sz w:val="22"/>
          <w:szCs w:val="22"/>
        </w:rPr>
      </w:pPr>
    </w:p>
    <w:p w:rsidR="00DE122D" w:rsidRPr="00EC1B29" w:rsidRDefault="008E3C33">
      <w:pPr>
        <w:pStyle w:val="Standard"/>
        <w:spacing w:line="480" w:lineRule="auto"/>
        <w:jc w:val="both"/>
        <w:rPr>
          <w:rFonts w:ascii="Times New Roman" w:hAnsi="Times New Roman" w:cs="Times New Roman"/>
          <w:color w:val="0B0A0A"/>
          <w:sz w:val="22"/>
          <w:szCs w:val="22"/>
        </w:rPr>
      </w:pPr>
      <w:r w:rsidRPr="00EC1B29">
        <w:rPr>
          <w:rFonts w:ascii="Times New Roman" w:hAnsi="Times New Roman" w:cs="Times New Roman"/>
          <w:color w:val="0B0A0A"/>
          <w:sz w:val="22"/>
          <w:szCs w:val="22"/>
        </w:rPr>
        <w:t xml:space="preserve">FAO (2011) Technical Conversion Factors for Agricultural Commodities. Available at: </w:t>
      </w:r>
      <w:hyperlink r:id="rId16">
        <w:r w:rsidRPr="00EC1B29">
          <w:rPr>
            <w:rStyle w:val="CollegamentoInternet"/>
            <w:rFonts w:ascii="Times New Roman" w:hAnsi="Times New Roman" w:cs="Times New Roman"/>
            <w:sz w:val="22"/>
            <w:szCs w:val="22"/>
          </w:rPr>
          <w:t>https://www.fao.org/economic/the-statistics-division-ess/methodology/methodology-systems/technical-conversion-factors-for-agricultural-commodities/en/</w:t>
        </w:r>
      </w:hyperlink>
    </w:p>
    <w:p w:rsidR="00DE122D" w:rsidRPr="00EC1B29" w:rsidRDefault="00DE122D">
      <w:pPr>
        <w:pStyle w:val="Standard"/>
        <w:spacing w:line="480" w:lineRule="auto"/>
        <w:jc w:val="both"/>
        <w:rPr>
          <w:rFonts w:ascii="Times New Roman" w:hAnsi="Times New Roman" w:cs="Times New Roman"/>
          <w:color w:val="0B0A0A"/>
          <w:sz w:val="22"/>
          <w:szCs w:val="22"/>
        </w:rPr>
      </w:pPr>
    </w:p>
    <w:p w:rsidR="00DE122D" w:rsidRPr="00EC1B29" w:rsidRDefault="008E3C33">
      <w:pPr>
        <w:pStyle w:val="Standard"/>
        <w:spacing w:line="480" w:lineRule="auto"/>
        <w:jc w:val="both"/>
        <w:rPr>
          <w:rFonts w:ascii="Times New Roman" w:hAnsi="Times New Roman" w:cs="Times New Roman"/>
          <w:sz w:val="22"/>
          <w:szCs w:val="22"/>
          <w:lang w:val="it-IT"/>
        </w:rPr>
      </w:pPr>
      <w:r w:rsidRPr="00EC1B29">
        <w:rPr>
          <w:rFonts w:ascii="Times New Roman" w:hAnsi="Times New Roman" w:cs="Times New Roman"/>
          <w:color w:val="0B0A0A"/>
          <w:sz w:val="22"/>
          <w:szCs w:val="22"/>
          <w:lang w:val="it-IT"/>
        </w:rPr>
        <w:t xml:space="preserve">Faostat (2022) </w:t>
      </w:r>
      <w:hyperlink r:id="rId17">
        <w:r w:rsidRPr="00EC1B29">
          <w:rPr>
            <w:rStyle w:val="CollegamentoInternet"/>
            <w:rFonts w:ascii="Times New Roman" w:hAnsi="Times New Roman" w:cs="Times New Roman"/>
            <w:sz w:val="22"/>
            <w:szCs w:val="22"/>
            <w:lang w:val="it-IT"/>
          </w:rPr>
          <w:t>https://www.fao.org/faostat/en/</w:t>
        </w:r>
      </w:hyperlink>
    </w:p>
    <w:p w:rsidR="00DE122D" w:rsidRPr="00EC1B29" w:rsidRDefault="00DE122D">
      <w:pPr>
        <w:pStyle w:val="Standard"/>
        <w:spacing w:line="480" w:lineRule="auto"/>
        <w:jc w:val="both"/>
        <w:rPr>
          <w:rFonts w:ascii="Times New Roman" w:hAnsi="Times New Roman" w:cs="Times New Roman"/>
          <w:sz w:val="22"/>
          <w:szCs w:val="22"/>
          <w:lang w:val="it-IT"/>
        </w:rPr>
      </w:pPr>
    </w:p>
    <w:p w:rsidR="00DE122D" w:rsidRPr="00EC1B29" w:rsidRDefault="008E3C33">
      <w:pPr>
        <w:pStyle w:val="Standard"/>
        <w:spacing w:line="480" w:lineRule="auto"/>
        <w:jc w:val="both"/>
        <w:rPr>
          <w:rFonts w:ascii="Times New Roman" w:hAnsi="Times New Roman" w:cs="Times New Roman"/>
          <w:sz w:val="22"/>
          <w:szCs w:val="22"/>
        </w:rPr>
      </w:pPr>
      <w:r w:rsidRPr="00EC1B29">
        <w:rPr>
          <w:rFonts w:ascii="Times New Roman" w:hAnsi="Times New Roman" w:cs="Times New Roman"/>
          <w:color w:val="0B0A0A"/>
          <w:sz w:val="22"/>
          <w:szCs w:val="22"/>
        </w:rPr>
        <w:t>Gunarso, P., Hartoyo, M.E., Agus, F., Killeen, T.J., (2013) Oil Palm and Land Use Change in Indonesia, Malaysia and Papua New Guinea.</w:t>
      </w:r>
    </w:p>
    <w:p w:rsidR="00DE122D" w:rsidRPr="00EC1B29" w:rsidRDefault="00DE122D">
      <w:pPr>
        <w:pStyle w:val="Standard"/>
        <w:spacing w:line="480" w:lineRule="auto"/>
        <w:jc w:val="both"/>
        <w:rPr>
          <w:rFonts w:ascii="Times New Roman" w:hAnsi="Times New Roman" w:cs="Times New Roman"/>
          <w:sz w:val="22"/>
          <w:szCs w:val="22"/>
        </w:rPr>
      </w:pPr>
      <w:bookmarkStart w:id="2" w:name="_GoBack"/>
      <w:bookmarkEnd w:id="2"/>
    </w:p>
    <w:p w:rsidR="00DE122D" w:rsidRPr="00EC1B29" w:rsidRDefault="008E3C33">
      <w:pPr>
        <w:pStyle w:val="Standard"/>
        <w:spacing w:line="480" w:lineRule="auto"/>
        <w:jc w:val="both"/>
        <w:rPr>
          <w:rFonts w:ascii="Times New Roman" w:hAnsi="Times New Roman" w:cs="Times New Roman"/>
          <w:sz w:val="22"/>
          <w:szCs w:val="22"/>
        </w:rPr>
      </w:pPr>
      <w:r w:rsidRPr="00EC1B29">
        <w:rPr>
          <w:rFonts w:ascii="Times New Roman" w:hAnsi="Times New Roman" w:cs="Times New Roman"/>
          <w:color w:val="0B0A0A"/>
          <w:sz w:val="22"/>
          <w:szCs w:val="22"/>
        </w:rPr>
        <w:t>Meijaard, E., Morgans, C., Abram, N.K., Ancrenaz, M., (2017) An impact analysis of RSPO certification on Borneo forest cover and orangutan populations. A Borneo Futures report for the Orangutan Land Trust and Wilmar International Borneo Futures, Bandar Seri Begawan, Brunei Darussalam Doi: 10.13140/RG.2.2.35387.21287</w:t>
      </w:r>
    </w:p>
    <w:p w:rsidR="00DE122D" w:rsidRPr="00EC1B29" w:rsidRDefault="00DE122D">
      <w:pPr>
        <w:pStyle w:val="Standard"/>
        <w:spacing w:line="480" w:lineRule="auto"/>
        <w:jc w:val="both"/>
        <w:rPr>
          <w:rFonts w:ascii="Times New Roman" w:hAnsi="Times New Roman" w:cs="Times New Roman"/>
          <w:color w:val="0B0A0A"/>
          <w:sz w:val="22"/>
          <w:szCs w:val="22"/>
        </w:rPr>
      </w:pPr>
    </w:p>
    <w:p w:rsidR="00DE122D" w:rsidRDefault="008E3C33">
      <w:pPr>
        <w:pStyle w:val="Standard"/>
        <w:spacing w:line="480" w:lineRule="auto"/>
        <w:jc w:val="both"/>
        <w:rPr>
          <w:rFonts w:ascii="Times New Roman" w:hAnsi="Times New Roman" w:cs="Times New Roman"/>
          <w:sz w:val="22"/>
          <w:szCs w:val="22"/>
        </w:rPr>
      </w:pPr>
      <w:r w:rsidRPr="00EC1B29">
        <w:rPr>
          <w:rFonts w:ascii="Times New Roman" w:hAnsi="Times New Roman" w:cs="Times New Roman"/>
          <w:sz w:val="22"/>
          <w:szCs w:val="22"/>
        </w:rPr>
        <w:t>Trade Map (2022) https://www.trademap.org/Index.aspx</w:t>
      </w:r>
    </w:p>
    <w:p w:rsidR="00DE122D" w:rsidRDefault="00DE122D">
      <w:pPr>
        <w:pStyle w:val="Standard"/>
        <w:spacing w:line="480" w:lineRule="auto"/>
        <w:jc w:val="both"/>
        <w:rPr>
          <w:rFonts w:ascii="Times New Roman" w:hAnsi="Times New Roman" w:cs="Times New Roman"/>
        </w:rPr>
      </w:pPr>
    </w:p>
    <w:sectPr w:rsidR="00DE122D" w:rsidSect="00EC1B29">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0" w:footer="0" w:gutter="0"/>
      <w:cols w:space="720"/>
      <w:formProt w:val="0"/>
      <w:docGrid w:linePitch="360" w:charSpace="12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3B4E" w:rsidRDefault="00E43B4E" w:rsidP="00E43B4E">
      <w:pPr>
        <w:spacing w:after="0" w:line="240" w:lineRule="auto"/>
      </w:pPr>
      <w:r>
        <w:separator/>
      </w:r>
    </w:p>
  </w:endnote>
  <w:endnote w:type="continuationSeparator" w:id="0">
    <w:p w:rsidR="00E43B4E" w:rsidRDefault="00E43B4E" w:rsidP="00E43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Times New Roman"/>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B4E" w:rsidRDefault="00E43B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1265547"/>
      <w:docPartObj>
        <w:docPartGallery w:val="Page Numbers (Bottom of Page)"/>
        <w:docPartUnique/>
      </w:docPartObj>
    </w:sdtPr>
    <w:sdtEndPr/>
    <w:sdtContent>
      <w:sdt>
        <w:sdtPr>
          <w:id w:val="-1769616900"/>
          <w:docPartObj>
            <w:docPartGallery w:val="Page Numbers (Top of Page)"/>
            <w:docPartUnique/>
          </w:docPartObj>
        </w:sdtPr>
        <w:sdtEndPr/>
        <w:sdtContent>
          <w:p w:rsidR="00E43B4E" w:rsidRDefault="00E43B4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C1B29">
              <w:rPr>
                <w:b/>
                <w:bCs/>
                <w:noProof/>
              </w:rPr>
              <w:t>12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C1B29">
              <w:rPr>
                <w:b/>
                <w:bCs/>
                <w:noProof/>
              </w:rPr>
              <w:t>12</w:t>
            </w:r>
            <w:r>
              <w:rPr>
                <w:b/>
                <w:bCs/>
                <w:sz w:val="24"/>
                <w:szCs w:val="24"/>
              </w:rPr>
              <w:fldChar w:fldCharType="end"/>
            </w:r>
          </w:p>
        </w:sdtContent>
      </w:sdt>
    </w:sdtContent>
  </w:sdt>
  <w:p w:rsidR="00E43B4E" w:rsidRDefault="00E43B4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B4E" w:rsidRDefault="00E43B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3B4E" w:rsidRDefault="00E43B4E" w:rsidP="00E43B4E">
      <w:pPr>
        <w:spacing w:after="0" w:line="240" w:lineRule="auto"/>
      </w:pPr>
      <w:r>
        <w:separator/>
      </w:r>
    </w:p>
  </w:footnote>
  <w:footnote w:type="continuationSeparator" w:id="0">
    <w:p w:rsidR="00E43B4E" w:rsidRDefault="00E43B4E" w:rsidP="00E43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B4E" w:rsidRDefault="00E43B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B4E" w:rsidRDefault="00E43B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B4E" w:rsidRDefault="00E43B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8B362D"/>
    <w:multiLevelType w:val="multilevel"/>
    <w:tmpl w:val="1C02D5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8B51125"/>
    <w:multiLevelType w:val="multilevel"/>
    <w:tmpl w:val="E0A84FC0"/>
    <w:lvl w:ilvl="0">
      <w:start w:val="1"/>
      <w:numFmt w:val="decimal"/>
      <w:lvlText w:val="%1."/>
      <w:lvlJc w:val="left"/>
      <w:pPr>
        <w:tabs>
          <w:tab w:val="num" w:pos="720"/>
        </w:tabs>
        <w:ind w:left="720" w:hanging="360"/>
      </w:pPr>
      <w:rPr>
        <w:b/>
        <w:bCs/>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rPr>
        <w:b/>
        <w:bCs/>
      </w:rPr>
    </w:lvl>
    <w:lvl w:ilvl="4">
      <w:start w:val="1"/>
      <w:numFmt w:val="decimal"/>
      <w:lvlText w:val="%5."/>
      <w:lvlJc w:val="left"/>
      <w:pPr>
        <w:tabs>
          <w:tab w:val="num" w:pos="2160"/>
        </w:tabs>
        <w:ind w:left="2160" w:hanging="360"/>
      </w:pPr>
      <w:rPr>
        <w:b/>
        <w:bCs/>
      </w:rPr>
    </w:lvl>
    <w:lvl w:ilvl="5">
      <w:start w:val="1"/>
      <w:numFmt w:val="decimal"/>
      <w:lvlText w:val="%6."/>
      <w:lvlJc w:val="left"/>
      <w:pPr>
        <w:tabs>
          <w:tab w:val="num" w:pos="2520"/>
        </w:tabs>
        <w:ind w:left="2520" w:hanging="360"/>
      </w:pPr>
      <w:rPr>
        <w:b/>
        <w:bCs/>
      </w:rPr>
    </w:lvl>
    <w:lvl w:ilvl="6">
      <w:start w:val="1"/>
      <w:numFmt w:val="decimal"/>
      <w:lvlText w:val="%7."/>
      <w:lvlJc w:val="left"/>
      <w:pPr>
        <w:tabs>
          <w:tab w:val="num" w:pos="2880"/>
        </w:tabs>
        <w:ind w:left="2880" w:hanging="360"/>
      </w:pPr>
      <w:rPr>
        <w:b/>
        <w:bCs/>
      </w:rPr>
    </w:lvl>
    <w:lvl w:ilvl="7">
      <w:start w:val="1"/>
      <w:numFmt w:val="decimal"/>
      <w:lvlText w:val="%8."/>
      <w:lvlJc w:val="left"/>
      <w:pPr>
        <w:tabs>
          <w:tab w:val="num" w:pos="3240"/>
        </w:tabs>
        <w:ind w:left="3240" w:hanging="360"/>
      </w:pPr>
      <w:rPr>
        <w:b/>
        <w:bCs/>
      </w:rPr>
    </w:lvl>
    <w:lvl w:ilvl="8">
      <w:start w:val="1"/>
      <w:numFmt w:val="decimal"/>
      <w:lvlText w:val="%9."/>
      <w:lvlJc w:val="left"/>
      <w:pPr>
        <w:tabs>
          <w:tab w:val="num" w:pos="3600"/>
        </w:tabs>
        <w:ind w:left="3600" w:hanging="360"/>
      </w:pPr>
      <w:rPr>
        <w:b/>
        <w:bCs/>
      </w:rPr>
    </w:lvl>
  </w:abstractNum>
  <w:abstractNum w:abstractNumId="2" w15:restartNumberingAfterBreak="0">
    <w:nsid w:val="70DE4614"/>
    <w:multiLevelType w:val="multilevel"/>
    <w:tmpl w:val="4CDC1A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753B39C5"/>
    <w:multiLevelType w:val="multilevel"/>
    <w:tmpl w:val="134A4C0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activeWritingStyle w:appName="MSWord" w:lang="it-IT" w:vendorID="64" w:dllVersion="131078" w:nlCheck="1" w:checkStyle="0"/>
  <w:activeWritingStyle w:appName="MSWord" w:lang="en-US" w:vendorID="64" w:dllVersion="131078" w:nlCheck="1" w:checkStyle="1"/>
  <w:activeWritingStyle w:appName="MSWord" w:lang="en-GB" w:vendorID="64" w:dllVersion="131078" w:nlCheck="1" w:checkStyle="1"/>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DE122D"/>
    <w:rsid w:val="007E2692"/>
    <w:rsid w:val="008E3C33"/>
    <w:rsid w:val="00DE122D"/>
    <w:rsid w:val="00E43B4E"/>
    <w:rsid w:val="00EC1B2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DED1B1-0326-4408-8D33-BE25038D7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rpredefinitoparagrafo1">
    <w:name w:val="Car. predefinito paragrafo1"/>
    <w:qFormat/>
    <w:rsid w:val="007D0BD2"/>
  </w:style>
  <w:style w:type="character" w:customStyle="1" w:styleId="Caratteridinumerazione">
    <w:name w:val="Caratteri di numerazione"/>
    <w:qFormat/>
    <w:rPr>
      <w:b/>
      <w:bCs/>
    </w:rPr>
  </w:style>
  <w:style w:type="character" w:styleId="CommentReference">
    <w:name w:val="annotation reference"/>
    <w:basedOn w:val="DefaultParagraphFont"/>
    <w:uiPriority w:val="99"/>
    <w:semiHidden/>
    <w:unhideWhenUsed/>
    <w:qFormat/>
    <w:rsid w:val="000E2493"/>
    <w:rPr>
      <w:sz w:val="16"/>
      <w:szCs w:val="16"/>
    </w:rPr>
  </w:style>
  <w:style w:type="character" w:customStyle="1" w:styleId="CommentTextChar">
    <w:name w:val="Comment Text Char"/>
    <w:basedOn w:val="DefaultParagraphFont"/>
    <w:link w:val="CommentText"/>
    <w:uiPriority w:val="99"/>
    <w:semiHidden/>
    <w:qFormat/>
    <w:rsid w:val="000E2493"/>
    <w:rPr>
      <w:sz w:val="20"/>
      <w:szCs w:val="20"/>
    </w:rPr>
  </w:style>
  <w:style w:type="character" w:customStyle="1" w:styleId="CommentSubjectChar">
    <w:name w:val="Comment Subject Char"/>
    <w:basedOn w:val="CommentTextChar"/>
    <w:link w:val="CommentSubject"/>
    <w:uiPriority w:val="99"/>
    <w:semiHidden/>
    <w:qFormat/>
    <w:rsid w:val="000E2493"/>
    <w:rPr>
      <w:b/>
      <w:bCs/>
      <w:sz w:val="20"/>
      <w:szCs w:val="20"/>
    </w:rPr>
  </w:style>
  <w:style w:type="character" w:customStyle="1" w:styleId="Numerazionerighe">
    <w:name w:val="Numerazione righe"/>
  </w:style>
  <w:style w:type="character" w:customStyle="1" w:styleId="BalloonTextChar">
    <w:name w:val="Balloon Text Char"/>
    <w:basedOn w:val="DefaultParagraphFont"/>
    <w:link w:val="BalloonText"/>
    <w:uiPriority w:val="99"/>
    <w:semiHidden/>
    <w:qFormat/>
    <w:rsid w:val="00AE45DF"/>
    <w:rPr>
      <w:rFonts w:ascii="Segoe UI" w:hAnsi="Segoe UI" w:cs="Segoe UI"/>
      <w:sz w:val="18"/>
      <w:szCs w:val="18"/>
    </w:rPr>
  </w:style>
  <w:style w:type="character" w:customStyle="1" w:styleId="CollegamentoInternet">
    <w:name w:val="Collegamento Internet"/>
    <w:basedOn w:val="DefaultParagraphFont"/>
    <w:uiPriority w:val="99"/>
    <w:unhideWhenUsed/>
    <w:rsid w:val="00162C4C"/>
    <w:rPr>
      <w:color w:val="0563C1" w:themeColor="hyperlink"/>
      <w:u w:val="single"/>
    </w:rPr>
  </w:style>
  <w:style w:type="paragraph" w:customStyle="1" w:styleId="Titolo">
    <w:name w:val="Titolo"/>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next w:val="Normal"/>
    <w:uiPriority w:val="35"/>
    <w:unhideWhenUsed/>
    <w:qFormat/>
    <w:rsid w:val="00F774B4"/>
    <w:pPr>
      <w:spacing w:after="200" w:line="240" w:lineRule="auto"/>
    </w:pPr>
    <w:rPr>
      <w:i/>
      <w:iCs/>
      <w:color w:val="44546A" w:themeColor="text2"/>
      <w:sz w:val="18"/>
      <w:szCs w:val="18"/>
    </w:rPr>
  </w:style>
  <w:style w:type="paragraph" w:customStyle="1" w:styleId="Indice">
    <w:name w:val="Indice"/>
    <w:basedOn w:val="Normal"/>
    <w:qFormat/>
    <w:pPr>
      <w:suppressLineNumbers/>
    </w:pPr>
    <w:rPr>
      <w:rFonts w:cs="Arial"/>
    </w:rPr>
  </w:style>
  <w:style w:type="paragraph" w:customStyle="1" w:styleId="Titolo1">
    <w:name w:val="Titolo1"/>
    <w:basedOn w:val="Normal"/>
    <w:next w:val="BodyText"/>
    <w:qFormat/>
    <w:pPr>
      <w:keepNext/>
      <w:spacing w:before="240" w:after="120"/>
    </w:pPr>
    <w:rPr>
      <w:rFonts w:ascii="Liberation Sans" w:eastAsia="Microsoft YaHei" w:hAnsi="Liberation Sans" w:cs="Arial"/>
      <w:sz w:val="28"/>
      <w:szCs w:val="28"/>
    </w:rPr>
  </w:style>
  <w:style w:type="paragraph" w:customStyle="1" w:styleId="Standard">
    <w:name w:val="Standard"/>
    <w:qFormat/>
    <w:rsid w:val="00D35BB0"/>
    <w:pPr>
      <w:widowControl w:val="0"/>
      <w:textAlignment w:val="baseline"/>
    </w:pPr>
    <w:rPr>
      <w:rFonts w:ascii="Liberation Serif" w:eastAsia="Segoe UI" w:hAnsi="Liberation Serif" w:cs="Tahoma"/>
      <w:color w:val="000000"/>
      <w:kern w:val="2"/>
      <w:sz w:val="24"/>
      <w:szCs w:val="24"/>
      <w:lang w:eastAsia="zh-CN" w:bidi="hi-IN"/>
    </w:rPr>
  </w:style>
  <w:style w:type="paragraph" w:styleId="ListParagraph">
    <w:name w:val="List Paragraph"/>
    <w:basedOn w:val="Normal"/>
    <w:uiPriority w:val="34"/>
    <w:qFormat/>
    <w:rsid w:val="00F9251F"/>
    <w:pPr>
      <w:ind w:left="720"/>
      <w:contextualSpacing/>
    </w:pPr>
  </w:style>
  <w:style w:type="paragraph" w:styleId="Revision">
    <w:name w:val="Revision"/>
    <w:uiPriority w:val="99"/>
    <w:semiHidden/>
    <w:qFormat/>
    <w:rsid w:val="00951DBC"/>
    <w:pPr>
      <w:suppressAutoHyphens w:val="0"/>
    </w:pPr>
  </w:style>
  <w:style w:type="paragraph" w:styleId="CommentText">
    <w:name w:val="annotation text"/>
    <w:basedOn w:val="Normal"/>
    <w:link w:val="CommentTextChar"/>
    <w:uiPriority w:val="99"/>
    <w:semiHidden/>
    <w:unhideWhenUsed/>
    <w:qFormat/>
    <w:rsid w:val="000E2493"/>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0E2493"/>
    <w:rPr>
      <w:b/>
      <w:bCs/>
    </w:rPr>
  </w:style>
  <w:style w:type="paragraph" w:styleId="BalloonText">
    <w:name w:val="Balloon Text"/>
    <w:basedOn w:val="Normal"/>
    <w:link w:val="BalloonTextChar"/>
    <w:uiPriority w:val="99"/>
    <w:semiHidden/>
    <w:unhideWhenUsed/>
    <w:qFormat/>
    <w:rsid w:val="00AE45DF"/>
    <w:pPr>
      <w:spacing w:after="0" w:line="240" w:lineRule="auto"/>
    </w:pPr>
    <w:rPr>
      <w:rFonts w:ascii="Segoe UI" w:hAnsi="Segoe UI" w:cs="Segoe UI"/>
      <w:sz w:val="18"/>
      <w:szCs w:val="18"/>
    </w:rPr>
  </w:style>
  <w:style w:type="paragraph" w:customStyle="1" w:styleId="FirstParagraph">
    <w:name w:val="First Paragraph"/>
    <w:basedOn w:val="BodyText"/>
    <w:next w:val="BodyText"/>
    <w:qFormat/>
    <w:rsid w:val="005829BD"/>
    <w:pPr>
      <w:spacing w:before="180" w:after="180" w:line="240" w:lineRule="auto"/>
    </w:pPr>
    <w:rPr>
      <w:sz w:val="24"/>
      <w:szCs w:val="24"/>
      <w:lang w:val="en-US"/>
    </w:rPr>
  </w:style>
  <w:style w:type="paragraph" w:styleId="Header">
    <w:name w:val="header"/>
    <w:basedOn w:val="Normal"/>
    <w:link w:val="HeaderChar"/>
    <w:uiPriority w:val="99"/>
    <w:unhideWhenUsed/>
    <w:rsid w:val="00E43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3B4E"/>
  </w:style>
  <w:style w:type="paragraph" w:styleId="Footer">
    <w:name w:val="footer"/>
    <w:basedOn w:val="Normal"/>
    <w:link w:val="FooterChar"/>
    <w:uiPriority w:val="99"/>
    <w:unhideWhenUsed/>
    <w:rsid w:val="00E43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3B4E"/>
  </w:style>
  <w:style w:type="character" w:styleId="LineNumber">
    <w:name w:val="line number"/>
    <w:basedOn w:val="DefaultParagraphFont"/>
    <w:uiPriority w:val="99"/>
    <w:semiHidden/>
    <w:unhideWhenUsed/>
    <w:rsid w:val="00E43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016/j.scitotenv.2018.10.222"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doi.org/10.1073/pnas.1704728114" TargetMode="External"/><Relationship Id="rId17" Type="http://schemas.openxmlformats.org/officeDocument/2006/relationships/hyperlink" Target="https://www.fao.org/faostat/e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fao.org/economic/the-statistics-division-ess/methodology/methodology-systems/technical-conversion-factors-for-agricultural-commodities/en/"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landusepol.2017.08.036"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c.europa.eu/eurostat/data/database" TargetMode="External"/><Relationship Id="rId23"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comtrade.un.org/"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2799</Words>
  <Characters>15960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18722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BAUSANO Giovanni (JRC-ISPRA)</dc:creator>
  <dc:description/>
  <cp:lastModifiedBy>HEMA S</cp:lastModifiedBy>
  <cp:revision>4</cp:revision>
  <dcterms:created xsi:type="dcterms:W3CDTF">2023-03-02T16:48:00Z</dcterms:created>
  <dcterms:modified xsi:type="dcterms:W3CDTF">2023-07-18T13:07:00Z</dcterms:modified>
  <dc:language>en-GB</dc:language>
</cp:coreProperties>
</file>