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  <w:jc w:val="left"/>
        <w:rPr>
          <w:b w:val="0"/>
          <w:color w:val="auto"/>
          <w:sz w:val="24"/>
        </w:rPr>
      </w:pPr>
      <w:r>
        <w:rPr>
          <w:color w:val="auto"/>
          <w:sz w:val="24"/>
        </w:rPr>
        <w:t xml:space="preserve">Table S2 </w:t>
      </w:r>
      <w:r>
        <w:rPr>
          <w:b w:val="0"/>
          <w:color w:val="auto"/>
          <w:sz w:val="24"/>
        </w:rPr>
        <w:t xml:space="preserve">Effect of anethole (AN) concentrations on </w:t>
      </w:r>
      <w:r>
        <w:rPr>
          <w:b w:val="0"/>
          <w:i/>
          <w:color w:val="auto"/>
          <w:sz w:val="24"/>
        </w:rPr>
        <w:t>in vitro</w:t>
      </w:r>
      <w:r>
        <w:rPr>
          <w:b w:val="0"/>
          <w:color w:val="auto"/>
          <w:sz w:val="24"/>
        </w:rPr>
        <w:t xml:space="preserve"> development of porcine in vitro fertilization (IVF) embryos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57"/>
        <w:gridCol w:w="3457"/>
        <w:gridCol w:w="3457"/>
        <w:gridCol w:w="345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50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Anethole, </w:t>
            </w:r>
            <w:r>
              <w:rPr>
                <w:rFonts w:hint="eastAsia" w:ascii="Times New Roman" w:eastAsia="굴림"/>
                <w:b/>
                <w:kern w:val="0"/>
                <w:sz w:val="21"/>
                <w:szCs w:val="21"/>
              </w:rPr>
              <w:t>m</w:t>
            </w: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g/mL</w:t>
            </w:r>
          </w:p>
        </w:tc>
        <w:tc>
          <w:tcPr>
            <w:tcW w:w="1250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bCs/>
                <w:color w:val="000000"/>
                <w:kern w:val="24"/>
                <w:sz w:val="21"/>
                <w:szCs w:val="21"/>
              </w:rPr>
              <w:t>No. of embryos examined</w:t>
            </w:r>
          </w:p>
        </w:tc>
        <w:tc>
          <w:tcPr>
            <w:tcW w:w="1250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bCs/>
                <w:color w:val="000000"/>
                <w:kern w:val="24"/>
                <w:sz w:val="21"/>
                <w:szCs w:val="21"/>
              </w:rPr>
              <w:t>Cleavage</w:t>
            </w:r>
            <w:r>
              <w:rPr>
                <w:rFonts w:hint="eastAsia" w:ascii="Times New Roman" w:eastAsia="宋体"/>
                <w:b/>
                <w:bCs/>
                <w:color w:val="000000"/>
                <w:kern w:val="24"/>
                <w:sz w:val="21"/>
                <w:szCs w:val="21"/>
                <w:lang w:val="en-US" w:eastAsia="zh-CN"/>
              </w:rPr>
              <w:t>,</w:t>
            </w:r>
            <w:r>
              <w:rPr>
                <w:rFonts w:ascii="Times New Roman" w:eastAsia="굴림"/>
                <w:b/>
                <w:bCs/>
                <w:color w:val="000000"/>
                <w:kern w:val="24"/>
                <w:sz w:val="21"/>
                <w:szCs w:val="21"/>
              </w:rPr>
              <w:t xml:space="preserve"> %</w:t>
            </w:r>
          </w:p>
        </w:tc>
        <w:tc>
          <w:tcPr>
            <w:tcW w:w="1250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top w:w="69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Blastocyst</w:t>
            </w:r>
            <w:r>
              <w:rPr>
                <w:rFonts w:hint="eastAsia" w:ascii="Times New Roman" w:eastAsia="宋体"/>
                <w:b/>
                <w:kern w:val="0"/>
                <w:sz w:val="21"/>
                <w:szCs w:val="21"/>
                <w:lang w:val="en-US" w:eastAsia="zh-CN"/>
              </w:rPr>
              <w:t>,</w:t>
            </w: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 %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50" w:type="pct"/>
            <w:tcBorders>
              <w:top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0</w:t>
            </w:r>
          </w:p>
        </w:tc>
        <w:tc>
          <w:tcPr>
            <w:tcW w:w="1250" w:type="pct"/>
            <w:tcBorders>
              <w:top w:val="single" w:color="auto" w:sz="12" w:space="0"/>
            </w:tcBorders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132</w:t>
            </w:r>
          </w:p>
        </w:tc>
        <w:tc>
          <w:tcPr>
            <w:tcW w:w="1250" w:type="pct"/>
            <w:tcBorders>
              <w:top w:val="single" w:color="auto" w:sz="12" w:space="0"/>
            </w:tcBorders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108 (81.7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±5.4)</w:t>
            </w:r>
          </w:p>
        </w:tc>
        <w:tc>
          <w:tcPr>
            <w:tcW w:w="1250" w:type="pct"/>
            <w:tcBorders>
              <w:top w:val="single" w:color="auto" w:sz="12" w:space="0"/>
            </w:tcBorders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insoku w:val="0"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30 (22.8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±2.2)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5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hint="eastAsia" w:ascii="Times New Roman" w:eastAsia="굴림"/>
                <w:kern w:val="0"/>
                <w:sz w:val="21"/>
                <w:szCs w:val="21"/>
              </w:rPr>
              <w:t>0</w:t>
            </w:r>
            <w:r>
              <w:rPr>
                <w:rFonts w:ascii="Times New Roman" w:eastAsia="굴림"/>
                <w:kern w:val="0"/>
                <w:sz w:val="21"/>
                <w:szCs w:val="21"/>
              </w:rPr>
              <w:t>.3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134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117 (86.7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±5.1)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insoku w:val="0"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40 (30.6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±3.2)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  <w:vertAlign w:val="superscript"/>
              </w:rPr>
              <w:t>ab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5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</w:pPr>
            <w:r>
              <w:rPr>
                <w:rFonts w:hint="eastAsia" w:ascii="Times New Roman" w:eastAsia="굴림"/>
                <w:bCs/>
                <w:color w:val="000000"/>
                <w:kern w:val="24"/>
                <w:sz w:val="21"/>
                <w:szCs w:val="21"/>
              </w:rPr>
              <w:t>0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.5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134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111 (82.0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±3.6)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insoku w:val="0"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50 (38.2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±3.0)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  <w:vertAlign w:val="superscript"/>
              </w:rPr>
              <w:t>b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5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</w:pPr>
            <w:r>
              <w:rPr>
                <w:rFonts w:hint="eastAsia" w:ascii="Times New Roman" w:eastAsia="굴림"/>
                <w:bCs/>
                <w:color w:val="000000"/>
                <w:kern w:val="24"/>
                <w:sz w:val="21"/>
                <w:szCs w:val="21"/>
              </w:rPr>
              <w:t>1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133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116 (86.7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±2.4)</w:t>
            </w:r>
          </w:p>
        </w:tc>
        <w:tc>
          <w:tcPr>
            <w:tcW w:w="1250" w:type="pct"/>
            <w:shd w:val="clear" w:color="auto" w:fill="auto"/>
            <w:tcMar>
              <w:top w:w="170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insoku w:val="0"/>
              <w:overflowPunct w:val="0"/>
              <w:snapToGrid w:val="0"/>
              <w:spacing w:before="24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30 (23.0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</w:rPr>
              <w:t>±1.9)</w:t>
            </w:r>
            <w:r>
              <w:rPr>
                <w:rFonts w:ascii="Times New Roman" w:eastAsia="굴림"/>
                <w:bCs/>
                <w:color w:val="000000"/>
                <w:kern w:val="24"/>
                <w:sz w:val="21"/>
                <w:szCs w:val="21"/>
                <w:vertAlign w:val="superscript"/>
              </w:rPr>
              <w:t>a</w:t>
            </w:r>
          </w:p>
        </w:tc>
      </w:tr>
    </w:tbl>
    <w:p>
      <w:pPr>
        <w:rPr>
          <w:sz w:val="21"/>
          <w:szCs w:val="21"/>
        </w:rPr>
      </w:pPr>
      <w:r>
        <w:rPr>
          <w:rFonts w:ascii="Times New Roman" w:hAnsi="Malgun Gothic" w:eastAsia="Malgun Gothic"/>
          <w:sz w:val="21"/>
          <w:szCs w:val="21"/>
        </w:rPr>
        <w:t>Data are the mean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±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SEM</w:t>
      </w:r>
      <w:r>
        <w:rPr>
          <w:rFonts w:hint="eastAsia" w:ascii="Times New Roman" w:hAnsi="Malgun Gothic" w:eastAsia="Malgun Gothic"/>
          <w:sz w:val="21"/>
          <w:szCs w:val="21"/>
        </w:rPr>
        <w:t>, an</w:t>
      </w:r>
      <w:bookmarkStart w:id="0" w:name="_GoBack"/>
      <w:bookmarkEnd w:id="0"/>
      <w:r>
        <w:rPr>
          <w:rFonts w:hint="eastAsia" w:ascii="Times New Roman" w:hAnsi="Malgun Gothic" w:eastAsia="Malgun Gothic"/>
          <w:sz w:val="21"/>
          <w:szCs w:val="21"/>
        </w:rPr>
        <w:t>d v</w:t>
      </w:r>
      <w:r>
        <w:rPr>
          <w:rFonts w:ascii="Times New Roman" w:hAnsi="Malgun Gothic" w:eastAsia="Malgun Gothic"/>
          <w:sz w:val="21"/>
          <w:szCs w:val="21"/>
        </w:rPr>
        <w:t>alues with different superscript letter within a column differ significantly (</w:t>
      </w:r>
      <w:r>
        <w:rPr>
          <w:rFonts w:hint="eastAsia" w:ascii="Times New Roman" w:hAnsi="Malgun Gothic" w:eastAsia="宋体"/>
          <w:i/>
          <w:iCs/>
          <w:sz w:val="21"/>
          <w:szCs w:val="21"/>
          <w:lang w:val="en-US" w:eastAsia="zh-CN"/>
        </w:rPr>
        <w:t>P</w:t>
      </w:r>
      <w:r>
        <w:rPr>
          <w:rFonts w:ascii="Times New Roman" w:hAnsi="Malgun Gothic" w:eastAsia="Malgun Gothic"/>
          <w:sz w:val="21"/>
          <w:szCs w:val="21"/>
        </w:rPr>
        <w:t xml:space="preserve"> &lt; 0.05)</w:t>
      </w:r>
    </w:p>
    <w:sectPr>
      <w:pgSz w:w="16838" w:h="11906" w:orient="landscape"/>
      <w:pgMar w:top="1440" w:right="1701" w:bottom="1440" w:left="1440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바탕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굴림">
    <w:altName w:val="Malgun Gothic"/>
    <w:panose1 w:val="020B0600000101010101"/>
    <w:charset w:val="81"/>
    <w:family w:val="moder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jODczYmFiZmZiNzQ4ZDExZGIwY2VlNDk4NzkwMzIifQ=="/>
  </w:docVars>
  <w:rsids>
    <w:rsidRoot w:val="00E62419"/>
    <w:rsid w:val="0009077A"/>
    <w:rsid w:val="003A7CD1"/>
    <w:rsid w:val="00C27B81"/>
    <w:rsid w:val="00E62419"/>
    <w:rsid w:val="0EEB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hAnsi="Times New Roman" w:eastAsia="바탕" w:cs="Times New Roman"/>
      <w:kern w:val="2"/>
      <w:sz w:val="20"/>
      <w:szCs w:val="24"/>
      <w:lang w:val="en-US" w:eastAsia="ko-KR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customStyle="1" w:styleId="6">
    <w:name w:val="졸_표 제목"/>
    <w:basedOn w:val="1"/>
    <w:link w:val="7"/>
    <w:qFormat/>
    <w:uiPriority w:val="0"/>
    <w:pPr>
      <w:widowControl/>
      <w:wordWrap/>
      <w:autoSpaceDE/>
      <w:autoSpaceDN/>
      <w:spacing w:after="160" w:line="259" w:lineRule="auto"/>
      <w:jc w:val="center"/>
    </w:pPr>
    <w:rPr>
      <w:rFonts w:ascii="Times New Roman" w:eastAsia="Malgun Gothic"/>
      <w:b/>
      <w:color w:val="000000"/>
      <w:kern w:val="0"/>
      <w:sz w:val="28"/>
      <w:szCs w:val="20"/>
    </w:rPr>
  </w:style>
  <w:style w:type="character" w:customStyle="1" w:styleId="7">
    <w:name w:val="졸_표 제목 Char"/>
    <w:link w:val="6"/>
    <w:qFormat/>
    <w:uiPriority w:val="0"/>
    <w:rPr>
      <w:rFonts w:eastAsia="Malgun Gothic"/>
      <w:b/>
      <w:color w:val="000000"/>
      <w:sz w:val="28"/>
      <w:szCs w:val="20"/>
    </w:rPr>
  </w:style>
  <w:style w:type="character" w:customStyle="1" w:styleId="8">
    <w:name w:val="머리글 Char"/>
    <w:basedOn w:val="5"/>
    <w:link w:val="3"/>
    <w:qFormat/>
    <w:uiPriority w:val="99"/>
    <w:rPr>
      <w:rFonts w:ascii="바탕" w:eastAsia="바탕"/>
      <w:kern w:val="2"/>
      <w:sz w:val="20"/>
    </w:rPr>
  </w:style>
  <w:style w:type="character" w:customStyle="1" w:styleId="9">
    <w:name w:val="바닥글 Char"/>
    <w:basedOn w:val="5"/>
    <w:link w:val="2"/>
    <w:qFormat/>
    <w:uiPriority w:val="99"/>
    <w:rPr>
      <w:rFonts w:ascii="바탕" w:eastAsia="바탕"/>
      <w:kern w:val="2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385</Characters>
  <Lines>3</Lines>
  <Paragraphs>1</Paragraphs>
  <TotalTime>30</TotalTime>
  <ScaleCrop>false</ScaleCrop>
  <LinksUpToDate>false</LinksUpToDate>
  <CharactersWithSpaces>435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2022-08-11T08:11:00Z</dcterms:created>
  <dc:creator>Windows 사용자</dc:creator>
  <cp:lastModifiedBy>Leonard</cp:lastModifiedBy>
  <dcterms:modified xsi:type="dcterms:W3CDTF">2023-01-25T09:59:29Z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610EC734ACA1460FAD821522175DC600</vt:lpwstr>
  </property>
</Properties>
</file>