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480" w:lineRule="auto"/>
        <w:jc w:val="left"/>
      </w:pPr>
      <w:r>
        <w:rPr>
          <w:sz w:val="24"/>
        </w:rPr>
        <w:t xml:space="preserve">Table S5 </w:t>
      </w:r>
      <w:r>
        <w:rPr>
          <w:b w:val="0"/>
          <w:sz w:val="24"/>
        </w:rPr>
        <w:t>Effects of AN on inner cell mass (ICM), trophectoderm (TE) and total cell number in porcine IVF blastocysts</w:t>
      </w:r>
    </w:p>
    <w:tbl>
      <w:tblPr>
        <w:tblStyle w:val="2"/>
        <w:tblW w:w="5000" w:type="pct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915"/>
        <w:gridCol w:w="3393"/>
        <w:gridCol w:w="2549"/>
        <w:gridCol w:w="2549"/>
        <w:gridCol w:w="2555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  <w:jc w:val="center"/>
        </w:trPr>
        <w:tc>
          <w:tcPr>
            <w:tcW w:w="1044" w:type="pct"/>
            <w:vMerge w:val="restart"/>
            <w:shd w:val="clear" w:color="auto" w:fill="auto"/>
            <w:tcMar>
              <w:top w:w="170" w:type="dxa"/>
              <w:left w:w="132" w:type="dxa"/>
              <w:bottom w:w="69" w:type="dxa"/>
              <w:right w:w="132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after="160" w:line="480" w:lineRule="auto"/>
              <w:jc w:val="center"/>
              <w:textAlignment w:val="baseline"/>
              <w:rPr>
                <w:rFonts w:ascii="Times New Roman" w:eastAsia="굴림"/>
                <w:b/>
                <w:kern w:val="0"/>
                <w:sz w:val="21"/>
                <w:szCs w:val="21"/>
              </w:rPr>
            </w:pPr>
            <w:r>
              <w:rPr>
                <w:rFonts w:ascii="Times New Roman" w:eastAsia="굴림"/>
                <w:b/>
                <w:kern w:val="0"/>
                <w:sz w:val="21"/>
                <w:szCs w:val="21"/>
              </w:rPr>
              <w:t>Groups</w:t>
            </w:r>
          </w:p>
        </w:tc>
        <w:tc>
          <w:tcPr>
            <w:tcW w:w="1215" w:type="pct"/>
            <w:vMerge w:val="restart"/>
            <w:shd w:val="clear" w:color="auto" w:fill="auto"/>
            <w:tcMar>
              <w:top w:w="170" w:type="dxa"/>
              <w:left w:w="132" w:type="dxa"/>
              <w:bottom w:w="69" w:type="dxa"/>
              <w:right w:w="132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after="160" w:line="480" w:lineRule="auto"/>
              <w:jc w:val="center"/>
              <w:textAlignment w:val="baseline"/>
              <w:rPr>
                <w:rFonts w:ascii="Times New Roman" w:eastAsia="굴림"/>
                <w:b/>
                <w:kern w:val="0"/>
                <w:sz w:val="21"/>
                <w:szCs w:val="21"/>
              </w:rPr>
            </w:pPr>
            <w:r>
              <w:rPr>
                <w:rFonts w:ascii="Times New Roman" w:eastAsia="굴림"/>
                <w:b/>
                <w:kern w:val="0"/>
                <w:sz w:val="21"/>
                <w:szCs w:val="21"/>
              </w:rPr>
              <w:t>No. of blastocysts examined</w:t>
            </w:r>
          </w:p>
        </w:tc>
        <w:tc>
          <w:tcPr>
            <w:tcW w:w="2741" w:type="pct"/>
            <w:gridSpan w:val="3"/>
            <w:tcBorders>
              <w:bottom w:val="single" w:color="auto" w:sz="8" w:space="0"/>
            </w:tcBorders>
            <w:shd w:val="clear" w:color="auto" w:fill="auto"/>
            <w:tcMar>
              <w:top w:w="170" w:type="dxa"/>
              <w:left w:w="132" w:type="dxa"/>
              <w:bottom w:w="69" w:type="dxa"/>
              <w:right w:w="132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after="160" w:line="480" w:lineRule="auto"/>
              <w:jc w:val="center"/>
              <w:textAlignment w:val="baseline"/>
              <w:rPr>
                <w:rFonts w:ascii="Times New Roman" w:eastAsia="굴림"/>
                <w:b/>
                <w:kern w:val="0"/>
                <w:sz w:val="21"/>
                <w:szCs w:val="21"/>
              </w:rPr>
            </w:pPr>
            <w:r>
              <w:rPr>
                <w:rFonts w:ascii="Times New Roman" w:eastAsia="굴림"/>
                <w:b/>
                <w:kern w:val="0"/>
                <w:sz w:val="21"/>
                <w:szCs w:val="21"/>
              </w:rPr>
              <w:t>No. of nuclei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  <w:jc w:val="center"/>
        </w:trPr>
        <w:tc>
          <w:tcPr>
            <w:tcW w:w="1044" w:type="pct"/>
            <w:vMerge w:val="continue"/>
            <w:tcBorders>
              <w:bottom w:val="single" w:color="auto" w:sz="12" w:space="0"/>
            </w:tcBorders>
            <w:tcMar>
              <w:top w:w="170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after="160" w:line="480" w:lineRule="auto"/>
              <w:jc w:val="center"/>
              <w:rPr>
                <w:rFonts w:ascii="Times New Roman" w:eastAsia="굴림"/>
                <w:b/>
                <w:kern w:val="0"/>
                <w:sz w:val="21"/>
                <w:szCs w:val="21"/>
              </w:rPr>
            </w:pPr>
          </w:p>
        </w:tc>
        <w:tc>
          <w:tcPr>
            <w:tcW w:w="1215" w:type="pct"/>
            <w:vMerge w:val="continue"/>
            <w:tcBorders>
              <w:bottom w:val="single" w:color="auto" w:sz="12" w:space="0"/>
            </w:tcBorders>
            <w:tcMar>
              <w:top w:w="170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after="160" w:line="480" w:lineRule="auto"/>
              <w:jc w:val="center"/>
              <w:rPr>
                <w:rFonts w:ascii="Times New Roman" w:eastAsia="굴림"/>
                <w:b/>
                <w:kern w:val="0"/>
                <w:sz w:val="21"/>
                <w:szCs w:val="21"/>
              </w:rPr>
            </w:pPr>
          </w:p>
        </w:tc>
        <w:tc>
          <w:tcPr>
            <w:tcW w:w="913" w:type="pct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tcMar>
              <w:top w:w="170" w:type="dxa"/>
              <w:left w:w="132" w:type="dxa"/>
              <w:bottom w:w="69" w:type="dxa"/>
              <w:right w:w="132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after="160" w:line="480" w:lineRule="auto"/>
              <w:jc w:val="center"/>
              <w:textAlignment w:val="baseline"/>
              <w:rPr>
                <w:rFonts w:ascii="Times New Roman" w:eastAsia="굴림"/>
                <w:b/>
                <w:kern w:val="0"/>
                <w:sz w:val="21"/>
                <w:szCs w:val="21"/>
              </w:rPr>
            </w:pPr>
            <w:r>
              <w:rPr>
                <w:rFonts w:ascii="Times New Roman" w:eastAsia="굴림"/>
                <w:b/>
                <w:kern w:val="0"/>
                <w:sz w:val="21"/>
                <w:szCs w:val="21"/>
              </w:rPr>
              <w:t>ICM</w:t>
            </w:r>
          </w:p>
        </w:tc>
        <w:tc>
          <w:tcPr>
            <w:tcW w:w="913" w:type="pct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tcMar>
              <w:top w:w="170" w:type="dxa"/>
              <w:left w:w="132" w:type="dxa"/>
              <w:bottom w:w="69" w:type="dxa"/>
              <w:right w:w="132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after="160" w:line="480" w:lineRule="auto"/>
              <w:jc w:val="center"/>
              <w:textAlignment w:val="baseline"/>
              <w:rPr>
                <w:rFonts w:ascii="Times New Roman" w:eastAsia="굴림"/>
                <w:b/>
                <w:kern w:val="0"/>
                <w:sz w:val="21"/>
                <w:szCs w:val="21"/>
              </w:rPr>
            </w:pPr>
            <w:r>
              <w:rPr>
                <w:rFonts w:ascii="Times New Roman" w:eastAsia="굴림"/>
                <w:b/>
                <w:kern w:val="0"/>
                <w:sz w:val="21"/>
                <w:szCs w:val="21"/>
              </w:rPr>
              <w:t>TE</w:t>
            </w:r>
          </w:p>
        </w:tc>
        <w:tc>
          <w:tcPr>
            <w:tcW w:w="915" w:type="pct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tcMar>
              <w:top w:w="170" w:type="dxa"/>
              <w:left w:w="132" w:type="dxa"/>
              <w:bottom w:w="69" w:type="dxa"/>
              <w:right w:w="132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after="160" w:line="480" w:lineRule="auto"/>
              <w:jc w:val="center"/>
              <w:textAlignment w:val="baseline"/>
              <w:rPr>
                <w:rFonts w:ascii="Times New Roman" w:eastAsia="굴림"/>
                <w:b/>
                <w:kern w:val="0"/>
                <w:sz w:val="21"/>
                <w:szCs w:val="21"/>
              </w:rPr>
            </w:pPr>
            <w:r>
              <w:rPr>
                <w:rFonts w:ascii="Times New Roman" w:eastAsia="굴림"/>
                <w:b/>
                <w:kern w:val="0"/>
                <w:sz w:val="21"/>
                <w:szCs w:val="21"/>
              </w:rPr>
              <w:t>Total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  <w:jc w:val="center"/>
        </w:trPr>
        <w:tc>
          <w:tcPr>
            <w:tcW w:w="1044" w:type="pct"/>
            <w:tcBorders>
              <w:top w:val="single" w:color="auto" w:sz="12" w:space="0"/>
              <w:bottom w:val="nil"/>
            </w:tcBorders>
            <w:shd w:val="clear" w:color="auto" w:fill="auto"/>
            <w:tcMar>
              <w:top w:w="170" w:type="dxa"/>
              <w:left w:w="132" w:type="dxa"/>
              <w:bottom w:w="69" w:type="dxa"/>
              <w:right w:w="132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after="160" w:line="480" w:lineRule="auto"/>
              <w:jc w:val="center"/>
              <w:textAlignment w:val="baseline"/>
              <w:rPr>
                <w:rFonts w:ascii="Times New Roman" w:eastAsia="굴림"/>
                <w:kern w:val="0"/>
                <w:sz w:val="21"/>
                <w:szCs w:val="21"/>
              </w:rPr>
            </w:pPr>
            <w:r>
              <w:rPr>
                <w:rFonts w:ascii="Times New Roman" w:eastAsia="굴림"/>
                <w:kern w:val="0"/>
                <w:sz w:val="21"/>
                <w:szCs w:val="21"/>
              </w:rPr>
              <w:t>Con</w:t>
            </w:r>
          </w:p>
        </w:tc>
        <w:tc>
          <w:tcPr>
            <w:tcW w:w="1215" w:type="pct"/>
            <w:tcBorders>
              <w:top w:val="single" w:color="auto" w:sz="12" w:space="0"/>
              <w:bottom w:val="nil"/>
            </w:tcBorders>
            <w:shd w:val="clear" w:color="auto" w:fill="auto"/>
            <w:tcMar>
              <w:top w:w="170" w:type="dxa"/>
              <w:left w:w="132" w:type="dxa"/>
              <w:bottom w:w="69" w:type="dxa"/>
              <w:right w:w="132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after="160" w:line="480" w:lineRule="auto"/>
              <w:jc w:val="center"/>
              <w:textAlignment w:val="baseline"/>
              <w:rPr>
                <w:rFonts w:ascii="Times New Roman" w:eastAsia="굴림"/>
                <w:kern w:val="0"/>
                <w:sz w:val="21"/>
                <w:szCs w:val="21"/>
              </w:rPr>
            </w:pPr>
            <w:r>
              <w:rPr>
                <w:rFonts w:ascii="Times New Roman" w:eastAsia="굴림"/>
                <w:kern w:val="0"/>
                <w:sz w:val="21"/>
                <w:szCs w:val="21"/>
              </w:rPr>
              <w:t>26</w:t>
            </w:r>
          </w:p>
        </w:tc>
        <w:tc>
          <w:tcPr>
            <w:tcW w:w="913" w:type="pct"/>
            <w:tcBorders>
              <w:top w:val="single" w:color="auto" w:sz="12" w:space="0"/>
              <w:bottom w:val="nil"/>
            </w:tcBorders>
            <w:shd w:val="clear" w:color="auto" w:fill="auto"/>
            <w:tcMar>
              <w:top w:w="170" w:type="dxa"/>
              <w:left w:w="132" w:type="dxa"/>
              <w:bottom w:w="69" w:type="dxa"/>
              <w:right w:w="132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after="160" w:line="480" w:lineRule="auto"/>
              <w:jc w:val="center"/>
              <w:textAlignment w:val="baseline"/>
              <w:rPr>
                <w:rFonts w:ascii="Times New Roman" w:eastAsia="굴림"/>
                <w:kern w:val="0"/>
                <w:sz w:val="21"/>
                <w:szCs w:val="21"/>
              </w:rPr>
            </w:pPr>
            <w:r>
              <w:rPr>
                <w:rFonts w:ascii="Times New Roman" w:eastAsia="굴림"/>
                <w:kern w:val="0"/>
                <w:sz w:val="21"/>
                <w:szCs w:val="21"/>
              </w:rPr>
              <w:t>9.5</w:t>
            </w:r>
            <w:r>
              <w:rPr>
                <w:rFonts w:ascii="Times New Roman" w:eastAsia="굴림"/>
                <w:bCs/>
                <w:kern w:val="24"/>
                <w:sz w:val="21"/>
                <w:szCs w:val="21"/>
              </w:rPr>
              <w:t>±0.6</w:t>
            </w:r>
          </w:p>
        </w:tc>
        <w:tc>
          <w:tcPr>
            <w:tcW w:w="913" w:type="pct"/>
            <w:tcBorders>
              <w:top w:val="single" w:color="auto" w:sz="12" w:space="0"/>
              <w:bottom w:val="nil"/>
            </w:tcBorders>
            <w:shd w:val="clear" w:color="auto" w:fill="auto"/>
            <w:tcMar>
              <w:top w:w="170" w:type="dxa"/>
              <w:left w:w="132" w:type="dxa"/>
              <w:bottom w:w="69" w:type="dxa"/>
              <w:right w:w="132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after="160" w:line="480" w:lineRule="auto"/>
              <w:jc w:val="center"/>
              <w:textAlignment w:val="center"/>
              <w:rPr>
                <w:rFonts w:ascii="Times New Roman" w:eastAsia="굴림"/>
                <w:kern w:val="0"/>
                <w:sz w:val="21"/>
                <w:szCs w:val="21"/>
              </w:rPr>
            </w:pPr>
            <w:r>
              <w:rPr>
                <w:rFonts w:ascii="Times New Roman" w:eastAsia="굴림"/>
                <w:kern w:val="0"/>
                <w:sz w:val="21"/>
                <w:szCs w:val="21"/>
              </w:rPr>
              <w:t>23.1</w:t>
            </w:r>
            <w:r>
              <w:rPr>
                <w:rFonts w:ascii="Times New Roman" w:eastAsia="굴림"/>
                <w:bCs/>
                <w:kern w:val="24"/>
                <w:sz w:val="21"/>
                <w:szCs w:val="21"/>
              </w:rPr>
              <w:t>±1.0</w:t>
            </w:r>
            <w:r>
              <w:rPr>
                <w:rFonts w:ascii="Times New Roman" w:eastAsia="굴림"/>
                <w:bCs/>
                <w:kern w:val="24"/>
                <w:position w:val="6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915" w:type="pct"/>
            <w:tcBorders>
              <w:top w:val="single" w:color="auto" w:sz="12" w:space="0"/>
              <w:bottom w:val="nil"/>
            </w:tcBorders>
            <w:shd w:val="clear" w:color="auto" w:fill="auto"/>
            <w:tcMar>
              <w:top w:w="170" w:type="dxa"/>
              <w:left w:w="132" w:type="dxa"/>
              <w:bottom w:w="69" w:type="dxa"/>
              <w:right w:w="132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after="160" w:line="480" w:lineRule="auto"/>
              <w:jc w:val="center"/>
              <w:textAlignment w:val="center"/>
              <w:rPr>
                <w:rFonts w:ascii="Times New Roman" w:eastAsia="굴림"/>
                <w:kern w:val="0"/>
                <w:sz w:val="21"/>
                <w:szCs w:val="21"/>
              </w:rPr>
            </w:pPr>
            <w:r>
              <w:rPr>
                <w:rFonts w:ascii="Times New Roman" w:eastAsia="굴림"/>
                <w:kern w:val="0"/>
                <w:sz w:val="21"/>
                <w:szCs w:val="21"/>
              </w:rPr>
              <w:t>32.7</w:t>
            </w:r>
            <w:r>
              <w:rPr>
                <w:rFonts w:ascii="Times New Roman" w:eastAsia="굴림"/>
                <w:bCs/>
                <w:kern w:val="24"/>
                <w:sz w:val="21"/>
                <w:szCs w:val="21"/>
              </w:rPr>
              <w:t>±1.2</w:t>
            </w:r>
            <w:r>
              <w:rPr>
                <w:rFonts w:ascii="Times New Roman" w:eastAsia="굴림"/>
                <w:bCs/>
                <w:kern w:val="24"/>
                <w:position w:val="6"/>
                <w:sz w:val="21"/>
                <w:szCs w:val="21"/>
                <w:vertAlign w:val="superscript"/>
              </w:rPr>
              <w:t>a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  <w:jc w:val="center"/>
        </w:trPr>
        <w:tc>
          <w:tcPr>
            <w:tcW w:w="1044" w:type="pct"/>
            <w:shd w:val="clear" w:color="auto" w:fill="auto"/>
            <w:tcMar>
              <w:top w:w="170" w:type="dxa"/>
              <w:left w:w="132" w:type="dxa"/>
              <w:bottom w:w="69" w:type="dxa"/>
              <w:right w:w="132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after="160" w:line="480" w:lineRule="auto"/>
              <w:jc w:val="center"/>
              <w:textAlignment w:val="baseline"/>
              <w:rPr>
                <w:rFonts w:ascii="Times New Roman" w:eastAsia="굴림"/>
                <w:kern w:val="0"/>
                <w:sz w:val="21"/>
                <w:szCs w:val="21"/>
              </w:rPr>
            </w:pPr>
            <w:r>
              <w:rPr>
                <w:rFonts w:ascii="Times New Roman" w:eastAsia="굴림"/>
                <w:kern w:val="0"/>
                <w:sz w:val="21"/>
                <w:szCs w:val="21"/>
              </w:rPr>
              <w:t>AN</w:t>
            </w:r>
          </w:p>
        </w:tc>
        <w:tc>
          <w:tcPr>
            <w:tcW w:w="1215" w:type="pct"/>
            <w:shd w:val="clear" w:color="auto" w:fill="auto"/>
            <w:tcMar>
              <w:top w:w="170" w:type="dxa"/>
              <w:left w:w="132" w:type="dxa"/>
              <w:bottom w:w="69" w:type="dxa"/>
              <w:right w:w="132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after="160" w:line="480" w:lineRule="auto"/>
              <w:jc w:val="center"/>
              <w:textAlignment w:val="baseline"/>
              <w:rPr>
                <w:rFonts w:ascii="Times New Roman" w:eastAsia="굴림"/>
                <w:kern w:val="0"/>
                <w:sz w:val="21"/>
                <w:szCs w:val="21"/>
              </w:rPr>
            </w:pPr>
            <w:r>
              <w:rPr>
                <w:rFonts w:ascii="Times New Roman" w:eastAsia="굴림"/>
                <w:kern w:val="0"/>
                <w:sz w:val="21"/>
                <w:szCs w:val="21"/>
              </w:rPr>
              <w:t>26</w:t>
            </w:r>
          </w:p>
        </w:tc>
        <w:tc>
          <w:tcPr>
            <w:tcW w:w="913" w:type="pct"/>
            <w:shd w:val="clear" w:color="auto" w:fill="auto"/>
            <w:tcMar>
              <w:top w:w="170" w:type="dxa"/>
              <w:left w:w="132" w:type="dxa"/>
              <w:bottom w:w="69" w:type="dxa"/>
              <w:right w:w="132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after="160" w:line="480" w:lineRule="auto"/>
              <w:jc w:val="center"/>
              <w:textAlignment w:val="baseline"/>
              <w:rPr>
                <w:rFonts w:ascii="Times New Roman" w:eastAsia="굴림"/>
                <w:kern w:val="0"/>
                <w:sz w:val="21"/>
                <w:szCs w:val="21"/>
              </w:rPr>
            </w:pPr>
            <w:r>
              <w:rPr>
                <w:rFonts w:ascii="Times New Roman" w:eastAsia="굴림"/>
                <w:kern w:val="0"/>
                <w:sz w:val="21"/>
                <w:szCs w:val="21"/>
              </w:rPr>
              <w:t>10.9</w:t>
            </w:r>
            <w:r>
              <w:rPr>
                <w:rFonts w:ascii="Times New Roman" w:eastAsia="굴림"/>
                <w:bCs/>
                <w:kern w:val="24"/>
                <w:sz w:val="21"/>
                <w:szCs w:val="21"/>
              </w:rPr>
              <w:t>±0.9</w:t>
            </w:r>
          </w:p>
        </w:tc>
        <w:tc>
          <w:tcPr>
            <w:tcW w:w="913" w:type="pct"/>
            <w:shd w:val="clear" w:color="auto" w:fill="auto"/>
            <w:tcMar>
              <w:top w:w="170" w:type="dxa"/>
              <w:left w:w="132" w:type="dxa"/>
              <w:bottom w:w="69" w:type="dxa"/>
              <w:right w:w="132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after="160" w:line="480" w:lineRule="auto"/>
              <w:jc w:val="center"/>
              <w:textAlignment w:val="center"/>
              <w:rPr>
                <w:rFonts w:ascii="Times New Roman" w:eastAsia="굴림"/>
                <w:kern w:val="0"/>
                <w:sz w:val="21"/>
                <w:szCs w:val="21"/>
              </w:rPr>
            </w:pPr>
            <w:r>
              <w:rPr>
                <w:rFonts w:ascii="Times New Roman" w:eastAsia="굴림"/>
                <w:kern w:val="0"/>
                <w:sz w:val="21"/>
                <w:szCs w:val="21"/>
              </w:rPr>
              <w:t>30.7</w:t>
            </w:r>
            <w:r>
              <w:rPr>
                <w:rFonts w:ascii="Times New Roman" w:eastAsia="굴림"/>
                <w:bCs/>
                <w:kern w:val="24"/>
                <w:sz w:val="21"/>
                <w:szCs w:val="21"/>
              </w:rPr>
              <w:t>±1.6</w:t>
            </w:r>
            <w:r>
              <w:rPr>
                <w:rFonts w:ascii="Times New Roman" w:eastAsia="굴림"/>
                <w:bCs/>
                <w:kern w:val="24"/>
                <w:position w:val="6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915" w:type="pct"/>
            <w:shd w:val="clear" w:color="auto" w:fill="auto"/>
            <w:tcMar>
              <w:top w:w="170" w:type="dxa"/>
              <w:left w:w="132" w:type="dxa"/>
              <w:bottom w:w="69" w:type="dxa"/>
              <w:right w:w="132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after="160" w:line="480" w:lineRule="auto"/>
              <w:jc w:val="center"/>
              <w:textAlignment w:val="center"/>
              <w:rPr>
                <w:rFonts w:ascii="Times New Roman" w:eastAsia="굴림"/>
                <w:kern w:val="0"/>
                <w:sz w:val="21"/>
                <w:szCs w:val="21"/>
              </w:rPr>
            </w:pPr>
            <w:r>
              <w:rPr>
                <w:rFonts w:ascii="Times New Roman" w:eastAsia="굴림"/>
                <w:kern w:val="0"/>
                <w:sz w:val="21"/>
                <w:szCs w:val="21"/>
              </w:rPr>
              <w:t>41.6</w:t>
            </w:r>
            <w:r>
              <w:rPr>
                <w:rFonts w:ascii="Times New Roman" w:eastAsia="굴림"/>
                <w:bCs/>
                <w:kern w:val="24"/>
                <w:sz w:val="21"/>
                <w:szCs w:val="21"/>
              </w:rPr>
              <w:t>±1.9</w:t>
            </w:r>
            <w:r>
              <w:rPr>
                <w:rFonts w:ascii="Times New Roman" w:eastAsia="굴림"/>
                <w:bCs/>
                <w:kern w:val="24"/>
                <w:position w:val="6"/>
                <w:sz w:val="21"/>
                <w:szCs w:val="21"/>
                <w:vertAlign w:val="superscript"/>
              </w:rPr>
              <w:t>b</w:t>
            </w:r>
          </w:p>
        </w:tc>
      </w:tr>
    </w:tbl>
    <w:p>
      <w:pPr>
        <w:kinsoku w:val="0"/>
        <w:wordWrap/>
        <w:overflowPunct w:val="0"/>
        <w:snapToGrid w:val="0"/>
        <w:spacing w:after="160" w:line="480" w:lineRule="auto"/>
      </w:pPr>
      <w:r>
        <w:rPr>
          <w:rFonts w:ascii="Times New Roman" w:hAnsi="Malgun Gothic" w:eastAsia="Malgun Gothic"/>
          <w:sz w:val="21"/>
          <w:szCs w:val="21"/>
        </w:rPr>
        <w:t>Data are the mean</w:t>
      </w:r>
      <w:r>
        <w:rPr>
          <w:rFonts w:hint="eastAsia" w:ascii="Times New Roman" w:hAnsi="Malgun Gothic" w:eastAsia="Malgun Gothic"/>
          <w:sz w:val="21"/>
          <w:szCs w:val="21"/>
        </w:rPr>
        <w:t xml:space="preserve"> </w:t>
      </w:r>
      <w:r>
        <w:rPr>
          <w:rFonts w:ascii="Times New Roman" w:hAnsi="Malgun Gothic" w:eastAsia="Malgun Gothic"/>
          <w:sz w:val="21"/>
          <w:szCs w:val="21"/>
        </w:rPr>
        <w:t>±</w:t>
      </w:r>
      <w:r>
        <w:rPr>
          <w:rFonts w:hint="eastAsia" w:ascii="Times New Roman" w:hAnsi="Malgun Gothic" w:eastAsia="Malgun Gothic"/>
          <w:sz w:val="21"/>
          <w:szCs w:val="21"/>
        </w:rPr>
        <w:t xml:space="preserve"> </w:t>
      </w:r>
      <w:r>
        <w:rPr>
          <w:rFonts w:ascii="Times New Roman" w:hAnsi="Malgun Gothic" w:eastAsia="Malgun Gothic"/>
          <w:sz w:val="21"/>
          <w:szCs w:val="21"/>
        </w:rPr>
        <w:t>SEM</w:t>
      </w:r>
      <w:r>
        <w:rPr>
          <w:rFonts w:hint="eastAsia" w:ascii="Times New Roman" w:hAnsi="Malgun Gothic" w:eastAsia="Malgun Gothic"/>
          <w:sz w:val="21"/>
          <w:szCs w:val="21"/>
        </w:rPr>
        <w:t>, and v</w:t>
      </w:r>
      <w:r>
        <w:rPr>
          <w:rFonts w:ascii="Times New Roman" w:hAnsi="Malgun Gothic" w:eastAsia="Malgun Gothic"/>
          <w:sz w:val="21"/>
          <w:szCs w:val="21"/>
        </w:rPr>
        <w:t>alues with different superscript letter within a column differ significantly (</w:t>
      </w:r>
      <w:r>
        <w:rPr>
          <w:rFonts w:hint="eastAsia" w:ascii="Times New Roman" w:hAnsi="Malgun Gothic" w:eastAsia="宋体"/>
          <w:i/>
          <w:iCs/>
          <w:sz w:val="21"/>
          <w:szCs w:val="21"/>
          <w:lang w:val="en-US" w:eastAsia="zh-CN"/>
        </w:rPr>
        <w:t>P</w:t>
      </w:r>
      <w:r>
        <w:rPr>
          <w:rFonts w:ascii="Times New Roman" w:hAnsi="Malgun Gothic" w:eastAsia="Malgun Gothic"/>
          <w:sz w:val="21"/>
          <w:szCs w:val="21"/>
        </w:rPr>
        <w:t xml:space="preserve"> &lt; 0.05)</w:t>
      </w:r>
      <w:bookmarkStart w:id="0" w:name="_GoBack"/>
      <w:bookmarkEnd w:id="0"/>
    </w:p>
    <w:sectPr>
      <w:pgSz w:w="16838" w:h="11906" w:orient="landscape"/>
      <w:pgMar w:top="1440" w:right="1440" w:bottom="1440" w:left="1701" w:header="851" w:footer="992" w:gutter="0"/>
      <w:cols w:space="425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바탕">
    <w:altName w:val="Malgun Gothic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굴림">
    <w:altName w:val="Malgun Gothic"/>
    <w:panose1 w:val="020B0600000101010101"/>
    <w:charset w:val="81"/>
    <w:family w:val="modern"/>
    <w:pitch w:val="default"/>
    <w:sig w:usb0="00000000" w:usb1="00000000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800"/>
  <w:displayHorizontalDrawingGridEvery w:val="0"/>
  <w:displayVerticalDrawingGridEvery w:val="2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RjODczYmFiZmZiNzQ4ZDExZGIwY2VlNDk4NzkwMzIifQ=="/>
  </w:docVars>
  <w:rsids>
    <w:rsidRoot w:val="00356DD7"/>
    <w:rsid w:val="00356DD7"/>
    <w:rsid w:val="00C27B81"/>
    <w:rsid w:val="31D924DF"/>
    <w:rsid w:val="47F04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바탕" w:hAnsi="Times New Roman" w:eastAsia="바탕" w:cs="Times New Roman"/>
      <w:kern w:val="2"/>
      <w:sz w:val="20"/>
      <w:szCs w:val="24"/>
      <w:lang w:val="en-US" w:eastAsia="ko-KR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졸_표 제목"/>
    <w:basedOn w:val="1"/>
    <w:link w:val="5"/>
    <w:qFormat/>
    <w:uiPriority w:val="0"/>
    <w:pPr>
      <w:widowControl/>
      <w:wordWrap/>
      <w:autoSpaceDE/>
      <w:autoSpaceDN/>
      <w:spacing w:after="160" w:line="259" w:lineRule="auto"/>
      <w:jc w:val="center"/>
    </w:pPr>
    <w:rPr>
      <w:rFonts w:ascii="Times New Roman" w:eastAsia="Malgun Gothic"/>
      <w:b/>
      <w:color w:val="000000"/>
      <w:kern w:val="0"/>
      <w:sz w:val="28"/>
      <w:szCs w:val="20"/>
    </w:rPr>
  </w:style>
  <w:style w:type="character" w:customStyle="1" w:styleId="5">
    <w:name w:val="졸_표 제목 Char"/>
    <w:link w:val="4"/>
    <w:qFormat/>
    <w:uiPriority w:val="0"/>
    <w:rPr>
      <w:rFonts w:eastAsia="Malgun Gothic"/>
      <w:b/>
      <w:color w:val="000000"/>
      <w:sz w:val="2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61</Words>
  <Characters>306</Characters>
  <Lines>2</Lines>
  <Paragraphs>1</Paragraphs>
  <TotalTime>4</TotalTime>
  <ScaleCrop>false</ScaleCrop>
  <LinksUpToDate>false</LinksUpToDate>
  <CharactersWithSpaces>349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2022-08-11T08:15:00Z</dcterms:created>
  <dc:creator>Windows 사용자</dc:creator>
  <cp:lastModifiedBy>Leonard</cp:lastModifiedBy>
  <dcterms:modified xsi:type="dcterms:W3CDTF">2023-01-25T10:13:08Z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937B4B155DFC4080AE6AE57B0A217E55</vt:lpwstr>
  </property>
</Properties>
</file>