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CF6" w:rsidRPr="00D70CF6" w:rsidRDefault="00D70CF6" w:rsidP="00D70CF6">
      <w:pPr>
        <w:pageBreakBefore/>
        <w:rPr>
          <w:rFonts w:ascii="Times New Roman" w:hAnsi="Times New Roman" w:cs="Times New Roman"/>
          <w:b/>
          <w:sz w:val="24"/>
        </w:rPr>
      </w:pPr>
      <w:r w:rsidRPr="00D70CF6">
        <w:rPr>
          <w:rFonts w:ascii="Times New Roman" w:hAnsi="Times New Roman" w:cs="Times New Roman"/>
          <w:b/>
          <w:sz w:val="24"/>
        </w:rPr>
        <w:t>F</w:t>
      </w:r>
      <w:r w:rsidR="00C35E9C">
        <w:rPr>
          <w:rFonts w:ascii="Times New Roman" w:hAnsi="Times New Roman" w:cs="Times New Roman"/>
          <w:b/>
          <w:sz w:val="24"/>
        </w:rPr>
        <w:t>ig.S1</w:t>
      </w:r>
    </w:p>
    <w:p w:rsidR="00C35E9C" w:rsidRDefault="003A0BE6" w:rsidP="00C35E9C">
      <w:r w:rsidRPr="003A0BE6">
        <w:rPr>
          <w:rFonts w:ascii="Times New Roman" w:hAnsi="Times New Roman" w:cs="Times New Roman"/>
          <w:sz w:val="24"/>
          <w:szCs w:val="24"/>
        </w:rPr>
        <w:t>Brightfield images showing the organoids incubated with WNT inhibitors including IWP-2 and IWR-1-endo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A0BE6">
        <w:rPr>
          <w:rFonts w:ascii="Times New Roman" w:hAnsi="Times New Roman" w:cs="Times New Roman"/>
          <w:sz w:val="24"/>
          <w:szCs w:val="24"/>
        </w:rPr>
        <w:t xml:space="preserve"> </w:t>
      </w:r>
      <w:r w:rsidR="00D70CF6" w:rsidRPr="00114BCE">
        <w:rPr>
          <w:rFonts w:ascii="Times New Roman" w:hAnsi="Times New Roman" w:cs="Times New Roman"/>
          <w:sz w:val="24"/>
          <w:szCs w:val="24"/>
        </w:rPr>
        <w:t xml:space="preserve">Scale bar, </w:t>
      </w:r>
      <w:r w:rsidR="00D70CF6" w:rsidRPr="00025C29">
        <w:rPr>
          <w:rFonts w:ascii="Times New Roman" w:hAnsi="Times New Roman" w:cs="Times New Roman"/>
          <w:sz w:val="24"/>
          <w:szCs w:val="24"/>
        </w:rPr>
        <w:t>200 μm.</w:t>
      </w:r>
      <w:r w:rsidR="00C35E9C">
        <w:rPr>
          <w:rFonts w:ascii="Times New Roman" w:hAnsi="Times New Roman" w:cs="Times New Roman"/>
          <w:sz w:val="24"/>
          <w:szCs w:val="24"/>
        </w:rPr>
        <w:t xml:space="preserve"> </w:t>
      </w:r>
      <w:r w:rsidR="00C35E9C" w:rsidRPr="00C35E9C">
        <w:rPr>
          <w:rFonts w:ascii="Times New Roman" w:hAnsi="Times New Roman" w:cs="Times New Roman"/>
          <w:sz w:val="24"/>
        </w:rPr>
        <w:t>The six medium including BM, BM+EGF, BM+FGF2, BM+FGF7, BM+FGF10 and GM were incubated with organoids (passage 1) at d</w:t>
      </w:r>
      <w:r w:rsidR="00C35E9C">
        <w:rPr>
          <w:rFonts w:ascii="Times New Roman" w:hAnsi="Times New Roman" w:cs="Times New Roman"/>
          <w:sz w:val="24"/>
        </w:rPr>
        <w:t>ay</w:t>
      </w:r>
      <w:r w:rsidR="00C35E9C" w:rsidRPr="00C35E9C">
        <w:rPr>
          <w:rFonts w:ascii="Times New Roman" w:hAnsi="Times New Roman" w:cs="Times New Roman"/>
          <w:sz w:val="24"/>
        </w:rPr>
        <w:t xml:space="preserve"> 0, respectively. The growth area of organoids was acquired using a microscope (Nikon, Tokyo, Japan) at d 2, </w:t>
      </w:r>
      <w:r>
        <w:rPr>
          <w:rFonts w:ascii="Times New Roman" w:hAnsi="Times New Roman" w:cs="Times New Roman"/>
          <w:sz w:val="24"/>
        </w:rPr>
        <w:t xml:space="preserve">d </w:t>
      </w:r>
      <w:r w:rsidR="00C35E9C" w:rsidRPr="00C35E9C">
        <w:rPr>
          <w:rFonts w:ascii="Times New Roman" w:hAnsi="Times New Roman" w:cs="Times New Roman"/>
          <w:sz w:val="24"/>
        </w:rPr>
        <w:t>4</w:t>
      </w:r>
      <w:r w:rsidR="004A5437">
        <w:rPr>
          <w:rFonts w:ascii="Times New Roman" w:hAnsi="Times New Roman" w:cs="Times New Roman"/>
          <w:sz w:val="24"/>
        </w:rPr>
        <w:t>,</w:t>
      </w:r>
      <w:r w:rsidR="00C35E9C" w:rsidRPr="00C35E9C">
        <w:rPr>
          <w:rFonts w:ascii="Times New Roman" w:hAnsi="Times New Roman" w:cs="Times New Roman"/>
          <w:sz w:val="24"/>
        </w:rPr>
        <w:t xml:space="preserve"> and </w:t>
      </w:r>
      <w:r>
        <w:rPr>
          <w:rFonts w:ascii="Times New Roman" w:hAnsi="Times New Roman" w:cs="Times New Roman"/>
          <w:sz w:val="24"/>
        </w:rPr>
        <w:t xml:space="preserve">d </w:t>
      </w:r>
      <w:r w:rsidR="00C35E9C" w:rsidRPr="00C35E9C">
        <w:rPr>
          <w:rFonts w:ascii="Times New Roman" w:hAnsi="Times New Roman" w:cs="Times New Roman"/>
          <w:sz w:val="24"/>
        </w:rPr>
        <w:t>6.</w:t>
      </w:r>
    </w:p>
    <w:p w:rsidR="00D70CF6" w:rsidRDefault="00D70CF6" w:rsidP="00D70CF6">
      <w:pPr>
        <w:jc w:val="center"/>
      </w:pPr>
      <w:r w:rsidRPr="00D70CF6">
        <w:rPr>
          <w:noProof/>
        </w:rPr>
        <w:drawing>
          <wp:inline distT="0" distB="0" distL="0" distR="0">
            <wp:extent cx="3429000" cy="5244949"/>
            <wp:effectExtent l="0" t="0" r="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4385" cy="5253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E9C" w:rsidRPr="00D70CF6" w:rsidRDefault="00C35E9C" w:rsidP="00C35E9C">
      <w:pPr>
        <w:pageBreakBefore/>
        <w:rPr>
          <w:rFonts w:ascii="Times New Roman" w:hAnsi="Times New Roman" w:cs="Times New Roman"/>
          <w:b/>
          <w:sz w:val="24"/>
        </w:rPr>
      </w:pPr>
      <w:r w:rsidRPr="00D70CF6">
        <w:rPr>
          <w:rFonts w:ascii="Times New Roman" w:hAnsi="Times New Roman" w:cs="Times New Roman"/>
          <w:b/>
          <w:sz w:val="24"/>
        </w:rPr>
        <w:lastRenderedPageBreak/>
        <w:t>Fig. S</w:t>
      </w:r>
      <w:r>
        <w:rPr>
          <w:rFonts w:ascii="Times New Roman" w:hAnsi="Times New Roman" w:cs="Times New Roman"/>
          <w:b/>
          <w:sz w:val="24"/>
        </w:rPr>
        <w:t>2</w:t>
      </w:r>
    </w:p>
    <w:p w:rsidR="00C35E9C" w:rsidRDefault="00C35E9C" w:rsidP="00C35E9C">
      <w:r w:rsidRPr="00455BEC">
        <w:rPr>
          <w:rFonts w:ascii="Times New Roman" w:hAnsi="Times New Roman" w:cs="Times New Roman"/>
          <w:sz w:val="24"/>
          <w:szCs w:val="24"/>
        </w:rPr>
        <w:t>Brightfield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F76727">
        <w:rPr>
          <w:rFonts w:ascii="Times New Roman" w:hAnsi="Times New Roman" w:cs="Times New Roman"/>
          <w:sz w:val="24"/>
          <w:szCs w:val="24"/>
        </w:rPr>
        <w:t>mages showing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727">
        <w:rPr>
          <w:rFonts w:ascii="Times New Roman" w:hAnsi="Times New Roman" w:cs="Times New Roman"/>
          <w:sz w:val="24"/>
          <w:szCs w:val="24"/>
        </w:rPr>
        <w:t>organoid</w:t>
      </w:r>
      <w:r>
        <w:rPr>
          <w:rFonts w:ascii="Times New Roman" w:hAnsi="Times New Roman" w:cs="Times New Roman"/>
          <w:sz w:val="24"/>
          <w:szCs w:val="24"/>
        </w:rPr>
        <w:t>s incubated with various growth factors</w:t>
      </w:r>
      <w:r w:rsidRPr="00F7672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4BCE">
        <w:rPr>
          <w:rFonts w:ascii="Times New Roman" w:hAnsi="Times New Roman" w:cs="Times New Roman"/>
          <w:sz w:val="24"/>
          <w:szCs w:val="24"/>
        </w:rPr>
        <w:t xml:space="preserve">Scale bar, </w:t>
      </w:r>
      <w:r w:rsidRPr="00025C29">
        <w:rPr>
          <w:rFonts w:ascii="Times New Roman" w:hAnsi="Times New Roman" w:cs="Times New Roman"/>
          <w:sz w:val="24"/>
          <w:szCs w:val="24"/>
        </w:rPr>
        <w:t>200 μm</w:t>
      </w:r>
      <w:r w:rsidRPr="00114B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5E9C">
        <w:rPr>
          <w:rFonts w:ascii="Times New Roman" w:hAnsi="Times New Roman" w:cs="Times New Roman"/>
          <w:sz w:val="24"/>
          <w:szCs w:val="24"/>
        </w:rPr>
        <w:t>To investigate whether the cultured organoids respond to the WNT pathway, we introduced two inhibitors of WNT, IWR-1-endo (S7086, Selleck Chemicals, Houston, United States) and IWP2 (S7085, Selleck Chemicals, Houston, United States) into the culture medium. The growth area of organoids wa</w:t>
      </w:r>
      <w:bookmarkStart w:id="0" w:name="_GoBack"/>
      <w:bookmarkEnd w:id="0"/>
      <w:r w:rsidRPr="00C35E9C">
        <w:rPr>
          <w:rFonts w:ascii="Times New Roman" w:hAnsi="Times New Roman" w:cs="Times New Roman"/>
          <w:sz w:val="24"/>
          <w:szCs w:val="24"/>
        </w:rPr>
        <w:t>s acquired using a microscope (Nikon, Tokyo, Japan) at d</w:t>
      </w:r>
      <w:r>
        <w:rPr>
          <w:rFonts w:ascii="Times New Roman" w:hAnsi="Times New Roman" w:cs="Times New Roman"/>
          <w:sz w:val="24"/>
          <w:szCs w:val="24"/>
        </w:rPr>
        <w:t>ay</w:t>
      </w:r>
      <w:r w:rsidRPr="00C35E9C">
        <w:rPr>
          <w:rFonts w:ascii="Times New Roman" w:hAnsi="Times New Roman" w:cs="Times New Roman"/>
          <w:sz w:val="24"/>
          <w:szCs w:val="24"/>
        </w:rPr>
        <w:t xml:space="preserve"> 1, 3, 5, 7 and 9. </w:t>
      </w:r>
    </w:p>
    <w:p w:rsidR="00C35E9C" w:rsidRDefault="00C35E9C" w:rsidP="00C35E9C">
      <w:pPr>
        <w:jc w:val="center"/>
      </w:pPr>
      <w:r w:rsidRPr="00D70CF6">
        <w:rPr>
          <w:noProof/>
        </w:rPr>
        <w:drawing>
          <wp:inline distT="0" distB="0" distL="0" distR="0" wp14:anchorId="2971720F" wp14:editId="003183E4">
            <wp:extent cx="4411980" cy="5678848"/>
            <wp:effectExtent l="0" t="0" r="762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5547" cy="5683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CF6" w:rsidRDefault="00D70CF6" w:rsidP="004A5437">
      <w:pPr>
        <w:jc w:val="center"/>
      </w:pPr>
    </w:p>
    <w:p w:rsidR="00D70CF6" w:rsidRDefault="00D70CF6"/>
    <w:p w:rsidR="00C35E9C" w:rsidRPr="00C35E9C" w:rsidRDefault="00C35E9C" w:rsidP="00C35E9C">
      <w:pPr>
        <w:pageBreakBefore/>
        <w:rPr>
          <w:rFonts w:ascii="Times New Roman" w:hAnsi="Times New Roman" w:cs="Times New Roman"/>
          <w:b/>
          <w:sz w:val="24"/>
        </w:rPr>
      </w:pPr>
      <w:r w:rsidRPr="00C35E9C">
        <w:rPr>
          <w:rFonts w:ascii="Times New Roman" w:hAnsi="Times New Roman" w:cs="Times New Roman" w:hint="eastAsia"/>
          <w:b/>
          <w:sz w:val="24"/>
        </w:rPr>
        <w:lastRenderedPageBreak/>
        <w:t>T</w:t>
      </w:r>
      <w:r w:rsidRPr="00C35E9C">
        <w:rPr>
          <w:rFonts w:ascii="Times New Roman" w:hAnsi="Times New Roman" w:cs="Times New Roman"/>
          <w:b/>
          <w:sz w:val="24"/>
        </w:rPr>
        <w:t>able S1</w:t>
      </w:r>
    </w:p>
    <w:p w:rsidR="00D70CF6" w:rsidRDefault="004A543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 w:rsidR="00F42FA3">
        <w:rPr>
          <w:rFonts w:ascii="Times New Roman" w:hAnsi="Times New Roman" w:cs="Times New Roman"/>
          <w:sz w:val="24"/>
        </w:rPr>
        <w:t>ymbol</w:t>
      </w:r>
      <w:r>
        <w:rPr>
          <w:rFonts w:ascii="Times New Roman" w:hAnsi="Times New Roman" w:cs="Times New Roman"/>
          <w:sz w:val="24"/>
        </w:rPr>
        <w:t>s</w:t>
      </w:r>
      <w:r w:rsidR="00F42FA3">
        <w:rPr>
          <w:rFonts w:ascii="Times New Roman" w:hAnsi="Times New Roman" w:cs="Times New Roman"/>
          <w:sz w:val="24"/>
        </w:rPr>
        <w:t xml:space="preserve"> </w:t>
      </w:r>
      <w:r w:rsidR="003A257B">
        <w:rPr>
          <w:rFonts w:ascii="Times New Roman" w:hAnsi="Times New Roman" w:cs="Times New Roman"/>
          <w:sz w:val="24"/>
        </w:rPr>
        <w:t xml:space="preserve">and </w:t>
      </w:r>
      <w:r w:rsidR="00F42FA3">
        <w:rPr>
          <w:rFonts w:ascii="Times New Roman" w:hAnsi="Times New Roman" w:cs="Times New Roman"/>
          <w:sz w:val="24"/>
        </w:rPr>
        <w:t>description</w:t>
      </w:r>
      <w:r>
        <w:rPr>
          <w:rFonts w:ascii="Times New Roman" w:hAnsi="Times New Roman" w:cs="Times New Roman"/>
          <w:sz w:val="24"/>
        </w:rPr>
        <w:t>s</w:t>
      </w:r>
      <w:r w:rsidR="00F42FA3" w:rsidRPr="00F42FA3">
        <w:rPr>
          <w:rFonts w:ascii="Times New Roman" w:hAnsi="Times New Roman" w:cs="Times New Roman"/>
          <w:sz w:val="24"/>
        </w:rPr>
        <w:t xml:space="preserve"> among genes</w:t>
      </w:r>
      <w:r w:rsidR="00F42FA3">
        <w:rPr>
          <w:rFonts w:ascii="Times New Roman" w:hAnsi="Times New Roman" w:cs="Times New Roman"/>
          <w:sz w:val="24"/>
        </w:rPr>
        <w:t xml:space="preserve"> related to lipid metabolism</w:t>
      </w:r>
      <w:r w:rsidR="00F42FA3">
        <w:rPr>
          <w:rFonts w:ascii="Times New Roman" w:hAnsi="Times New Roman" w:cs="Times New Roman" w:hint="eastAsia"/>
          <w:sz w:val="24"/>
        </w:rPr>
        <w:t>,</w:t>
      </w:r>
      <w:r w:rsidR="00F42FA3">
        <w:rPr>
          <w:rFonts w:ascii="Times New Roman" w:hAnsi="Times New Roman" w:cs="Times New Roman"/>
          <w:sz w:val="24"/>
        </w:rPr>
        <w:t xml:space="preserve"> milk protein and lactose synthesis</w:t>
      </w:r>
      <w:r w:rsidR="00F42FA3" w:rsidRPr="00F42FA3">
        <w:rPr>
          <w:rFonts w:ascii="Times New Roman" w:hAnsi="Times New Roman" w:cs="Times New Roman"/>
          <w:sz w:val="24"/>
        </w:rPr>
        <w:t xml:space="preserve"> investigated</w:t>
      </w:r>
      <w:r w:rsidR="00F42FA3">
        <w:rPr>
          <w:rFonts w:ascii="Times New Roman" w:hAnsi="Times New Roman" w:cs="Times New Roman"/>
          <w:sz w:val="24"/>
        </w:rPr>
        <w:t>.</w:t>
      </w:r>
    </w:p>
    <w:p w:rsidR="00A9693C" w:rsidRPr="004A5437" w:rsidRDefault="00A9693C">
      <w:pPr>
        <w:rPr>
          <w:rFonts w:ascii="Times New Roman" w:hAnsi="Times New Roman" w:cs="Times New Roman"/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65"/>
        <w:gridCol w:w="5452"/>
      </w:tblGrid>
      <w:tr w:rsidR="00A9693C" w:rsidTr="003A257B">
        <w:tc>
          <w:tcPr>
            <w:tcW w:w="821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A9693C" w:rsidRPr="003A257B" w:rsidRDefault="00A9693C" w:rsidP="00A9693C">
            <w:pPr>
              <w:widowControl/>
              <w:rPr>
                <w:sz w:val="20"/>
                <w:szCs w:val="20"/>
              </w:rPr>
            </w:pPr>
            <w:r w:rsidRPr="003A257B">
              <w:rPr>
                <w:rStyle w:val="fontstyle01"/>
                <w:sz w:val="20"/>
                <w:szCs w:val="20"/>
              </w:rPr>
              <w:t>Xenobiotic and Cholesterol transport</w:t>
            </w:r>
          </w:p>
        </w:tc>
      </w:tr>
      <w:tr w:rsidR="00A9693C" w:rsidTr="003A257B">
        <w:tc>
          <w:tcPr>
            <w:tcW w:w="2765" w:type="dxa"/>
            <w:tcBorders>
              <w:left w:val="nil"/>
              <w:bottom w:val="nil"/>
              <w:right w:val="nil"/>
            </w:tcBorders>
          </w:tcPr>
          <w:p w:rsidR="00A9693C" w:rsidRPr="003A257B" w:rsidRDefault="00A9693C" w:rsidP="00A9693C">
            <w:pPr>
              <w:widowControl/>
              <w:rPr>
                <w:rFonts w:ascii="GillSans" w:hAnsi="GillSans" w:hint="eastAsia"/>
                <w:i/>
                <w:color w:val="000000"/>
                <w:sz w:val="20"/>
                <w:szCs w:val="20"/>
              </w:rPr>
            </w:pPr>
            <w:r w:rsidRPr="003A257B">
              <w:rPr>
                <w:rFonts w:ascii="GillSans" w:hAnsi="GillSans"/>
                <w:i/>
                <w:color w:val="000000"/>
                <w:sz w:val="20"/>
                <w:szCs w:val="20"/>
              </w:rPr>
              <w:t>ABCA1</w:t>
            </w:r>
          </w:p>
        </w:tc>
        <w:tc>
          <w:tcPr>
            <w:tcW w:w="5452" w:type="dxa"/>
            <w:tcBorders>
              <w:left w:val="nil"/>
              <w:bottom w:val="nil"/>
              <w:right w:val="nil"/>
            </w:tcBorders>
          </w:tcPr>
          <w:p w:rsidR="00A9693C" w:rsidRPr="003A257B" w:rsidRDefault="00A9693C" w:rsidP="00A9693C">
            <w:pPr>
              <w:widowControl/>
              <w:rPr>
                <w:rFonts w:ascii="GillSans" w:hAnsi="GillSans" w:hint="eastAsia"/>
                <w:color w:val="000000"/>
                <w:sz w:val="20"/>
                <w:szCs w:val="20"/>
              </w:rPr>
            </w:pPr>
            <w:r w:rsidRPr="003A257B">
              <w:rPr>
                <w:rFonts w:ascii="GillSans" w:hAnsi="GillSans"/>
                <w:color w:val="000000"/>
                <w:sz w:val="20"/>
                <w:szCs w:val="20"/>
              </w:rPr>
              <w:t>ATP-binding cassette, sub-family A (ABC1), member 1</w:t>
            </w:r>
          </w:p>
        </w:tc>
      </w:tr>
      <w:tr w:rsidR="00A9693C" w:rsidTr="003A257B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A9693C" w:rsidRPr="003A257B" w:rsidRDefault="00A969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57B">
              <w:rPr>
                <w:rFonts w:ascii="GillSans-Italic" w:hAnsi="GillSans-Italic"/>
                <w:i/>
                <w:iCs/>
                <w:color w:val="000000"/>
                <w:sz w:val="20"/>
                <w:szCs w:val="20"/>
              </w:rPr>
              <w:t>ABCG2</w:t>
            </w: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</w:tcPr>
          <w:p w:rsidR="00A9693C" w:rsidRPr="003A257B" w:rsidRDefault="00A9693C" w:rsidP="00A969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57B">
              <w:rPr>
                <w:rFonts w:ascii="GillSans" w:hAnsi="GillSans"/>
                <w:color w:val="000000"/>
                <w:sz w:val="20"/>
                <w:szCs w:val="20"/>
              </w:rPr>
              <w:t>ATP-binding cassette, sub-family G (WHITE), member 2</w:t>
            </w:r>
          </w:p>
        </w:tc>
      </w:tr>
      <w:tr w:rsidR="00A9693C" w:rsidTr="003A257B">
        <w:tc>
          <w:tcPr>
            <w:tcW w:w="82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693C" w:rsidRPr="003A257B" w:rsidRDefault="00A9693C" w:rsidP="00A9693C">
            <w:pPr>
              <w:widowControl/>
              <w:rPr>
                <w:rStyle w:val="fontstyle01"/>
                <w:rFonts w:hint="eastAsia"/>
                <w:sz w:val="20"/>
                <w:szCs w:val="20"/>
              </w:rPr>
            </w:pPr>
            <w:r w:rsidRPr="003A257B">
              <w:rPr>
                <w:rStyle w:val="fontstyle01"/>
                <w:sz w:val="20"/>
                <w:szCs w:val="20"/>
              </w:rPr>
              <w:t>Acetate and FA activation and intra-cellular transport</w:t>
            </w:r>
          </w:p>
        </w:tc>
      </w:tr>
      <w:tr w:rsidR="00A9693C" w:rsidTr="003A257B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A9693C" w:rsidRPr="003A257B" w:rsidRDefault="00A9693C" w:rsidP="00A969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57B">
              <w:rPr>
                <w:rFonts w:ascii="GillSans-Italic" w:hAnsi="GillSans-Italic"/>
                <w:i/>
                <w:iCs/>
                <w:color w:val="000000"/>
                <w:sz w:val="20"/>
                <w:szCs w:val="20"/>
              </w:rPr>
              <w:t>ACSS1</w:t>
            </w: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</w:tcPr>
          <w:p w:rsidR="00A9693C" w:rsidRPr="003A257B" w:rsidRDefault="00A969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57B">
              <w:rPr>
                <w:rFonts w:ascii="GillSans" w:hAnsi="GillSans"/>
                <w:color w:val="000000"/>
                <w:sz w:val="20"/>
                <w:szCs w:val="20"/>
              </w:rPr>
              <w:t>acyl-CoA synthetase short-chain family member 1</w:t>
            </w:r>
          </w:p>
        </w:tc>
      </w:tr>
      <w:tr w:rsidR="00A9693C" w:rsidTr="003A257B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A9693C" w:rsidRPr="003A257B" w:rsidRDefault="00A9693C" w:rsidP="00A969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57B">
              <w:rPr>
                <w:rFonts w:ascii="GillSans-Italic" w:hAnsi="GillSans-Italic"/>
                <w:i/>
                <w:iCs/>
                <w:color w:val="000000"/>
                <w:sz w:val="20"/>
                <w:szCs w:val="20"/>
              </w:rPr>
              <w:t xml:space="preserve">ACSS2 </w:t>
            </w: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</w:tcPr>
          <w:p w:rsidR="00A9693C" w:rsidRPr="003A257B" w:rsidRDefault="00A969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57B">
              <w:rPr>
                <w:rFonts w:ascii="GillSans" w:hAnsi="GillSans"/>
                <w:color w:val="000000"/>
                <w:sz w:val="20"/>
                <w:szCs w:val="20"/>
              </w:rPr>
              <w:t>acyl-CoA synthetase short-chain family member 2</w:t>
            </w:r>
          </w:p>
        </w:tc>
      </w:tr>
      <w:tr w:rsidR="00A9693C" w:rsidTr="003A257B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A9693C" w:rsidRPr="003A257B" w:rsidRDefault="00A9693C" w:rsidP="00A969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57B">
              <w:rPr>
                <w:rFonts w:ascii="GillSans-Italic" w:hAnsi="GillSans-Italic"/>
                <w:i/>
                <w:iCs/>
                <w:color w:val="000000"/>
                <w:sz w:val="20"/>
                <w:szCs w:val="20"/>
              </w:rPr>
              <w:t>FABP3</w:t>
            </w: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</w:tcPr>
          <w:p w:rsidR="00A9693C" w:rsidRPr="003A257B" w:rsidRDefault="00A969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57B">
              <w:rPr>
                <w:rFonts w:ascii="GillSans" w:hAnsi="GillSans"/>
                <w:color w:val="000000"/>
                <w:sz w:val="20"/>
                <w:szCs w:val="20"/>
              </w:rPr>
              <w:t>Fatty acid-binding protein, heart</w:t>
            </w:r>
          </w:p>
        </w:tc>
      </w:tr>
      <w:tr w:rsidR="003A257B" w:rsidTr="003A257B">
        <w:tc>
          <w:tcPr>
            <w:tcW w:w="82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257B" w:rsidRPr="003A257B" w:rsidRDefault="003A2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57B">
              <w:rPr>
                <w:rStyle w:val="fontstyle01"/>
                <w:sz w:val="20"/>
                <w:szCs w:val="20"/>
              </w:rPr>
              <w:t>Fatty acid synthesis and desaturation</w:t>
            </w:r>
          </w:p>
        </w:tc>
      </w:tr>
      <w:tr w:rsidR="00A9693C" w:rsidTr="003A257B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A9693C" w:rsidRPr="003A257B" w:rsidRDefault="00A9693C" w:rsidP="00A969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57B">
              <w:rPr>
                <w:rFonts w:ascii="GillSans-Italic" w:hAnsi="GillSans-Italic"/>
                <w:i/>
                <w:iCs/>
                <w:color w:val="000000"/>
                <w:sz w:val="20"/>
                <w:szCs w:val="20"/>
              </w:rPr>
              <w:t xml:space="preserve">ACACA </w:t>
            </w: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</w:tcPr>
          <w:p w:rsidR="00A9693C" w:rsidRPr="003A257B" w:rsidRDefault="00A969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57B">
              <w:rPr>
                <w:rFonts w:ascii="GillSans" w:hAnsi="GillSans"/>
                <w:color w:val="000000"/>
                <w:sz w:val="20"/>
                <w:szCs w:val="20"/>
              </w:rPr>
              <w:t>Acetyl-coenzyme A carboxylase alpha</w:t>
            </w:r>
          </w:p>
        </w:tc>
      </w:tr>
      <w:tr w:rsidR="00A9693C" w:rsidTr="003A257B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A9693C" w:rsidRPr="003A257B" w:rsidRDefault="00A9693C" w:rsidP="00A969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57B">
              <w:rPr>
                <w:rFonts w:ascii="GillSans-Italic" w:hAnsi="GillSans-Italic"/>
                <w:i/>
                <w:iCs/>
                <w:color w:val="000000"/>
                <w:sz w:val="20"/>
                <w:szCs w:val="20"/>
              </w:rPr>
              <w:t>FASN</w:t>
            </w: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</w:tcPr>
          <w:p w:rsidR="00A9693C" w:rsidRPr="003A257B" w:rsidRDefault="00A969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57B">
              <w:rPr>
                <w:rFonts w:ascii="GillSans" w:hAnsi="GillSans"/>
                <w:color w:val="000000"/>
                <w:sz w:val="20"/>
                <w:szCs w:val="20"/>
              </w:rPr>
              <w:t>Fatty acid synthase</w:t>
            </w:r>
          </w:p>
        </w:tc>
      </w:tr>
      <w:tr w:rsidR="00A9693C" w:rsidTr="003A257B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A9693C" w:rsidRPr="003A257B" w:rsidRDefault="00A9693C" w:rsidP="00A969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57B">
              <w:rPr>
                <w:rFonts w:ascii="GillSans-Italic" w:hAnsi="GillSans-Italic"/>
                <w:i/>
                <w:iCs/>
                <w:color w:val="000000"/>
                <w:sz w:val="20"/>
                <w:szCs w:val="20"/>
              </w:rPr>
              <w:t xml:space="preserve">SCD </w:t>
            </w: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</w:tcPr>
          <w:p w:rsidR="00A9693C" w:rsidRPr="003A257B" w:rsidRDefault="00A969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57B">
              <w:rPr>
                <w:rFonts w:ascii="GillSans" w:hAnsi="GillSans"/>
                <w:color w:val="000000"/>
                <w:sz w:val="20"/>
                <w:szCs w:val="20"/>
              </w:rPr>
              <w:t>Stearoyl-CoA desaturase (delta-9-desaturase)</w:t>
            </w:r>
          </w:p>
        </w:tc>
      </w:tr>
      <w:tr w:rsidR="003A257B" w:rsidTr="003A257B">
        <w:tc>
          <w:tcPr>
            <w:tcW w:w="82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257B" w:rsidRPr="003A257B" w:rsidRDefault="003A2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57B">
              <w:rPr>
                <w:rStyle w:val="fontstyle01"/>
                <w:sz w:val="20"/>
                <w:szCs w:val="20"/>
              </w:rPr>
              <w:t>Lipid droplet formation</w:t>
            </w:r>
          </w:p>
        </w:tc>
      </w:tr>
      <w:tr w:rsidR="00A9693C" w:rsidTr="003A257B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A9693C" w:rsidRPr="003A257B" w:rsidRDefault="00D1180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257B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P</w:t>
            </w:r>
            <w:r w:rsidRPr="003A257B">
              <w:rPr>
                <w:rFonts w:ascii="Times New Roman" w:hAnsi="Times New Roman" w:cs="Times New Roman"/>
                <w:i/>
                <w:sz w:val="20"/>
                <w:szCs w:val="20"/>
              </w:rPr>
              <w:t>LIN2</w:t>
            </w: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</w:tcPr>
          <w:p w:rsidR="00A9693C" w:rsidRPr="003A257B" w:rsidRDefault="003A2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D1180C" w:rsidRPr="003A257B">
              <w:rPr>
                <w:rFonts w:ascii="Times New Roman" w:hAnsi="Times New Roman" w:cs="Times New Roman"/>
                <w:sz w:val="20"/>
                <w:szCs w:val="20"/>
              </w:rPr>
              <w:t>erilipin 2</w:t>
            </w:r>
          </w:p>
        </w:tc>
      </w:tr>
      <w:tr w:rsidR="00A9693C" w:rsidTr="003A257B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A9693C" w:rsidRPr="003A257B" w:rsidRDefault="00D11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57B">
              <w:rPr>
                <w:rFonts w:ascii="GillSans-Italic" w:hAnsi="GillSans-Italic"/>
                <w:i/>
                <w:iCs/>
                <w:color w:val="000000"/>
                <w:sz w:val="20"/>
                <w:szCs w:val="20"/>
              </w:rPr>
              <w:t>BTN1A1</w:t>
            </w: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</w:tcPr>
          <w:p w:rsidR="00A9693C" w:rsidRPr="003A257B" w:rsidRDefault="00D11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57B">
              <w:rPr>
                <w:rFonts w:ascii="GillSans" w:hAnsi="GillSans"/>
                <w:color w:val="000000"/>
                <w:sz w:val="20"/>
                <w:szCs w:val="20"/>
              </w:rPr>
              <w:t>Butyrophilin, subfamily 1, member A1</w:t>
            </w:r>
          </w:p>
        </w:tc>
      </w:tr>
      <w:tr w:rsidR="00A9693C" w:rsidTr="003A257B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A9693C" w:rsidRPr="003A257B" w:rsidRDefault="00D1180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257B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X</w:t>
            </w:r>
            <w:r w:rsidRPr="003A257B">
              <w:rPr>
                <w:rFonts w:ascii="Times New Roman" w:hAnsi="Times New Roman" w:cs="Times New Roman"/>
                <w:i/>
                <w:sz w:val="20"/>
                <w:szCs w:val="20"/>
              </w:rPr>
              <w:t>DH</w:t>
            </w: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</w:tcPr>
          <w:p w:rsidR="00A9693C" w:rsidRPr="003A257B" w:rsidRDefault="00D11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57B">
              <w:rPr>
                <w:rFonts w:ascii="GillSans" w:eastAsia="宋体" w:hAnsi="GillSans" w:cs="宋体"/>
                <w:color w:val="000000"/>
                <w:kern w:val="0"/>
                <w:sz w:val="20"/>
                <w:szCs w:val="20"/>
              </w:rPr>
              <w:t>Xanthine dehydrogenase</w:t>
            </w:r>
          </w:p>
        </w:tc>
      </w:tr>
      <w:tr w:rsidR="003A257B" w:rsidTr="003A257B">
        <w:tc>
          <w:tcPr>
            <w:tcW w:w="82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257B" w:rsidRPr="003A257B" w:rsidRDefault="003A2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57B">
              <w:rPr>
                <w:rStyle w:val="fontstyle01"/>
                <w:sz w:val="20"/>
                <w:szCs w:val="20"/>
              </w:rPr>
              <w:t>FA import into cells</w:t>
            </w:r>
          </w:p>
        </w:tc>
      </w:tr>
      <w:tr w:rsidR="00A9693C" w:rsidTr="003A257B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A9693C" w:rsidRPr="003A257B" w:rsidRDefault="00D1180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257B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C</w:t>
            </w:r>
            <w:r w:rsidRPr="003A257B">
              <w:rPr>
                <w:rFonts w:ascii="Times New Roman" w:hAnsi="Times New Roman" w:cs="Times New Roman"/>
                <w:i/>
                <w:sz w:val="20"/>
                <w:szCs w:val="20"/>
              </w:rPr>
              <w:t>D36</w:t>
            </w: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</w:tcPr>
          <w:p w:rsidR="00A9693C" w:rsidRPr="003A257B" w:rsidRDefault="00D11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57B">
              <w:rPr>
                <w:rFonts w:ascii="Times New Roman" w:hAnsi="Times New Roman" w:cs="Times New Roman"/>
                <w:sz w:val="20"/>
                <w:szCs w:val="20"/>
              </w:rPr>
              <w:t>CD36 molecule (thrombospondin receptor)</w:t>
            </w:r>
          </w:p>
        </w:tc>
      </w:tr>
      <w:tr w:rsidR="00A9693C" w:rsidTr="003A257B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A9693C" w:rsidRPr="003A257B" w:rsidRDefault="00D11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57B">
              <w:rPr>
                <w:rStyle w:val="fontstyle01"/>
                <w:sz w:val="20"/>
                <w:szCs w:val="20"/>
              </w:rPr>
              <w:t>Triacylglycerol synthesis</w:t>
            </w: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</w:tcPr>
          <w:p w:rsidR="00A9693C" w:rsidRPr="003A257B" w:rsidRDefault="00A96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93C" w:rsidTr="003A257B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A9693C" w:rsidRPr="003A257B" w:rsidRDefault="00D1180C" w:rsidP="00D11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57B">
              <w:rPr>
                <w:rFonts w:ascii="GillSans-Italic" w:hAnsi="GillSans-Italic"/>
                <w:i/>
                <w:iCs/>
                <w:color w:val="000000"/>
                <w:sz w:val="20"/>
                <w:szCs w:val="20"/>
              </w:rPr>
              <w:t xml:space="preserve">GPAM </w:t>
            </w: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</w:tcPr>
          <w:p w:rsidR="00A9693C" w:rsidRPr="003A257B" w:rsidRDefault="00D11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57B">
              <w:rPr>
                <w:rFonts w:ascii="GillSans" w:hAnsi="GillSans"/>
                <w:color w:val="000000"/>
                <w:sz w:val="20"/>
                <w:szCs w:val="20"/>
              </w:rPr>
              <w:t>Glycerol-3-phosphate acyltransferase, mitochondrial</w:t>
            </w:r>
          </w:p>
        </w:tc>
      </w:tr>
      <w:tr w:rsidR="00A9693C" w:rsidTr="003A257B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A9693C" w:rsidRPr="003A257B" w:rsidRDefault="00D1180C" w:rsidP="00D11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57B">
              <w:rPr>
                <w:rFonts w:ascii="GillSans-Italic" w:hAnsi="GillSans-Italic"/>
                <w:i/>
                <w:iCs/>
                <w:color w:val="000000"/>
                <w:sz w:val="20"/>
                <w:szCs w:val="20"/>
              </w:rPr>
              <w:t xml:space="preserve">DGAT2 </w:t>
            </w: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</w:tcPr>
          <w:p w:rsidR="00A9693C" w:rsidRPr="003A257B" w:rsidRDefault="00D11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57B">
              <w:rPr>
                <w:rFonts w:ascii="GillSans" w:hAnsi="GillSans"/>
                <w:color w:val="000000"/>
                <w:sz w:val="20"/>
                <w:szCs w:val="20"/>
              </w:rPr>
              <w:t>Diacylglycerol acyltransferase 2</w:t>
            </w:r>
          </w:p>
        </w:tc>
      </w:tr>
      <w:tr w:rsidR="003A257B" w:rsidTr="003A257B">
        <w:tc>
          <w:tcPr>
            <w:tcW w:w="82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257B" w:rsidRPr="003A257B" w:rsidRDefault="003A2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57B">
              <w:rPr>
                <w:rStyle w:val="fontstyle01"/>
                <w:sz w:val="20"/>
                <w:szCs w:val="20"/>
              </w:rPr>
              <w:t>Regulation of transcription</w:t>
            </w:r>
          </w:p>
        </w:tc>
      </w:tr>
      <w:tr w:rsidR="00A9693C" w:rsidTr="003A257B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A9693C" w:rsidRPr="003A257B" w:rsidRDefault="00D1180C" w:rsidP="00D11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57B">
              <w:rPr>
                <w:rFonts w:ascii="GillSans-Italic" w:hAnsi="GillSans-Italic"/>
                <w:i/>
                <w:iCs/>
                <w:color w:val="000000"/>
                <w:sz w:val="20"/>
                <w:szCs w:val="20"/>
              </w:rPr>
              <w:t xml:space="preserve">SREBF1 </w:t>
            </w: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</w:tcPr>
          <w:p w:rsidR="00A9693C" w:rsidRPr="003A257B" w:rsidRDefault="00D1180C" w:rsidP="00D11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57B">
              <w:rPr>
                <w:rFonts w:ascii="GillSans" w:hAnsi="GillSans"/>
                <w:color w:val="000000"/>
                <w:sz w:val="20"/>
                <w:szCs w:val="20"/>
              </w:rPr>
              <w:t>Sterol regulatory element-binding transcription factor 1</w:t>
            </w:r>
          </w:p>
        </w:tc>
      </w:tr>
      <w:tr w:rsidR="00A9693C" w:rsidTr="003A257B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A9693C" w:rsidRPr="003A257B" w:rsidRDefault="003A257B" w:rsidP="003A2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57B">
              <w:rPr>
                <w:rFonts w:ascii="GillSans-Italic" w:hAnsi="GillSans-Italic"/>
                <w:i/>
                <w:iCs/>
                <w:color w:val="000000"/>
                <w:sz w:val="20"/>
                <w:szCs w:val="20"/>
              </w:rPr>
              <w:t xml:space="preserve">PPARG </w:t>
            </w: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</w:tcPr>
          <w:p w:rsidR="00A9693C" w:rsidRPr="003A257B" w:rsidRDefault="003A257B" w:rsidP="003A2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57B">
              <w:rPr>
                <w:rFonts w:ascii="GillSans" w:hAnsi="GillSans"/>
                <w:color w:val="000000"/>
                <w:sz w:val="20"/>
                <w:szCs w:val="20"/>
              </w:rPr>
              <w:t>Peroxisome proliferator-activated receptor gamma</w:t>
            </w:r>
          </w:p>
        </w:tc>
      </w:tr>
      <w:tr w:rsidR="00A9693C" w:rsidTr="003A257B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A9693C" w:rsidRPr="003A257B" w:rsidRDefault="003A257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257B">
              <w:rPr>
                <w:rFonts w:ascii="Times New Roman" w:hAnsi="Times New Roman" w:cs="Times New Roman"/>
                <w:i/>
                <w:sz w:val="20"/>
                <w:szCs w:val="20"/>
              </w:rPr>
              <w:t>LXR</w:t>
            </w: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</w:tcPr>
          <w:p w:rsidR="00A9693C" w:rsidRPr="003A257B" w:rsidRDefault="003A2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57B"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  <w:r w:rsidRPr="003A257B">
              <w:rPr>
                <w:rFonts w:ascii="Times New Roman" w:hAnsi="Times New Roman" w:cs="Times New Roman"/>
                <w:sz w:val="20"/>
                <w:szCs w:val="20"/>
              </w:rPr>
              <w:t>iver X receptor</w:t>
            </w:r>
          </w:p>
        </w:tc>
      </w:tr>
      <w:tr w:rsidR="00A9693C" w:rsidTr="003A257B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A9693C" w:rsidRPr="003A257B" w:rsidRDefault="003A2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57B">
              <w:rPr>
                <w:rStyle w:val="fontstyle01"/>
                <w:sz w:val="20"/>
                <w:szCs w:val="20"/>
              </w:rPr>
              <w:t>Sphingolipid synthesis</w:t>
            </w: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</w:tcPr>
          <w:p w:rsidR="00A9693C" w:rsidRPr="003A257B" w:rsidRDefault="00A96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57B" w:rsidTr="003A257B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3A257B" w:rsidRPr="003A257B" w:rsidRDefault="003A2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57B">
              <w:rPr>
                <w:rFonts w:ascii="GillSans-Italic" w:hAnsi="GillSans-Italic"/>
                <w:i/>
                <w:iCs/>
                <w:color w:val="000000"/>
                <w:sz w:val="20"/>
                <w:szCs w:val="20"/>
              </w:rPr>
              <w:t>OSBPL10</w:t>
            </w: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</w:tcPr>
          <w:p w:rsidR="003A257B" w:rsidRPr="003A257B" w:rsidRDefault="003A2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57B">
              <w:rPr>
                <w:rFonts w:ascii="GillSans" w:hAnsi="GillSans"/>
                <w:color w:val="000000"/>
                <w:sz w:val="20"/>
                <w:szCs w:val="20"/>
              </w:rPr>
              <w:t>Oxysterol binding protein-like 10</w:t>
            </w:r>
          </w:p>
        </w:tc>
      </w:tr>
      <w:tr w:rsidR="003A257B" w:rsidTr="00171E00">
        <w:tc>
          <w:tcPr>
            <w:tcW w:w="82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257B" w:rsidRPr="003A257B" w:rsidRDefault="003A257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57B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Milk protein synthesis</w:t>
            </w:r>
          </w:p>
        </w:tc>
      </w:tr>
      <w:tr w:rsidR="003A257B" w:rsidTr="003A257B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3A257B" w:rsidRPr="003A257B" w:rsidRDefault="003A257B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A257B">
              <w:rPr>
                <w:rFonts w:ascii="Times New Roman" w:hAnsi="Times New Roman" w:cs="Times New Roman"/>
                <w:sz w:val="20"/>
                <w:szCs w:val="20"/>
              </w:rPr>
              <w:t>CNS2</w:t>
            </w: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</w:tcPr>
          <w:p w:rsidR="003A257B" w:rsidRPr="003A257B" w:rsidRDefault="003A257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57B">
              <w:rPr>
                <w:rFonts w:ascii="Times New Roman" w:hAnsi="Times New Roman" w:cs="Times New Roman"/>
                <w:sz w:val="20"/>
                <w:szCs w:val="20"/>
              </w:rPr>
              <w:t>Casein kappa</w:t>
            </w:r>
          </w:p>
        </w:tc>
      </w:tr>
      <w:tr w:rsidR="003A257B" w:rsidTr="003A257B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3A257B" w:rsidRPr="003A257B" w:rsidRDefault="003A257B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A257B">
              <w:rPr>
                <w:rFonts w:ascii="Times New Roman" w:hAnsi="Times New Roman" w:cs="Times New Roman"/>
                <w:sz w:val="20"/>
                <w:szCs w:val="20"/>
              </w:rPr>
              <w:t>CNS3</w:t>
            </w: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</w:tcPr>
          <w:p w:rsidR="003A257B" w:rsidRPr="003A257B" w:rsidRDefault="003A257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57B">
              <w:rPr>
                <w:rFonts w:ascii="Times New Roman" w:hAnsi="Times New Roman" w:cs="Times New Roman"/>
                <w:sz w:val="20"/>
                <w:szCs w:val="20"/>
              </w:rPr>
              <w:t>Casein</w:t>
            </w:r>
            <w:r w:rsidRPr="003A25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beta</w:t>
            </w:r>
          </w:p>
        </w:tc>
      </w:tr>
      <w:tr w:rsidR="003A257B" w:rsidTr="003A257B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3A257B" w:rsidRPr="003A257B" w:rsidRDefault="003A257B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A257B">
              <w:rPr>
                <w:rFonts w:ascii="Times New Roman" w:hAnsi="Times New Roman" w:cs="Times New Roman"/>
                <w:sz w:val="20"/>
                <w:szCs w:val="20"/>
              </w:rPr>
              <w:t>CSN1S1</w:t>
            </w: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</w:tcPr>
          <w:p w:rsidR="003A257B" w:rsidRPr="003A257B" w:rsidRDefault="003A257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57B">
              <w:rPr>
                <w:rFonts w:ascii="Times New Roman" w:hAnsi="Times New Roman" w:cs="Times New Roman"/>
                <w:sz w:val="20"/>
                <w:szCs w:val="20"/>
              </w:rPr>
              <w:t>Casein alpha S1</w:t>
            </w:r>
          </w:p>
        </w:tc>
      </w:tr>
      <w:tr w:rsidR="003A257B" w:rsidTr="003A257B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3A257B" w:rsidRPr="003A257B" w:rsidRDefault="003A257B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A257B">
              <w:rPr>
                <w:rFonts w:ascii="Times New Roman" w:hAnsi="Times New Roman" w:cs="Times New Roman"/>
                <w:sz w:val="20"/>
                <w:szCs w:val="20"/>
              </w:rPr>
              <w:t>CSN1S2</w:t>
            </w: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</w:tcPr>
          <w:p w:rsidR="003A257B" w:rsidRPr="003A257B" w:rsidRDefault="003A257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</w:t>
            </w:r>
            <w:r w:rsidRPr="003A257B">
              <w:rPr>
                <w:rFonts w:ascii="Times New Roman" w:hAnsi="Times New Roman" w:cs="Times New Roman"/>
                <w:sz w:val="20"/>
                <w:szCs w:val="20"/>
              </w:rPr>
              <w:t>in alpha S2</w:t>
            </w:r>
          </w:p>
        </w:tc>
      </w:tr>
      <w:tr w:rsidR="003A257B" w:rsidTr="003A257B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3A257B" w:rsidRPr="003A257B" w:rsidRDefault="003A257B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A257B">
              <w:rPr>
                <w:rFonts w:ascii="Times New Roman" w:hAnsi="Times New Roman" w:cs="Times New Roman"/>
                <w:sz w:val="20"/>
                <w:szCs w:val="20"/>
              </w:rPr>
              <w:t>LGB</w:t>
            </w: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</w:tcPr>
          <w:p w:rsidR="003A257B" w:rsidRPr="003A257B" w:rsidRDefault="003A257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57B">
              <w:rPr>
                <w:rFonts w:ascii="Times New Roman" w:hAnsi="Times New Roman" w:cs="Times New Roman"/>
                <w:sz w:val="20"/>
                <w:szCs w:val="20"/>
              </w:rPr>
              <w:t xml:space="preserve">Beta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</w:t>
            </w:r>
            <w:r w:rsidRPr="003A257B">
              <w:rPr>
                <w:rFonts w:ascii="Times New Roman" w:hAnsi="Times New Roman" w:cs="Times New Roman"/>
                <w:sz w:val="20"/>
                <w:szCs w:val="20"/>
              </w:rPr>
              <w:t>ctoglobulin</w:t>
            </w:r>
          </w:p>
        </w:tc>
      </w:tr>
      <w:tr w:rsidR="003A257B" w:rsidTr="00EC16BF">
        <w:tc>
          <w:tcPr>
            <w:tcW w:w="82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257B" w:rsidRPr="003A257B" w:rsidRDefault="003A257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57B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Lactose synthesis</w:t>
            </w:r>
          </w:p>
        </w:tc>
      </w:tr>
      <w:tr w:rsidR="003A257B" w:rsidTr="003A257B">
        <w:tc>
          <w:tcPr>
            <w:tcW w:w="2765" w:type="dxa"/>
            <w:tcBorders>
              <w:top w:val="nil"/>
              <w:left w:val="nil"/>
              <w:right w:val="nil"/>
            </w:tcBorders>
          </w:tcPr>
          <w:p w:rsidR="003A257B" w:rsidRPr="003A257B" w:rsidRDefault="003A257B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A257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LALBA</w:t>
            </w:r>
          </w:p>
        </w:tc>
        <w:tc>
          <w:tcPr>
            <w:tcW w:w="5452" w:type="dxa"/>
            <w:tcBorders>
              <w:top w:val="nil"/>
              <w:left w:val="nil"/>
              <w:right w:val="nil"/>
            </w:tcBorders>
          </w:tcPr>
          <w:p w:rsidR="003A257B" w:rsidRPr="003A257B" w:rsidRDefault="003A257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5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Lactalbumin alpha</w:t>
            </w:r>
          </w:p>
        </w:tc>
      </w:tr>
    </w:tbl>
    <w:p w:rsidR="00F42FA3" w:rsidRPr="00F42FA3" w:rsidRDefault="00F42FA3">
      <w:pPr>
        <w:rPr>
          <w:rFonts w:ascii="Times New Roman" w:hAnsi="Times New Roman" w:cs="Times New Roman"/>
          <w:sz w:val="24"/>
        </w:rPr>
      </w:pPr>
    </w:p>
    <w:sectPr w:rsidR="00F42FA3" w:rsidRPr="00F42F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878" w:rsidRDefault="009F5878" w:rsidP="00D70CF6">
      <w:r>
        <w:separator/>
      </w:r>
    </w:p>
  </w:endnote>
  <w:endnote w:type="continuationSeparator" w:id="0">
    <w:p w:rsidR="009F5878" w:rsidRDefault="009F5878" w:rsidP="00D70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-Bold">
    <w:altName w:val="Times New Roman"/>
    <w:panose1 w:val="00000000000000000000"/>
    <w:charset w:val="00"/>
    <w:family w:val="roman"/>
    <w:notTrueType/>
    <w:pitch w:val="default"/>
  </w:font>
  <w:font w:name="GillSans">
    <w:altName w:val="Times New Roman"/>
    <w:panose1 w:val="00000000000000000000"/>
    <w:charset w:val="00"/>
    <w:family w:val="roman"/>
    <w:notTrueType/>
    <w:pitch w:val="default"/>
  </w:font>
  <w:font w:name="GillSans-Italic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878" w:rsidRDefault="009F5878" w:rsidP="00D70CF6">
      <w:r>
        <w:separator/>
      </w:r>
    </w:p>
  </w:footnote>
  <w:footnote w:type="continuationSeparator" w:id="0">
    <w:p w:rsidR="009F5878" w:rsidRDefault="009F5878" w:rsidP="00D70C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BB1"/>
    <w:rsid w:val="00345CC8"/>
    <w:rsid w:val="003A0BE6"/>
    <w:rsid w:val="003A257B"/>
    <w:rsid w:val="003D6BB1"/>
    <w:rsid w:val="004A5437"/>
    <w:rsid w:val="00581DE7"/>
    <w:rsid w:val="00701C53"/>
    <w:rsid w:val="00895EC5"/>
    <w:rsid w:val="009F5878"/>
    <w:rsid w:val="00A9693C"/>
    <w:rsid w:val="00C20DCC"/>
    <w:rsid w:val="00C35E9C"/>
    <w:rsid w:val="00D1180C"/>
    <w:rsid w:val="00D70CF6"/>
    <w:rsid w:val="00F4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BBCC264-2DBC-48A4-B59F-9EAE2B593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0C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0CF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0C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0CF6"/>
    <w:rPr>
      <w:sz w:val="18"/>
      <w:szCs w:val="18"/>
    </w:rPr>
  </w:style>
  <w:style w:type="table" w:styleId="a7">
    <w:name w:val="Table Grid"/>
    <w:basedOn w:val="a1"/>
    <w:uiPriority w:val="39"/>
    <w:rsid w:val="00A96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9693C"/>
    <w:rPr>
      <w:rFonts w:ascii="GillSans-Bold" w:hAnsi="GillSans-Bold" w:hint="default"/>
      <w:b/>
      <w:bCs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a0"/>
    <w:rsid w:val="00A9693C"/>
    <w:rPr>
      <w:rFonts w:ascii="GillSans" w:hAnsi="GillSans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333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2024-03-13T11:22:00Z</dcterms:created>
  <dcterms:modified xsi:type="dcterms:W3CDTF">2024-06-15T09:03:00Z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0b80a1b35dbb8662b9e262480459472059928c702a35bf9f91e1f641cfbd1c3a</vt:lpwstr>
  </property>
</Properties>
</file>