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F382B8" w14:textId="495EAF27" w:rsidR="00774F9D" w:rsidRPr="00774F9D" w:rsidRDefault="00774F9D" w:rsidP="00C86862">
      <w:pPr>
        <w:rPr>
          <w:rFonts w:ascii="Times New Roman" w:eastAsiaTheme="minorEastAsia" w:hAnsi="Times New Roman" w:cs="Times New Roman" w:hint="eastAsia"/>
          <w:b/>
          <w:bCs/>
          <w:sz w:val="28"/>
          <w:szCs w:val="28"/>
          <w:lang w:eastAsia="zh-CN"/>
        </w:rPr>
      </w:pPr>
      <w:r w:rsidRPr="00774F9D">
        <w:rPr>
          <w:rFonts w:ascii="Times New Roman" w:eastAsiaTheme="minorEastAsia" w:hAnsi="Times New Roman" w:cs="Times New Roman" w:hint="eastAsia"/>
          <w:b/>
          <w:bCs/>
          <w:sz w:val="28"/>
          <w:szCs w:val="28"/>
          <w:lang w:eastAsia="zh-CN"/>
        </w:rPr>
        <w:t>Additional file 1</w:t>
      </w:r>
    </w:p>
    <w:p w14:paraId="75E933C8" w14:textId="0BCC4804" w:rsidR="00D219F6" w:rsidRPr="00774F9D" w:rsidRDefault="00D219F6" w:rsidP="00C86862">
      <w:pPr>
        <w:rPr>
          <w:rFonts w:ascii="Times New Roman" w:hAnsi="Times New Roman" w:cs="Times New Roman"/>
          <w:b/>
          <w:bCs/>
        </w:rPr>
      </w:pPr>
      <w:r w:rsidRPr="00774F9D">
        <w:rPr>
          <w:rFonts w:ascii="Times New Roman" w:hAnsi="Times New Roman" w:cs="Times New Roman"/>
          <w:b/>
          <w:bCs/>
        </w:rPr>
        <w:t xml:space="preserve">Supplementary </w:t>
      </w:r>
      <w:r w:rsidR="00774F9D" w:rsidRPr="00774F9D">
        <w:rPr>
          <w:rFonts w:ascii="Times New Roman" w:eastAsiaTheme="minorEastAsia" w:hAnsi="Times New Roman" w:cs="Times New Roman"/>
          <w:b/>
          <w:bCs/>
          <w:lang w:eastAsia="zh-CN"/>
        </w:rPr>
        <w:t>m</w:t>
      </w:r>
      <w:r w:rsidRPr="00774F9D">
        <w:rPr>
          <w:rFonts w:ascii="Times New Roman" w:hAnsi="Times New Roman" w:cs="Times New Roman"/>
          <w:b/>
          <w:bCs/>
        </w:rPr>
        <w:t>ethods</w:t>
      </w:r>
    </w:p>
    <w:p w14:paraId="0E7478D2" w14:textId="77777777" w:rsidR="00D219F6" w:rsidRPr="00774F9D" w:rsidRDefault="00D219F6" w:rsidP="00C86862">
      <w:pPr>
        <w:rPr>
          <w:rFonts w:ascii="Times New Roman" w:hAnsi="Times New Roman" w:cs="Times New Roman"/>
          <w:b/>
          <w:bCs/>
          <w:i/>
          <w:iCs/>
        </w:rPr>
      </w:pPr>
      <w:r w:rsidRPr="00774F9D">
        <w:rPr>
          <w:rFonts w:ascii="Times New Roman" w:hAnsi="Times New Roman" w:cs="Times New Roman"/>
          <w:b/>
          <w:bCs/>
          <w:i/>
          <w:iCs/>
        </w:rPr>
        <w:t xml:space="preserve">Methods for RT-qPCR validation </w:t>
      </w:r>
    </w:p>
    <w:p w14:paraId="254BB8D4" w14:textId="2ACFC332" w:rsidR="00D219F6" w:rsidRPr="00C86862" w:rsidRDefault="00D219F6" w:rsidP="00C86862">
      <w:pPr>
        <w:rPr>
          <w:rFonts w:ascii="Times New Roman" w:hAnsi="Times New Roman" w:cs="Times New Roman"/>
        </w:rPr>
      </w:pPr>
      <w:r w:rsidRPr="00C86862">
        <w:rPr>
          <w:rFonts w:ascii="Times New Roman" w:hAnsi="Times New Roman" w:cs="Times New Roman"/>
        </w:rPr>
        <w:t>Total RNA was isolated from yolk sac tissue, using RNeasy Universal kit (Qiagen, Hilden, Germany). RNA concentrations were determined by Nanodrop 1000 (</w:t>
      </w:r>
      <w:proofErr w:type="spellStart"/>
      <w:r w:rsidRPr="00C86862">
        <w:rPr>
          <w:rFonts w:ascii="Times New Roman" w:hAnsi="Times New Roman" w:cs="Times New Roman"/>
        </w:rPr>
        <w:t>Thermo</w:t>
      </w:r>
      <w:proofErr w:type="spellEnd"/>
      <w:r w:rsidRPr="00C86862">
        <w:rPr>
          <w:rFonts w:ascii="Times New Roman" w:hAnsi="Times New Roman" w:cs="Times New Roman"/>
        </w:rPr>
        <w:t xml:space="preserve"> Scientific, Waltham, MA</w:t>
      </w:r>
      <w:r w:rsidR="00774F9D">
        <w:rPr>
          <w:rFonts w:ascii="Times New Roman" w:eastAsiaTheme="minorEastAsia" w:hAnsi="Times New Roman" w:cs="Times New Roman" w:hint="eastAsia"/>
          <w:lang w:eastAsia="zh-CN"/>
        </w:rPr>
        <w:t>, USA</w:t>
      </w:r>
      <w:r w:rsidRPr="00C86862">
        <w:rPr>
          <w:rFonts w:ascii="Times New Roman" w:hAnsi="Times New Roman" w:cs="Times New Roman"/>
        </w:rPr>
        <w:t xml:space="preserve">). Total RNA from each sample was reverse transcribed into cDNA, using a cDNA synthesis kit (Qiagen, Hilden, Germany). cDNA was verified by 1.5% agarose gel electrophoresis. </w:t>
      </w:r>
    </w:p>
    <w:p w14:paraId="64FE5AC1" w14:textId="620F8D98" w:rsidR="00D219F6" w:rsidRPr="00C86862" w:rsidRDefault="00D219F6" w:rsidP="00C86862">
      <w:pPr>
        <w:rPr>
          <w:rFonts w:ascii="Times New Roman" w:hAnsi="Times New Roman" w:cs="Times New Roman"/>
        </w:rPr>
      </w:pPr>
      <w:r w:rsidRPr="00C86862">
        <w:rPr>
          <w:rFonts w:ascii="Times New Roman" w:hAnsi="Times New Roman" w:cs="Times New Roman"/>
        </w:rPr>
        <w:t xml:space="preserve">For </w:t>
      </w:r>
      <w:proofErr w:type="spellStart"/>
      <w:r w:rsidRPr="00C86862">
        <w:rPr>
          <w:rFonts w:ascii="Times New Roman" w:hAnsi="Times New Roman" w:cs="Times New Roman"/>
        </w:rPr>
        <w:t>qRT</w:t>
      </w:r>
      <w:proofErr w:type="spellEnd"/>
      <w:r w:rsidRPr="00C86862">
        <w:rPr>
          <w:rFonts w:ascii="Times New Roman" w:hAnsi="Times New Roman" w:cs="Times New Roman"/>
        </w:rPr>
        <w:t>-PCR, 1 µL cDNA and 1 µL forward and reverse primers (4 n</w:t>
      </w:r>
      <w:r w:rsidR="00774F9D">
        <w:rPr>
          <w:rFonts w:ascii="Times New Roman" w:eastAsiaTheme="minorEastAsia" w:hAnsi="Times New Roman" w:cs="Times New Roman" w:hint="eastAsia"/>
          <w:lang w:eastAsia="zh-CN"/>
        </w:rPr>
        <w:t>mol/L</w:t>
      </w:r>
      <w:r w:rsidRPr="00C86862">
        <w:rPr>
          <w:rFonts w:ascii="Times New Roman" w:hAnsi="Times New Roman" w:cs="Times New Roman"/>
        </w:rPr>
        <w:t>) were added to 5 µL SYBR green-based mix (</w:t>
      </w:r>
      <w:proofErr w:type="spellStart"/>
      <w:r w:rsidRPr="00C86862">
        <w:rPr>
          <w:rFonts w:ascii="Times New Roman" w:hAnsi="Times New Roman" w:cs="Times New Roman"/>
        </w:rPr>
        <w:t>QuantiNova</w:t>
      </w:r>
      <w:proofErr w:type="spellEnd"/>
      <w:r w:rsidRPr="00C86862">
        <w:rPr>
          <w:rFonts w:ascii="Times New Roman" w:hAnsi="Times New Roman" w:cs="Times New Roman"/>
        </w:rPr>
        <w:t xml:space="preserve">, Qiagen, Hilden, Germany) and filled up with 3 µL </w:t>
      </w:r>
      <w:proofErr w:type="spellStart"/>
      <w:r w:rsidRPr="00C86862">
        <w:rPr>
          <w:rFonts w:ascii="Times New Roman" w:hAnsi="Times New Roman" w:cs="Times New Roman"/>
        </w:rPr>
        <w:t>RNAse</w:t>
      </w:r>
      <w:proofErr w:type="spellEnd"/>
      <w:r w:rsidRPr="00C86862">
        <w:rPr>
          <w:rFonts w:ascii="Times New Roman" w:hAnsi="Times New Roman" w:cs="Times New Roman"/>
        </w:rPr>
        <w:t xml:space="preserve"> free water to a total volume of 10 µL. The primer sequences (Sigma Aldrich, </w:t>
      </w:r>
      <w:r w:rsidRPr="00C86862">
        <w:rPr>
          <w:rFonts w:ascii="Times New Roman" w:hAnsi="Times New Roman" w:cs="Times New Roman"/>
          <w:color w:val="000000"/>
        </w:rPr>
        <w:t>St. Louis, MO</w:t>
      </w:r>
      <w:r w:rsidR="00774F9D">
        <w:rPr>
          <w:rFonts w:ascii="Times New Roman" w:eastAsiaTheme="minorEastAsia" w:hAnsi="Times New Roman" w:cs="Times New Roman" w:hint="eastAsia"/>
          <w:color w:val="000000"/>
          <w:lang w:eastAsia="zh-CN"/>
        </w:rPr>
        <w:t>, USA</w:t>
      </w:r>
      <w:r w:rsidRPr="00C86862">
        <w:rPr>
          <w:rFonts w:ascii="Times New Roman" w:hAnsi="Times New Roman" w:cs="Times New Roman"/>
        </w:rPr>
        <w:t>) used for real-time PCR are listed in Table S1. RT-PCR was carried out on a Viia7 real-time PCR machine (</w:t>
      </w:r>
      <w:proofErr w:type="spellStart"/>
      <w:r w:rsidRPr="00C86862">
        <w:rPr>
          <w:rFonts w:ascii="Times New Roman" w:hAnsi="Times New Roman" w:cs="Times New Roman"/>
        </w:rPr>
        <w:t>Thermo</w:t>
      </w:r>
      <w:proofErr w:type="spellEnd"/>
      <w:r w:rsidRPr="00C86862">
        <w:rPr>
          <w:rFonts w:ascii="Times New Roman" w:hAnsi="Times New Roman" w:cs="Times New Roman"/>
        </w:rPr>
        <w:t xml:space="preserve"> Scientific, Waltham, MA</w:t>
      </w:r>
      <w:r w:rsidR="00774F9D">
        <w:rPr>
          <w:rFonts w:ascii="Times New Roman" w:eastAsiaTheme="minorEastAsia" w:hAnsi="Times New Roman" w:cs="Times New Roman" w:hint="eastAsia"/>
          <w:lang w:eastAsia="zh-CN"/>
        </w:rPr>
        <w:t>, USA</w:t>
      </w:r>
      <w:r w:rsidRPr="00C86862">
        <w:rPr>
          <w:rFonts w:ascii="Times New Roman" w:hAnsi="Times New Roman" w:cs="Times New Roman"/>
        </w:rPr>
        <w:t>). All reactions were analysed in duplicate. PCR was performed under the following conditions: 2 min 95</w:t>
      </w:r>
      <w:r w:rsidR="00774F9D">
        <w:rPr>
          <w:rFonts w:ascii="Times New Roman" w:eastAsiaTheme="minorEastAsia" w:hAnsi="Times New Roman" w:cs="Times New Roman" w:hint="eastAsia"/>
          <w:lang w:eastAsia="zh-CN"/>
        </w:rPr>
        <w:t xml:space="preserve"> </w:t>
      </w:r>
      <w:r w:rsidRPr="00C86862">
        <w:rPr>
          <w:rFonts w:ascii="Times New Roman" w:hAnsi="Times New Roman" w:cs="Times New Roman"/>
        </w:rPr>
        <w:t>°C, followed by 45 cycles of 5 s 95</w:t>
      </w:r>
      <w:r w:rsidR="00774F9D">
        <w:rPr>
          <w:rFonts w:ascii="Times New Roman" w:eastAsiaTheme="minorEastAsia" w:hAnsi="Times New Roman" w:cs="Times New Roman" w:hint="eastAsia"/>
          <w:lang w:eastAsia="zh-CN"/>
        </w:rPr>
        <w:t xml:space="preserve"> </w:t>
      </w:r>
      <w:r w:rsidRPr="00C86862">
        <w:rPr>
          <w:rFonts w:ascii="Times New Roman" w:hAnsi="Times New Roman" w:cs="Times New Roman"/>
        </w:rPr>
        <w:t>°C and 20 s 60</w:t>
      </w:r>
      <w:r w:rsidR="00774F9D">
        <w:rPr>
          <w:rFonts w:ascii="Times New Roman" w:eastAsiaTheme="minorEastAsia" w:hAnsi="Times New Roman" w:cs="Times New Roman" w:hint="eastAsia"/>
          <w:lang w:eastAsia="zh-CN"/>
        </w:rPr>
        <w:t xml:space="preserve"> </w:t>
      </w:r>
      <w:r w:rsidRPr="00C86862">
        <w:rPr>
          <w:rFonts w:ascii="Times New Roman" w:hAnsi="Times New Roman" w:cs="Times New Roman"/>
        </w:rPr>
        <w:t xml:space="preserve">°C. A melt curve was produced at the end of the run to determine single product amplification. </w:t>
      </w:r>
    </w:p>
    <w:p w14:paraId="0CEC91BB" w14:textId="77777777" w:rsidR="00D219F6" w:rsidRPr="00C86862" w:rsidRDefault="00D219F6" w:rsidP="00C86862">
      <w:pPr>
        <w:rPr>
          <w:rFonts w:ascii="Times New Roman" w:hAnsi="Times New Roman" w:cs="Times New Roman"/>
        </w:rPr>
      </w:pPr>
      <w:bookmarkStart w:id="0" w:name="_Toc529444729"/>
      <w:bookmarkStart w:id="1" w:name="_Toc5038506"/>
      <w:r w:rsidRPr="00C86862">
        <w:rPr>
          <w:rFonts w:ascii="Times New Roman" w:hAnsi="Times New Roman" w:cs="Times New Roman"/>
        </w:rPr>
        <w:t xml:space="preserve">In SAS 9.4, the PROC CORR procedure was used to correlate log-transformed </w:t>
      </w:r>
      <w:proofErr w:type="spellStart"/>
      <w:r w:rsidRPr="00C86862">
        <w:rPr>
          <w:rFonts w:ascii="Times New Roman" w:hAnsi="Times New Roman" w:cs="Times New Roman"/>
        </w:rPr>
        <w:t>qRT</w:t>
      </w:r>
      <w:proofErr w:type="spellEnd"/>
      <w:r w:rsidRPr="00C86862">
        <w:rPr>
          <w:rFonts w:ascii="Times New Roman" w:hAnsi="Times New Roman" w:cs="Times New Roman"/>
        </w:rPr>
        <w:t>-PCR data (Ct-values) with log-transformed RNAseq data (RPKM).</w:t>
      </w:r>
      <w:bookmarkEnd w:id="0"/>
      <w:bookmarkEnd w:id="1"/>
      <w:r w:rsidRPr="00C86862">
        <w:rPr>
          <w:rFonts w:ascii="Times New Roman" w:hAnsi="Times New Roman" w:cs="Times New Roman"/>
        </w:rPr>
        <w:t xml:space="preserve"> </w:t>
      </w:r>
      <w:r w:rsidRPr="00C86862">
        <w:rPr>
          <w:rFonts w:ascii="Times New Roman" w:hAnsi="Times New Roman" w:cs="Times New Roman"/>
        </w:rPr>
        <w:br w:type="page"/>
      </w:r>
    </w:p>
    <w:p w14:paraId="6A9F70D2" w14:textId="4467BF76" w:rsidR="00D219F6" w:rsidRPr="00774F9D" w:rsidRDefault="00D219F6" w:rsidP="00774F9D">
      <w:pPr>
        <w:spacing w:after="0" w:line="360" w:lineRule="auto"/>
        <w:rPr>
          <w:rFonts w:ascii="Times New Roman" w:eastAsiaTheme="minorEastAsia" w:hAnsi="Times New Roman" w:cs="Times New Roman" w:hint="eastAsia"/>
          <w:b/>
          <w:bCs/>
          <w:lang w:eastAsia="zh-CN"/>
        </w:rPr>
      </w:pPr>
      <w:r w:rsidRPr="00C86862">
        <w:rPr>
          <w:rFonts w:ascii="Times New Roman" w:hAnsi="Times New Roman" w:cs="Times New Roman"/>
          <w:b/>
          <w:bCs/>
        </w:rPr>
        <w:lastRenderedPageBreak/>
        <w:t>Table S1</w:t>
      </w:r>
      <w:r w:rsidR="00C86862">
        <w:rPr>
          <w:rFonts w:ascii="Times New Roman" w:hAnsi="Times New Roman" w:cs="Times New Roman"/>
          <w:b/>
          <w:bCs/>
        </w:rPr>
        <w:t xml:space="preserve"> </w:t>
      </w:r>
      <w:r w:rsidRPr="00C86862">
        <w:rPr>
          <w:rFonts w:ascii="Times New Roman" w:hAnsi="Times New Roman" w:cs="Times New Roman"/>
        </w:rPr>
        <w:t>Target genes and primer sequences of immune mediators used for RT-qPCR analysis</w:t>
      </w:r>
    </w:p>
    <w:tbl>
      <w:tblPr>
        <w:tblpPr w:leftFromText="180" w:rightFromText="180" w:vertAnchor="text" w:horzAnchor="margin" w:tblpY="38"/>
        <w:tblW w:w="9842" w:type="dxa"/>
        <w:tblLook w:val="04A0" w:firstRow="1" w:lastRow="0" w:firstColumn="1" w:lastColumn="0" w:noHBand="0" w:noVBand="1"/>
      </w:tblPr>
      <w:tblGrid>
        <w:gridCol w:w="979"/>
        <w:gridCol w:w="2043"/>
        <w:gridCol w:w="4410"/>
        <w:gridCol w:w="2410"/>
      </w:tblGrid>
      <w:tr w:rsidR="00D219F6" w:rsidRPr="00C86862" w14:paraId="3979AC81" w14:textId="77777777" w:rsidTr="003354B9">
        <w:trPr>
          <w:trHeight w:val="339"/>
        </w:trPr>
        <w:tc>
          <w:tcPr>
            <w:tcW w:w="979" w:type="dxa"/>
            <w:tcBorders>
              <w:top w:val="single" w:sz="4" w:space="0" w:color="auto"/>
              <w:left w:val="nil"/>
              <w:bottom w:val="single" w:sz="4" w:space="0" w:color="auto"/>
              <w:right w:val="nil"/>
            </w:tcBorders>
            <w:shd w:val="clear" w:color="auto" w:fill="auto"/>
            <w:noWrap/>
            <w:vAlign w:val="center"/>
            <w:hideMark/>
          </w:tcPr>
          <w:p w14:paraId="01B829D8" w14:textId="1B4B708A" w:rsidR="00D219F6" w:rsidRPr="00774F9D" w:rsidRDefault="00D219F6" w:rsidP="00C86862">
            <w:pPr>
              <w:spacing w:line="240" w:lineRule="auto"/>
              <w:jc w:val="both"/>
              <w:rPr>
                <w:rFonts w:ascii="Times New Roman" w:hAnsi="Times New Roman" w:cs="Times New Roman"/>
                <w:b/>
                <w:bCs/>
                <w:color w:val="000000"/>
                <w:sz w:val="22"/>
                <w:lang w:eastAsia="en-AU"/>
              </w:rPr>
            </w:pPr>
            <w:r w:rsidRPr="00774F9D">
              <w:rPr>
                <w:rFonts w:ascii="Times New Roman" w:hAnsi="Times New Roman" w:cs="Times New Roman"/>
                <w:b/>
                <w:bCs/>
                <w:color w:val="000000"/>
                <w:sz w:val="22"/>
                <w:lang w:eastAsia="en-AU"/>
              </w:rPr>
              <w:t>Gene</w:t>
            </w:r>
          </w:p>
        </w:tc>
        <w:tc>
          <w:tcPr>
            <w:tcW w:w="2043" w:type="dxa"/>
            <w:tcBorders>
              <w:top w:val="single" w:sz="4" w:space="0" w:color="auto"/>
              <w:left w:val="nil"/>
              <w:bottom w:val="single" w:sz="4" w:space="0" w:color="auto"/>
              <w:right w:val="nil"/>
            </w:tcBorders>
            <w:shd w:val="clear" w:color="auto" w:fill="auto"/>
            <w:vAlign w:val="center"/>
            <w:hideMark/>
          </w:tcPr>
          <w:p w14:paraId="1129F91F" w14:textId="77777777" w:rsidR="00D219F6" w:rsidRPr="00774F9D" w:rsidRDefault="00D219F6" w:rsidP="00C86862">
            <w:pPr>
              <w:spacing w:line="240" w:lineRule="auto"/>
              <w:jc w:val="both"/>
              <w:rPr>
                <w:rFonts w:ascii="Times New Roman" w:hAnsi="Times New Roman" w:cs="Times New Roman"/>
                <w:b/>
                <w:bCs/>
                <w:sz w:val="22"/>
                <w:lang w:eastAsia="en-AU"/>
              </w:rPr>
            </w:pPr>
            <w:r w:rsidRPr="00774F9D">
              <w:rPr>
                <w:rFonts w:ascii="Times New Roman" w:hAnsi="Times New Roman" w:cs="Times New Roman"/>
                <w:b/>
                <w:bCs/>
                <w:sz w:val="22"/>
                <w:lang w:eastAsia="en-AU"/>
              </w:rPr>
              <w:t xml:space="preserve">Accession No. </w:t>
            </w:r>
          </w:p>
        </w:tc>
        <w:tc>
          <w:tcPr>
            <w:tcW w:w="4410" w:type="dxa"/>
            <w:tcBorders>
              <w:top w:val="single" w:sz="4" w:space="0" w:color="auto"/>
              <w:left w:val="nil"/>
              <w:bottom w:val="single" w:sz="4" w:space="0" w:color="auto"/>
              <w:right w:val="nil"/>
            </w:tcBorders>
            <w:shd w:val="clear" w:color="auto" w:fill="auto"/>
            <w:noWrap/>
            <w:vAlign w:val="center"/>
            <w:hideMark/>
          </w:tcPr>
          <w:p w14:paraId="1246CFD7" w14:textId="07DD268A" w:rsidR="00D219F6" w:rsidRPr="00774F9D" w:rsidRDefault="00D219F6" w:rsidP="00C86862">
            <w:pPr>
              <w:spacing w:line="240" w:lineRule="auto"/>
              <w:jc w:val="both"/>
              <w:rPr>
                <w:rFonts w:ascii="Times New Roman" w:hAnsi="Times New Roman" w:cs="Times New Roman"/>
                <w:b/>
                <w:bCs/>
                <w:color w:val="000000"/>
                <w:sz w:val="22"/>
                <w:lang w:eastAsia="en-AU"/>
              </w:rPr>
            </w:pPr>
            <w:r w:rsidRPr="00774F9D">
              <w:rPr>
                <w:rFonts w:ascii="Times New Roman" w:hAnsi="Times New Roman" w:cs="Times New Roman"/>
                <w:b/>
                <w:bCs/>
                <w:color w:val="000000"/>
                <w:sz w:val="22"/>
                <w:lang w:eastAsia="en-AU"/>
              </w:rPr>
              <w:t>Primer sequence (5'</w:t>
            </w:r>
            <w:r w:rsidR="00774F9D" w:rsidRPr="00774F9D">
              <w:rPr>
                <w:rFonts w:ascii="Times New Roman" w:hAnsi="Times New Roman" w:cs="Times New Roman" w:hint="eastAsia"/>
                <w:b/>
                <w:bCs/>
                <w:color w:val="000000"/>
                <w:sz w:val="22"/>
                <w:lang w:eastAsia="en-AU"/>
              </w:rPr>
              <w:t>→</w:t>
            </w:r>
            <w:r w:rsidRPr="00774F9D">
              <w:rPr>
                <w:rFonts w:ascii="Times New Roman" w:hAnsi="Times New Roman" w:cs="Times New Roman"/>
                <w:b/>
                <w:bCs/>
                <w:color w:val="000000"/>
                <w:sz w:val="22"/>
                <w:lang w:eastAsia="en-AU"/>
              </w:rPr>
              <w:t>3')</w:t>
            </w:r>
            <w:r w:rsidR="001651B7" w:rsidRPr="00774F9D">
              <w:rPr>
                <w:rFonts w:ascii="Times New Roman" w:hAnsi="Times New Roman" w:cs="Times New Roman"/>
                <w:b/>
                <w:bCs/>
                <w:vertAlign w:val="superscript"/>
              </w:rPr>
              <w:t>1</w:t>
            </w:r>
          </w:p>
        </w:tc>
        <w:tc>
          <w:tcPr>
            <w:tcW w:w="2410" w:type="dxa"/>
            <w:tcBorders>
              <w:top w:val="single" w:sz="4" w:space="0" w:color="auto"/>
              <w:left w:val="nil"/>
              <w:bottom w:val="single" w:sz="4" w:space="0" w:color="auto"/>
              <w:right w:val="nil"/>
            </w:tcBorders>
            <w:shd w:val="clear" w:color="auto" w:fill="auto"/>
            <w:vAlign w:val="center"/>
            <w:hideMark/>
          </w:tcPr>
          <w:p w14:paraId="41A030B7" w14:textId="77777777" w:rsidR="00D219F6" w:rsidRPr="00774F9D" w:rsidRDefault="00D219F6" w:rsidP="00C86862">
            <w:pPr>
              <w:spacing w:line="240" w:lineRule="auto"/>
              <w:jc w:val="both"/>
              <w:rPr>
                <w:rFonts w:ascii="Times New Roman" w:hAnsi="Times New Roman" w:cs="Times New Roman"/>
                <w:b/>
                <w:bCs/>
                <w:color w:val="000000"/>
                <w:sz w:val="22"/>
                <w:lang w:eastAsia="en-AU"/>
              </w:rPr>
            </w:pPr>
            <w:r w:rsidRPr="00774F9D">
              <w:rPr>
                <w:rFonts w:ascii="Times New Roman" w:hAnsi="Times New Roman" w:cs="Times New Roman"/>
                <w:b/>
                <w:bCs/>
                <w:color w:val="000000"/>
                <w:sz w:val="22"/>
                <w:lang w:eastAsia="en-AU"/>
              </w:rPr>
              <w:t>Reference</w:t>
            </w:r>
          </w:p>
        </w:tc>
      </w:tr>
      <w:tr w:rsidR="00D219F6" w:rsidRPr="00C86862" w14:paraId="2655BA2D" w14:textId="77777777" w:rsidTr="003354B9">
        <w:trPr>
          <w:trHeight w:val="339"/>
        </w:trPr>
        <w:tc>
          <w:tcPr>
            <w:tcW w:w="979" w:type="dxa"/>
            <w:tcBorders>
              <w:top w:val="single" w:sz="4" w:space="0" w:color="auto"/>
              <w:left w:val="nil"/>
              <w:right w:val="nil"/>
            </w:tcBorders>
            <w:shd w:val="clear" w:color="auto" w:fill="auto"/>
            <w:noWrap/>
            <w:vAlign w:val="center"/>
          </w:tcPr>
          <w:p w14:paraId="0BDBAA68" w14:textId="77777777" w:rsidR="00D219F6" w:rsidRPr="00774F9D" w:rsidRDefault="00D219F6" w:rsidP="00C86862">
            <w:pPr>
              <w:spacing w:line="240" w:lineRule="auto"/>
              <w:jc w:val="both"/>
              <w:rPr>
                <w:rFonts w:ascii="Times New Roman" w:hAnsi="Times New Roman" w:cs="Times New Roman"/>
                <w:i/>
                <w:iCs/>
                <w:color w:val="000000"/>
                <w:sz w:val="22"/>
                <w:lang w:eastAsia="en-AU"/>
              </w:rPr>
            </w:pPr>
            <w:r w:rsidRPr="00774F9D">
              <w:rPr>
                <w:rFonts w:ascii="Times New Roman" w:hAnsi="Times New Roman" w:cs="Times New Roman"/>
                <w:i/>
                <w:iCs/>
                <w:color w:val="000000"/>
                <w:sz w:val="22"/>
                <w:lang w:eastAsia="en-AU"/>
              </w:rPr>
              <w:t>BACT</w:t>
            </w:r>
          </w:p>
        </w:tc>
        <w:tc>
          <w:tcPr>
            <w:tcW w:w="2043" w:type="dxa"/>
            <w:tcBorders>
              <w:top w:val="single" w:sz="4" w:space="0" w:color="auto"/>
              <w:left w:val="nil"/>
              <w:right w:val="nil"/>
            </w:tcBorders>
            <w:shd w:val="clear" w:color="auto" w:fill="auto"/>
            <w:vAlign w:val="center"/>
          </w:tcPr>
          <w:p w14:paraId="05250D95" w14:textId="77777777" w:rsidR="00D219F6" w:rsidRPr="00C86862" w:rsidRDefault="00D219F6" w:rsidP="00C86862">
            <w:pPr>
              <w:spacing w:line="240" w:lineRule="auto"/>
              <w:jc w:val="both"/>
              <w:rPr>
                <w:rFonts w:ascii="Times New Roman" w:hAnsi="Times New Roman" w:cs="Times New Roman"/>
                <w:sz w:val="22"/>
                <w:lang w:eastAsia="en-AU"/>
              </w:rPr>
            </w:pPr>
            <w:r w:rsidRPr="00C86862">
              <w:rPr>
                <w:rFonts w:ascii="Times New Roman" w:hAnsi="Times New Roman" w:cs="Times New Roman"/>
                <w:sz w:val="22"/>
                <w:lang w:eastAsia="en-AU"/>
              </w:rPr>
              <w:t>X00182</w:t>
            </w:r>
          </w:p>
        </w:tc>
        <w:tc>
          <w:tcPr>
            <w:tcW w:w="4410" w:type="dxa"/>
            <w:tcBorders>
              <w:top w:val="single" w:sz="4" w:space="0" w:color="auto"/>
              <w:left w:val="nil"/>
              <w:right w:val="nil"/>
            </w:tcBorders>
            <w:shd w:val="clear" w:color="auto" w:fill="auto"/>
            <w:noWrap/>
            <w:vAlign w:val="center"/>
          </w:tcPr>
          <w:p w14:paraId="7986D0A3"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F: CAACACAGTGCTGTCTGGTGGTA</w:t>
            </w:r>
          </w:p>
        </w:tc>
        <w:tc>
          <w:tcPr>
            <w:tcW w:w="2410" w:type="dxa"/>
            <w:tcBorders>
              <w:top w:val="single" w:sz="4" w:space="0" w:color="auto"/>
              <w:left w:val="nil"/>
              <w:right w:val="nil"/>
            </w:tcBorders>
            <w:shd w:val="clear" w:color="auto" w:fill="auto"/>
            <w:vAlign w:val="center"/>
          </w:tcPr>
          <w:p w14:paraId="43FEF04E" w14:textId="1FD42FA3" w:rsidR="00D219F6" w:rsidRPr="00C86862" w:rsidRDefault="00000000" w:rsidP="00C86862">
            <w:pPr>
              <w:spacing w:line="240" w:lineRule="auto"/>
              <w:jc w:val="both"/>
              <w:rPr>
                <w:rFonts w:ascii="Times New Roman" w:hAnsi="Times New Roman" w:cs="Times New Roman"/>
                <w:color w:val="000000"/>
                <w:sz w:val="22"/>
                <w:lang w:eastAsia="en-AU"/>
              </w:rPr>
            </w:pPr>
            <w:sdt>
              <w:sdtPr>
                <w:rPr>
                  <w:rFonts w:ascii="Times New Roman" w:hAnsi="Times New Roman" w:cs="Times New Roman"/>
                  <w:color w:val="000000"/>
                  <w:sz w:val="22"/>
                  <w:lang w:eastAsia="en-AU"/>
                </w:rPr>
                <w:tag w:val="MENDELEY_CITATION_v3_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"/>
                <w:id w:val="-385956396"/>
                <w:placeholder>
                  <w:docPart w:val="BB78754BDD3E47A1A6FD367F2426ED3D"/>
                </w:placeholder>
              </w:sdtPr>
              <w:sdtContent>
                <w:r w:rsidR="003354B9" w:rsidRPr="00C86862">
                  <w:rPr>
                    <w:rFonts w:ascii="Times New Roman" w:hAnsi="Times New Roman" w:cs="Times New Roman"/>
                    <w:color w:val="000000"/>
                    <w:sz w:val="22"/>
                  </w:rPr>
                  <w:t>(St. Paul et al., 2011)</w:t>
                </w:r>
              </w:sdtContent>
            </w:sdt>
          </w:p>
        </w:tc>
      </w:tr>
      <w:tr w:rsidR="00D219F6" w:rsidRPr="00C86862" w14:paraId="470873AB" w14:textId="77777777" w:rsidTr="003354B9">
        <w:trPr>
          <w:trHeight w:val="339"/>
        </w:trPr>
        <w:tc>
          <w:tcPr>
            <w:tcW w:w="979" w:type="dxa"/>
            <w:tcBorders>
              <w:left w:val="nil"/>
              <w:right w:val="nil"/>
            </w:tcBorders>
            <w:shd w:val="clear" w:color="auto" w:fill="auto"/>
            <w:noWrap/>
            <w:vAlign w:val="center"/>
          </w:tcPr>
          <w:p w14:paraId="41D42205"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 </w:t>
            </w:r>
          </w:p>
        </w:tc>
        <w:tc>
          <w:tcPr>
            <w:tcW w:w="2043" w:type="dxa"/>
            <w:tcBorders>
              <w:left w:val="nil"/>
              <w:right w:val="nil"/>
            </w:tcBorders>
            <w:shd w:val="clear" w:color="auto" w:fill="auto"/>
            <w:vAlign w:val="center"/>
          </w:tcPr>
          <w:p w14:paraId="0229F336" w14:textId="77777777" w:rsidR="00D219F6" w:rsidRPr="00C86862" w:rsidRDefault="00D219F6" w:rsidP="00C86862">
            <w:pPr>
              <w:spacing w:line="240" w:lineRule="auto"/>
              <w:jc w:val="both"/>
              <w:rPr>
                <w:rFonts w:ascii="Times New Roman" w:hAnsi="Times New Roman" w:cs="Times New Roman"/>
                <w:sz w:val="22"/>
                <w:lang w:eastAsia="en-AU"/>
              </w:rPr>
            </w:pPr>
            <w:r w:rsidRPr="00C86862">
              <w:rPr>
                <w:rFonts w:ascii="Times New Roman" w:hAnsi="Times New Roman" w:cs="Times New Roman"/>
                <w:sz w:val="22"/>
                <w:lang w:eastAsia="en-AU"/>
              </w:rPr>
              <w:t> </w:t>
            </w:r>
          </w:p>
        </w:tc>
        <w:tc>
          <w:tcPr>
            <w:tcW w:w="4410" w:type="dxa"/>
            <w:tcBorders>
              <w:left w:val="nil"/>
              <w:right w:val="nil"/>
            </w:tcBorders>
            <w:shd w:val="clear" w:color="auto" w:fill="auto"/>
            <w:noWrap/>
            <w:vAlign w:val="center"/>
          </w:tcPr>
          <w:p w14:paraId="1E64067B"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R: ATCGTACTCCTGCTTGCTGATCC</w:t>
            </w:r>
          </w:p>
        </w:tc>
        <w:tc>
          <w:tcPr>
            <w:tcW w:w="2410" w:type="dxa"/>
            <w:tcBorders>
              <w:left w:val="nil"/>
              <w:right w:val="nil"/>
            </w:tcBorders>
            <w:shd w:val="clear" w:color="auto" w:fill="auto"/>
            <w:vAlign w:val="center"/>
          </w:tcPr>
          <w:p w14:paraId="7E59686F"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 </w:t>
            </w:r>
          </w:p>
        </w:tc>
      </w:tr>
      <w:tr w:rsidR="00D219F6" w:rsidRPr="00C86862" w14:paraId="048351E4" w14:textId="77777777" w:rsidTr="003354B9">
        <w:trPr>
          <w:trHeight w:val="339"/>
        </w:trPr>
        <w:tc>
          <w:tcPr>
            <w:tcW w:w="979" w:type="dxa"/>
            <w:tcBorders>
              <w:left w:val="nil"/>
              <w:right w:val="nil"/>
            </w:tcBorders>
            <w:shd w:val="clear" w:color="auto" w:fill="auto"/>
            <w:noWrap/>
            <w:vAlign w:val="center"/>
          </w:tcPr>
          <w:p w14:paraId="2A4A3F03" w14:textId="77777777" w:rsidR="00D219F6" w:rsidRPr="00774F9D" w:rsidRDefault="00D219F6" w:rsidP="00C86862">
            <w:pPr>
              <w:spacing w:line="240" w:lineRule="auto"/>
              <w:jc w:val="both"/>
              <w:rPr>
                <w:rFonts w:ascii="Times New Roman" w:hAnsi="Times New Roman" w:cs="Times New Roman"/>
                <w:i/>
                <w:iCs/>
                <w:color w:val="000000"/>
                <w:sz w:val="22"/>
                <w:lang w:eastAsia="en-AU"/>
              </w:rPr>
            </w:pPr>
            <w:r w:rsidRPr="00774F9D">
              <w:rPr>
                <w:rFonts w:ascii="Times New Roman" w:hAnsi="Times New Roman" w:cs="Times New Roman"/>
                <w:i/>
                <w:iCs/>
                <w:color w:val="000000"/>
                <w:sz w:val="22"/>
                <w:lang w:eastAsia="en-AU"/>
              </w:rPr>
              <w:t>CD3D</w:t>
            </w:r>
          </w:p>
        </w:tc>
        <w:tc>
          <w:tcPr>
            <w:tcW w:w="2043" w:type="dxa"/>
            <w:tcBorders>
              <w:left w:val="nil"/>
              <w:right w:val="nil"/>
            </w:tcBorders>
            <w:shd w:val="clear" w:color="auto" w:fill="auto"/>
            <w:vAlign w:val="center"/>
          </w:tcPr>
          <w:p w14:paraId="7D603266" w14:textId="77777777" w:rsidR="00D219F6" w:rsidRPr="00C86862" w:rsidRDefault="00D219F6" w:rsidP="00C86862">
            <w:pPr>
              <w:spacing w:line="240" w:lineRule="auto"/>
              <w:jc w:val="both"/>
              <w:rPr>
                <w:rFonts w:ascii="Times New Roman" w:hAnsi="Times New Roman" w:cs="Times New Roman"/>
                <w:sz w:val="22"/>
                <w:lang w:eastAsia="en-AU"/>
              </w:rPr>
            </w:pPr>
            <w:r w:rsidRPr="00C86862">
              <w:rPr>
                <w:rFonts w:ascii="Times New Roman" w:hAnsi="Times New Roman" w:cs="Times New Roman"/>
                <w:sz w:val="22"/>
                <w:lang w:eastAsia="en-AU"/>
              </w:rPr>
              <w:t>NM_205512.2</w:t>
            </w:r>
          </w:p>
        </w:tc>
        <w:tc>
          <w:tcPr>
            <w:tcW w:w="4410" w:type="dxa"/>
            <w:tcBorders>
              <w:left w:val="nil"/>
              <w:right w:val="nil"/>
            </w:tcBorders>
            <w:shd w:val="clear" w:color="auto" w:fill="auto"/>
            <w:noWrap/>
            <w:vAlign w:val="center"/>
          </w:tcPr>
          <w:p w14:paraId="6E7A6ADD"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F: TGTTGTCGCCACTGTCTTGCTG</w:t>
            </w:r>
          </w:p>
        </w:tc>
        <w:tc>
          <w:tcPr>
            <w:tcW w:w="2410" w:type="dxa"/>
            <w:tcBorders>
              <w:left w:val="nil"/>
              <w:right w:val="nil"/>
            </w:tcBorders>
            <w:shd w:val="clear" w:color="auto" w:fill="auto"/>
            <w:vAlign w:val="center"/>
          </w:tcPr>
          <w:p w14:paraId="69628B35" w14:textId="6BAC6FA4" w:rsidR="00D219F6" w:rsidRPr="00C86862" w:rsidRDefault="00000000" w:rsidP="00C86862">
            <w:pPr>
              <w:spacing w:line="240" w:lineRule="auto"/>
              <w:jc w:val="both"/>
              <w:rPr>
                <w:rFonts w:ascii="Times New Roman" w:hAnsi="Times New Roman" w:cs="Times New Roman"/>
                <w:color w:val="000000"/>
                <w:sz w:val="22"/>
                <w:lang w:eastAsia="en-AU"/>
              </w:rPr>
            </w:pPr>
            <w:sdt>
              <w:sdtPr>
                <w:rPr>
                  <w:rFonts w:ascii="Times New Roman" w:hAnsi="Times New Roman" w:cs="Times New Roman"/>
                  <w:color w:val="000000"/>
                  <w:sz w:val="22"/>
                  <w:lang w:eastAsia="en-AU"/>
                </w:rPr>
                <w:tag w:val="MENDELEY_CITATION_v3_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"/>
                <w:id w:val="1034462041"/>
                <w:placeholder>
                  <w:docPart w:val="EAF1E9938EC44DBD89E4C2706F043125"/>
                </w:placeholder>
              </w:sdtPr>
              <w:sdtContent>
                <w:r w:rsidR="003354B9" w:rsidRPr="00C86862">
                  <w:rPr>
                    <w:rFonts w:ascii="Times New Roman" w:hAnsi="Times New Roman" w:cs="Times New Roman"/>
                    <w:color w:val="000000"/>
                    <w:sz w:val="22"/>
                  </w:rPr>
                  <w:t>(Song et al., 2021)</w:t>
                </w:r>
              </w:sdtContent>
            </w:sdt>
          </w:p>
        </w:tc>
      </w:tr>
      <w:tr w:rsidR="00D219F6" w:rsidRPr="00C86862" w14:paraId="532C5B7E" w14:textId="77777777" w:rsidTr="003354B9">
        <w:trPr>
          <w:trHeight w:val="339"/>
        </w:trPr>
        <w:tc>
          <w:tcPr>
            <w:tcW w:w="979" w:type="dxa"/>
            <w:tcBorders>
              <w:left w:val="nil"/>
              <w:right w:val="nil"/>
            </w:tcBorders>
            <w:shd w:val="clear" w:color="auto" w:fill="auto"/>
            <w:noWrap/>
            <w:vAlign w:val="center"/>
          </w:tcPr>
          <w:p w14:paraId="3CE93EF1"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c>
          <w:tcPr>
            <w:tcW w:w="2043" w:type="dxa"/>
            <w:tcBorders>
              <w:left w:val="nil"/>
              <w:right w:val="nil"/>
            </w:tcBorders>
            <w:shd w:val="clear" w:color="auto" w:fill="auto"/>
            <w:vAlign w:val="center"/>
          </w:tcPr>
          <w:p w14:paraId="5B207658" w14:textId="77777777" w:rsidR="00D219F6" w:rsidRPr="00C86862" w:rsidRDefault="00D219F6" w:rsidP="00C86862">
            <w:pPr>
              <w:spacing w:line="240" w:lineRule="auto"/>
              <w:jc w:val="both"/>
              <w:rPr>
                <w:rFonts w:ascii="Times New Roman" w:hAnsi="Times New Roman" w:cs="Times New Roman"/>
                <w:sz w:val="22"/>
                <w:lang w:eastAsia="en-AU"/>
              </w:rPr>
            </w:pPr>
          </w:p>
        </w:tc>
        <w:tc>
          <w:tcPr>
            <w:tcW w:w="4410" w:type="dxa"/>
            <w:tcBorders>
              <w:left w:val="nil"/>
              <w:right w:val="nil"/>
            </w:tcBorders>
            <w:shd w:val="clear" w:color="auto" w:fill="auto"/>
            <w:noWrap/>
            <w:vAlign w:val="center"/>
          </w:tcPr>
          <w:p w14:paraId="07690329"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R: GTCCATCATTCCGCTCACCAAGG</w:t>
            </w:r>
          </w:p>
        </w:tc>
        <w:tc>
          <w:tcPr>
            <w:tcW w:w="2410" w:type="dxa"/>
            <w:tcBorders>
              <w:left w:val="nil"/>
              <w:right w:val="nil"/>
            </w:tcBorders>
            <w:shd w:val="clear" w:color="auto" w:fill="auto"/>
            <w:vAlign w:val="center"/>
          </w:tcPr>
          <w:p w14:paraId="62AAF2AA"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r>
      <w:tr w:rsidR="00D219F6" w:rsidRPr="00C86862" w14:paraId="68ED9F51" w14:textId="77777777" w:rsidTr="003354B9">
        <w:trPr>
          <w:trHeight w:val="339"/>
        </w:trPr>
        <w:tc>
          <w:tcPr>
            <w:tcW w:w="979" w:type="dxa"/>
            <w:tcBorders>
              <w:left w:val="nil"/>
              <w:bottom w:val="nil"/>
              <w:right w:val="nil"/>
            </w:tcBorders>
            <w:shd w:val="clear" w:color="auto" w:fill="auto"/>
            <w:noWrap/>
            <w:vAlign w:val="center"/>
            <w:hideMark/>
          </w:tcPr>
          <w:p w14:paraId="67BED4A7" w14:textId="77777777" w:rsidR="00D219F6" w:rsidRPr="00774F9D" w:rsidRDefault="00D219F6" w:rsidP="00C86862">
            <w:pPr>
              <w:spacing w:line="240" w:lineRule="auto"/>
              <w:jc w:val="both"/>
              <w:rPr>
                <w:rFonts w:ascii="Times New Roman" w:hAnsi="Times New Roman" w:cs="Times New Roman"/>
                <w:i/>
                <w:iCs/>
                <w:color w:val="000000"/>
                <w:sz w:val="22"/>
                <w:lang w:eastAsia="en-AU"/>
              </w:rPr>
            </w:pPr>
            <w:r w:rsidRPr="00774F9D">
              <w:rPr>
                <w:rFonts w:ascii="Times New Roman" w:hAnsi="Times New Roman" w:cs="Times New Roman"/>
                <w:i/>
                <w:iCs/>
                <w:color w:val="000000"/>
                <w:sz w:val="22"/>
                <w:lang w:eastAsia="en-AU"/>
              </w:rPr>
              <w:t>IL8L1</w:t>
            </w:r>
          </w:p>
        </w:tc>
        <w:tc>
          <w:tcPr>
            <w:tcW w:w="2043" w:type="dxa"/>
            <w:tcBorders>
              <w:left w:val="nil"/>
              <w:bottom w:val="nil"/>
              <w:right w:val="nil"/>
            </w:tcBorders>
            <w:shd w:val="clear" w:color="auto" w:fill="auto"/>
            <w:vAlign w:val="center"/>
            <w:hideMark/>
          </w:tcPr>
          <w:p w14:paraId="1EF0E961" w14:textId="77777777" w:rsidR="00D219F6" w:rsidRPr="00C86862" w:rsidRDefault="00D219F6" w:rsidP="00C86862">
            <w:pPr>
              <w:spacing w:line="240" w:lineRule="auto"/>
              <w:jc w:val="both"/>
              <w:rPr>
                <w:rFonts w:ascii="Times New Roman" w:hAnsi="Times New Roman" w:cs="Times New Roman"/>
                <w:sz w:val="22"/>
                <w:lang w:eastAsia="en-AU"/>
              </w:rPr>
            </w:pPr>
            <w:r w:rsidRPr="00C86862">
              <w:rPr>
                <w:rFonts w:ascii="Times New Roman" w:hAnsi="Times New Roman" w:cs="Times New Roman"/>
                <w:sz w:val="22"/>
                <w:lang w:eastAsia="en-AU"/>
              </w:rPr>
              <w:t>NM_205018.2</w:t>
            </w:r>
          </w:p>
        </w:tc>
        <w:tc>
          <w:tcPr>
            <w:tcW w:w="4410" w:type="dxa"/>
            <w:tcBorders>
              <w:left w:val="nil"/>
              <w:bottom w:val="nil"/>
              <w:right w:val="nil"/>
            </w:tcBorders>
            <w:shd w:val="clear" w:color="auto" w:fill="auto"/>
            <w:noWrap/>
            <w:vAlign w:val="center"/>
            <w:hideMark/>
          </w:tcPr>
          <w:p w14:paraId="1B35F87F"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F: CACGTTCAGCGATTGAACTC</w:t>
            </w:r>
          </w:p>
        </w:tc>
        <w:tc>
          <w:tcPr>
            <w:tcW w:w="2410" w:type="dxa"/>
            <w:tcBorders>
              <w:left w:val="nil"/>
              <w:bottom w:val="nil"/>
              <w:right w:val="nil"/>
            </w:tcBorders>
            <w:shd w:val="clear" w:color="auto" w:fill="auto"/>
            <w:vAlign w:val="center"/>
            <w:hideMark/>
          </w:tcPr>
          <w:p w14:paraId="008AD3D7" w14:textId="6E87E70C" w:rsidR="00D219F6" w:rsidRPr="00C86862" w:rsidRDefault="00000000" w:rsidP="00C86862">
            <w:pPr>
              <w:spacing w:line="240" w:lineRule="auto"/>
              <w:jc w:val="both"/>
              <w:rPr>
                <w:rFonts w:ascii="Times New Roman" w:hAnsi="Times New Roman" w:cs="Times New Roman"/>
                <w:color w:val="000000"/>
                <w:sz w:val="22"/>
                <w:lang w:eastAsia="en-AU"/>
              </w:rPr>
            </w:pPr>
            <w:sdt>
              <w:sdtPr>
                <w:rPr>
                  <w:rFonts w:ascii="Times New Roman" w:hAnsi="Times New Roman" w:cs="Times New Roman"/>
                  <w:color w:val="000000"/>
                  <w:sz w:val="22"/>
                  <w:lang w:eastAsia="en-AU"/>
                </w:rPr>
                <w:tag w:val="MENDELEY_CITATION_v3_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"/>
                <w:id w:val="1362090024"/>
                <w:placeholder>
                  <w:docPart w:val="224AFA931A4F4A338982336E3124F512"/>
                </w:placeholder>
              </w:sdtPr>
              <w:sdtContent>
                <w:r w:rsidR="003354B9" w:rsidRPr="00C86862">
                  <w:rPr>
                    <w:rFonts w:ascii="Times New Roman" w:hAnsi="Times New Roman" w:cs="Times New Roman"/>
                    <w:color w:val="000000"/>
                    <w:sz w:val="22"/>
                  </w:rPr>
                  <w:t>(Santos et al., 2019)</w:t>
                </w:r>
              </w:sdtContent>
            </w:sdt>
          </w:p>
        </w:tc>
      </w:tr>
      <w:tr w:rsidR="00D219F6" w:rsidRPr="00C86862" w14:paraId="7BBC7236" w14:textId="77777777" w:rsidTr="003354B9">
        <w:trPr>
          <w:trHeight w:val="339"/>
        </w:trPr>
        <w:tc>
          <w:tcPr>
            <w:tcW w:w="979" w:type="dxa"/>
            <w:tcBorders>
              <w:top w:val="nil"/>
              <w:left w:val="nil"/>
              <w:bottom w:val="nil"/>
              <w:right w:val="nil"/>
            </w:tcBorders>
            <w:shd w:val="clear" w:color="auto" w:fill="auto"/>
            <w:noWrap/>
            <w:vAlign w:val="center"/>
            <w:hideMark/>
          </w:tcPr>
          <w:p w14:paraId="7F05D9D0"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c>
          <w:tcPr>
            <w:tcW w:w="2043" w:type="dxa"/>
            <w:tcBorders>
              <w:top w:val="nil"/>
              <w:left w:val="nil"/>
              <w:bottom w:val="nil"/>
              <w:right w:val="nil"/>
            </w:tcBorders>
            <w:shd w:val="clear" w:color="auto" w:fill="auto"/>
            <w:vAlign w:val="center"/>
            <w:hideMark/>
          </w:tcPr>
          <w:p w14:paraId="1E8201BE" w14:textId="77777777" w:rsidR="00D219F6" w:rsidRPr="00C86862" w:rsidRDefault="00D219F6" w:rsidP="00C86862">
            <w:pPr>
              <w:spacing w:line="240" w:lineRule="auto"/>
              <w:jc w:val="both"/>
              <w:rPr>
                <w:rFonts w:ascii="Times New Roman" w:hAnsi="Times New Roman" w:cs="Times New Roman"/>
                <w:sz w:val="22"/>
                <w:lang w:eastAsia="en-AU"/>
              </w:rPr>
            </w:pPr>
          </w:p>
        </w:tc>
        <w:tc>
          <w:tcPr>
            <w:tcW w:w="4410" w:type="dxa"/>
            <w:tcBorders>
              <w:top w:val="nil"/>
              <w:left w:val="nil"/>
              <w:bottom w:val="nil"/>
              <w:right w:val="nil"/>
            </w:tcBorders>
            <w:shd w:val="clear" w:color="auto" w:fill="auto"/>
            <w:noWrap/>
            <w:vAlign w:val="center"/>
            <w:hideMark/>
          </w:tcPr>
          <w:p w14:paraId="7C898F31"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R: GACTTCCACATTCTTGCAGTG</w:t>
            </w:r>
          </w:p>
        </w:tc>
        <w:tc>
          <w:tcPr>
            <w:tcW w:w="2410" w:type="dxa"/>
            <w:tcBorders>
              <w:top w:val="nil"/>
              <w:left w:val="nil"/>
              <w:bottom w:val="nil"/>
              <w:right w:val="nil"/>
            </w:tcBorders>
            <w:shd w:val="clear" w:color="auto" w:fill="auto"/>
            <w:vAlign w:val="center"/>
            <w:hideMark/>
          </w:tcPr>
          <w:p w14:paraId="44473B58"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r>
      <w:tr w:rsidR="00D219F6" w:rsidRPr="00C86862" w14:paraId="22B37148" w14:textId="77777777" w:rsidTr="003354B9">
        <w:trPr>
          <w:trHeight w:val="339"/>
        </w:trPr>
        <w:tc>
          <w:tcPr>
            <w:tcW w:w="979" w:type="dxa"/>
            <w:tcBorders>
              <w:top w:val="nil"/>
              <w:left w:val="nil"/>
              <w:bottom w:val="nil"/>
              <w:right w:val="nil"/>
            </w:tcBorders>
            <w:shd w:val="clear" w:color="auto" w:fill="auto"/>
            <w:noWrap/>
            <w:vAlign w:val="center"/>
          </w:tcPr>
          <w:p w14:paraId="07767A41" w14:textId="77777777" w:rsidR="00D219F6" w:rsidRPr="00774F9D" w:rsidRDefault="00D219F6" w:rsidP="00C86862">
            <w:pPr>
              <w:spacing w:line="240" w:lineRule="auto"/>
              <w:jc w:val="both"/>
              <w:rPr>
                <w:rFonts w:ascii="Times New Roman" w:hAnsi="Times New Roman" w:cs="Times New Roman"/>
                <w:i/>
                <w:iCs/>
                <w:color w:val="000000"/>
                <w:sz w:val="22"/>
                <w:lang w:eastAsia="en-AU"/>
              </w:rPr>
            </w:pPr>
            <w:r w:rsidRPr="00774F9D">
              <w:rPr>
                <w:rFonts w:ascii="Times New Roman" w:hAnsi="Times New Roman" w:cs="Times New Roman"/>
                <w:i/>
                <w:iCs/>
                <w:color w:val="000000"/>
                <w:sz w:val="22"/>
                <w:lang w:eastAsia="en-AU"/>
              </w:rPr>
              <w:t>NFKB</w:t>
            </w:r>
          </w:p>
        </w:tc>
        <w:tc>
          <w:tcPr>
            <w:tcW w:w="2043" w:type="dxa"/>
            <w:tcBorders>
              <w:top w:val="nil"/>
              <w:left w:val="nil"/>
              <w:bottom w:val="nil"/>
              <w:right w:val="nil"/>
            </w:tcBorders>
            <w:shd w:val="clear" w:color="auto" w:fill="auto"/>
            <w:vAlign w:val="center"/>
          </w:tcPr>
          <w:p w14:paraId="673CD42C" w14:textId="77777777" w:rsidR="00D219F6" w:rsidRPr="00C86862" w:rsidRDefault="00D219F6" w:rsidP="00C86862">
            <w:pPr>
              <w:spacing w:line="240" w:lineRule="auto"/>
              <w:jc w:val="both"/>
              <w:rPr>
                <w:rFonts w:ascii="Times New Roman" w:hAnsi="Times New Roman" w:cs="Times New Roman"/>
                <w:sz w:val="22"/>
                <w:lang w:eastAsia="en-AU"/>
              </w:rPr>
            </w:pPr>
            <w:r w:rsidRPr="00C86862">
              <w:rPr>
                <w:rFonts w:ascii="Times New Roman" w:hAnsi="Times New Roman" w:cs="Times New Roman"/>
                <w:sz w:val="22"/>
                <w:lang w:eastAsia="en-AU"/>
              </w:rPr>
              <w:t>XM_046915553.1 </w:t>
            </w:r>
          </w:p>
        </w:tc>
        <w:tc>
          <w:tcPr>
            <w:tcW w:w="4410" w:type="dxa"/>
            <w:tcBorders>
              <w:top w:val="nil"/>
              <w:left w:val="nil"/>
              <w:bottom w:val="nil"/>
              <w:right w:val="nil"/>
            </w:tcBorders>
            <w:shd w:val="clear" w:color="auto" w:fill="auto"/>
            <w:noWrap/>
            <w:vAlign w:val="center"/>
          </w:tcPr>
          <w:p w14:paraId="23A47D8B"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F: GAAGGAATCGTACCGGGAACA</w:t>
            </w:r>
          </w:p>
        </w:tc>
        <w:tc>
          <w:tcPr>
            <w:tcW w:w="2410" w:type="dxa"/>
            <w:tcBorders>
              <w:top w:val="nil"/>
              <w:left w:val="nil"/>
              <w:bottom w:val="nil"/>
              <w:right w:val="nil"/>
            </w:tcBorders>
            <w:shd w:val="clear" w:color="auto" w:fill="auto"/>
            <w:vAlign w:val="center"/>
          </w:tcPr>
          <w:p w14:paraId="78710400" w14:textId="30FC531D" w:rsidR="00D219F6" w:rsidRPr="00C86862" w:rsidRDefault="00000000" w:rsidP="00C86862">
            <w:pPr>
              <w:spacing w:line="240" w:lineRule="auto"/>
              <w:jc w:val="both"/>
              <w:rPr>
                <w:rFonts w:ascii="Times New Roman" w:hAnsi="Times New Roman" w:cs="Times New Roman"/>
                <w:color w:val="000000"/>
                <w:sz w:val="22"/>
                <w:lang w:eastAsia="en-AU"/>
              </w:rPr>
            </w:pPr>
            <w:sdt>
              <w:sdtPr>
                <w:rPr>
                  <w:rFonts w:ascii="Times New Roman" w:hAnsi="Times New Roman" w:cs="Times New Roman"/>
                  <w:color w:val="000000"/>
                  <w:sz w:val="22"/>
                  <w:lang w:eastAsia="en-AU"/>
                </w:rPr>
                <w:tag w:val="MENDELEY_CITATION_v3_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"/>
                <w:id w:val="-1704860438"/>
                <w:placeholder>
                  <w:docPart w:val="4123B45AC4C74B249039849A8932FDC4"/>
                </w:placeholder>
              </w:sdtPr>
              <w:sdtContent>
                <w:r w:rsidR="003354B9" w:rsidRPr="00C86862">
                  <w:rPr>
                    <w:rFonts w:ascii="Times New Roman" w:hAnsi="Times New Roman" w:cs="Times New Roman"/>
                    <w:color w:val="000000"/>
                    <w:sz w:val="22"/>
                  </w:rPr>
                  <w:t>(Chiang et al., 2009)</w:t>
                </w:r>
              </w:sdtContent>
            </w:sdt>
          </w:p>
        </w:tc>
      </w:tr>
      <w:tr w:rsidR="00D219F6" w:rsidRPr="00C86862" w14:paraId="6E9B67BD" w14:textId="77777777" w:rsidTr="003354B9">
        <w:trPr>
          <w:trHeight w:val="339"/>
        </w:trPr>
        <w:tc>
          <w:tcPr>
            <w:tcW w:w="979" w:type="dxa"/>
            <w:tcBorders>
              <w:top w:val="nil"/>
              <w:left w:val="nil"/>
              <w:bottom w:val="nil"/>
              <w:right w:val="nil"/>
            </w:tcBorders>
            <w:shd w:val="clear" w:color="auto" w:fill="auto"/>
            <w:noWrap/>
            <w:vAlign w:val="center"/>
          </w:tcPr>
          <w:p w14:paraId="590DA59B"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c>
          <w:tcPr>
            <w:tcW w:w="2043" w:type="dxa"/>
            <w:tcBorders>
              <w:top w:val="nil"/>
              <w:left w:val="nil"/>
              <w:bottom w:val="nil"/>
              <w:right w:val="nil"/>
            </w:tcBorders>
            <w:shd w:val="clear" w:color="auto" w:fill="auto"/>
            <w:vAlign w:val="center"/>
          </w:tcPr>
          <w:p w14:paraId="7B970BF6" w14:textId="77777777" w:rsidR="00D219F6" w:rsidRPr="00C86862" w:rsidRDefault="00D219F6" w:rsidP="00C86862">
            <w:pPr>
              <w:spacing w:line="240" w:lineRule="auto"/>
              <w:jc w:val="both"/>
              <w:rPr>
                <w:rFonts w:ascii="Times New Roman" w:hAnsi="Times New Roman" w:cs="Times New Roman"/>
                <w:sz w:val="22"/>
                <w:lang w:eastAsia="en-AU"/>
              </w:rPr>
            </w:pPr>
          </w:p>
        </w:tc>
        <w:tc>
          <w:tcPr>
            <w:tcW w:w="4410" w:type="dxa"/>
            <w:tcBorders>
              <w:top w:val="nil"/>
              <w:left w:val="nil"/>
              <w:bottom w:val="nil"/>
              <w:right w:val="nil"/>
            </w:tcBorders>
            <w:shd w:val="clear" w:color="auto" w:fill="auto"/>
            <w:noWrap/>
            <w:vAlign w:val="center"/>
          </w:tcPr>
          <w:p w14:paraId="6CB2E8B5"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R: CTCAGAGGGCCTTGTGACAGTAA</w:t>
            </w:r>
          </w:p>
        </w:tc>
        <w:tc>
          <w:tcPr>
            <w:tcW w:w="2410" w:type="dxa"/>
            <w:tcBorders>
              <w:top w:val="nil"/>
              <w:left w:val="nil"/>
              <w:bottom w:val="nil"/>
              <w:right w:val="nil"/>
            </w:tcBorders>
            <w:shd w:val="clear" w:color="auto" w:fill="auto"/>
            <w:vAlign w:val="center"/>
          </w:tcPr>
          <w:p w14:paraId="269649D6"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r>
      <w:tr w:rsidR="00D219F6" w:rsidRPr="00C86862" w14:paraId="6513C3FC" w14:textId="77777777" w:rsidTr="003354B9">
        <w:trPr>
          <w:trHeight w:val="339"/>
        </w:trPr>
        <w:tc>
          <w:tcPr>
            <w:tcW w:w="979" w:type="dxa"/>
            <w:tcBorders>
              <w:top w:val="nil"/>
              <w:left w:val="nil"/>
              <w:bottom w:val="nil"/>
              <w:right w:val="nil"/>
            </w:tcBorders>
            <w:shd w:val="clear" w:color="auto" w:fill="auto"/>
            <w:noWrap/>
            <w:vAlign w:val="center"/>
          </w:tcPr>
          <w:p w14:paraId="5AE7A50F" w14:textId="77777777" w:rsidR="00D219F6" w:rsidRPr="00774F9D" w:rsidRDefault="00D219F6" w:rsidP="00C86862">
            <w:pPr>
              <w:spacing w:line="240" w:lineRule="auto"/>
              <w:jc w:val="both"/>
              <w:rPr>
                <w:rFonts w:ascii="Times New Roman" w:hAnsi="Times New Roman" w:cs="Times New Roman"/>
                <w:i/>
                <w:iCs/>
                <w:color w:val="000000"/>
                <w:sz w:val="22"/>
                <w:lang w:eastAsia="en-AU"/>
              </w:rPr>
            </w:pPr>
            <w:r w:rsidRPr="00774F9D">
              <w:rPr>
                <w:rFonts w:ascii="Times New Roman" w:hAnsi="Times New Roman" w:cs="Times New Roman"/>
                <w:i/>
                <w:iCs/>
                <w:color w:val="000000"/>
                <w:sz w:val="22"/>
                <w:lang w:eastAsia="en-AU"/>
              </w:rPr>
              <w:t>TGFB4</w:t>
            </w:r>
          </w:p>
        </w:tc>
        <w:tc>
          <w:tcPr>
            <w:tcW w:w="2043" w:type="dxa"/>
            <w:tcBorders>
              <w:top w:val="nil"/>
              <w:left w:val="nil"/>
              <w:bottom w:val="nil"/>
              <w:right w:val="nil"/>
            </w:tcBorders>
            <w:shd w:val="clear" w:color="auto" w:fill="auto"/>
            <w:vAlign w:val="center"/>
          </w:tcPr>
          <w:p w14:paraId="03B423C5" w14:textId="77777777" w:rsidR="00D219F6" w:rsidRPr="00C86862" w:rsidRDefault="00D219F6" w:rsidP="00C86862">
            <w:pPr>
              <w:spacing w:line="240" w:lineRule="auto"/>
              <w:jc w:val="both"/>
              <w:rPr>
                <w:rFonts w:ascii="Times New Roman" w:hAnsi="Times New Roman" w:cs="Times New Roman"/>
                <w:sz w:val="22"/>
                <w:lang w:eastAsia="en-AU"/>
              </w:rPr>
            </w:pPr>
            <w:r w:rsidRPr="00C86862">
              <w:rPr>
                <w:rFonts w:ascii="Times New Roman" w:hAnsi="Times New Roman" w:cs="Times New Roman"/>
                <w:sz w:val="22"/>
                <w:lang w:eastAsia="en-AU"/>
              </w:rPr>
              <w:t>M31160</w:t>
            </w:r>
          </w:p>
        </w:tc>
        <w:tc>
          <w:tcPr>
            <w:tcW w:w="4410" w:type="dxa"/>
            <w:tcBorders>
              <w:top w:val="nil"/>
              <w:left w:val="nil"/>
              <w:bottom w:val="nil"/>
              <w:right w:val="nil"/>
            </w:tcBorders>
            <w:shd w:val="clear" w:color="auto" w:fill="auto"/>
            <w:noWrap/>
            <w:vAlign w:val="center"/>
          </w:tcPr>
          <w:p w14:paraId="30CCDE96"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F: ACCTCGACACCGACTACTGCTT</w:t>
            </w:r>
          </w:p>
        </w:tc>
        <w:tc>
          <w:tcPr>
            <w:tcW w:w="2410" w:type="dxa"/>
            <w:tcBorders>
              <w:top w:val="nil"/>
              <w:left w:val="nil"/>
              <w:bottom w:val="nil"/>
              <w:right w:val="nil"/>
            </w:tcBorders>
            <w:shd w:val="clear" w:color="auto" w:fill="auto"/>
            <w:vAlign w:val="center"/>
          </w:tcPr>
          <w:p w14:paraId="3E83E5CD" w14:textId="23542287" w:rsidR="00D219F6" w:rsidRPr="00C86862" w:rsidRDefault="00000000" w:rsidP="00C86862">
            <w:pPr>
              <w:spacing w:line="240" w:lineRule="auto"/>
              <w:jc w:val="both"/>
              <w:rPr>
                <w:rFonts w:ascii="Times New Roman" w:hAnsi="Times New Roman" w:cs="Times New Roman"/>
                <w:color w:val="000000"/>
                <w:sz w:val="22"/>
                <w:lang w:eastAsia="en-AU"/>
              </w:rPr>
            </w:pPr>
            <w:sdt>
              <w:sdtPr>
                <w:rPr>
                  <w:rFonts w:ascii="Times New Roman" w:hAnsi="Times New Roman" w:cs="Times New Roman"/>
                  <w:color w:val="000000"/>
                  <w:sz w:val="22"/>
                  <w:lang w:eastAsia="en-AU"/>
                </w:rPr>
                <w:tag w:val="MENDELEY_CITATION_v3_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"/>
                <w:id w:val="-1945457626"/>
                <w:placeholder>
                  <w:docPart w:val="9EC056E606294E0E88D510E5CEE405F4"/>
                </w:placeholder>
              </w:sdtPr>
              <w:sdtContent>
                <w:r w:rsidR="003354B9" w:rsidRPr="00C86862">
                  <w:rPr>
                    <w:rFonts w:ascii="Times New Roman" w:hAnsi="Times New Roman" w:cs="Times New Roman"/>
                    <w:color w:val="000000"/>
                    <w:sz w:val="22"/>
                  </w:rPr>
                  <w:t>(Lammers et al., 2010)</w:t>
                </w:r>
              </w:sdtContent>
            </w:sdt>
          </w:p>
        </w:tc>
      </w:tr>
      <w:tr w:rsidR="00D219F6" w:rsidRPr="00C86862" w14:paraId="1011C019" w14:textId="77777777" w:rsidTr="003354B9">
        <w:trPr>
          <w:trHeight w:val="339"/>
        </w:trPr>
        <w:tc>
          <w:tcPr>
            <w:tcW w:w="979" w:type="dxa"/>
            <w:tcBorders>
              <w:top w:val="nil"/>
              <w:left w:val="nil"/>
              <w:bottom w:val="nil"/>
              <w:right w:val="nil"/>
            </w:tcBorders>
            <w:shd w:val="clear" w:color="auto" w:fill="auto"/>
            <w:noWrap/>
            <w:vAlign w:val="center"/>
          </w:tcPr>
          <w:p w14:paraId="42528492"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c>
          <w:tcPr>
            <w:tcW w:w="2043" w:type="dxa"/>
            <w:tcBorders>
              <w:top w:val="nil"/>
              <w:left w:val="nil"/>
              <w:bottom w:val="nil"/>
              <w:right w:val="nil"/>
            </w:tcBorders>
            <w:shd w:val="clear" w:color="auto" w:fill="auto"/>
            <w:vAlign w:val="center"/>
          </w:tcPr>
          <w:p w14:paraId="72B4AFB3" w14:textId="77777777" w:rsidR="00D219F6" w:rsidRPr="00C86862" w:rsidRDefault="00D219F6" w:rsidP="00C86862">
            <w:pPr>
              <w:spacing w:line="240" w:lineRule="auto"/>
              <w:jc w:val="both"/>
              <w:rPr>
                <w:rFonts w:ascii="Times New Roman" w:hAnsi="Times New Roman" w:cs="Times New Roman"/>
                <w:sz w:val="22"/>
                <w:lang w:eastAsia="en-AU"/>
              </w:rPr>
            </w:pPr>
          </w:p>
        </w:tc>
        <w:tc>
          <w:tcPr>
            <w:tcW w:w="4410" w:type="dxa"/>
            <w:tcBorders>
              <w:top w:val="nil"/>
              <w:left w:val="nil"/>
              <w:bottom w:val="nil"/>
              <w:right w:val="nil"/>
            </w:tcBorders>
            <w:shd w:val="clear" w:color="auto" w:fill="auto"/>
            <w:noWrap/>
            <w:vAlign w:val="center"/>
          </w:tcPr>
          <w:p w14:paraId="18C55DFE"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R: ATCCTTGCGGAAGTCGATGT</w:t>
            </w:r>
          </w:p>
        </w:tc>
        <w:tc>
          <w:tcPr>
            <w:tcW w:w="2410" w:type="dxa"/>
            <w:tcBorders>
              <w:top w:val="nil"/>
              <w:left w:val="nil"/>
              <w:bottom w:val="nil"/>
              <w:right w:val="nil"/>
            </w:tcBorders>
            <w:shd w:val="clear" w:color="auto" w:fill="auto"/>
            <w:vAlign w:val="center"/>
          </w:tcPr>
          <w:p w14:paraId="66B38567"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r>
      <w:tr w:rsidR="00D219F6" w:rsidRPr="00C86862" w14:paraId="178637DD" w14:textId="77777777" w:rsidTr="003354B9">
        <w:trPr>
          <w:trHeight w:val="339"/>
        </w:trPr>
        <w:tc>
          <w:tcPr>
            <w:tcW w:w="979" w:type="dxa"/>
            <w:tcBorders>
              <w:top w:val="nil"/>
              <w:left w:val="nil"/>
              <w:right w:val="nil"/>
            </w:tcBorders>
            <w:shd w:val="clear" w:color="auto" w:fill="auto"/>
            <w:noWrap/>
            <w:vAlign w:val="center"/>
            <w:hideMark/>
          </w:tcPr>
          <w:p w14:paraId="14034658" w14:textId="77777777" w:rsidR="00D219F6" w:rsidRPr="00774F9D" w:rsidRDefault="00D219F6" w:rsidP="00C86862">
            <w:pPr>
              <w:spacing w:line="240" w:lineRule="auto"/>
              <w:jc w:val="both"/>
              <w:rPr>
                <w:rFonts w:ascii="Times New Roman" w:hAnsi="Times New Roman" w:cs="Times New Roman"/>
                <w:i/>
                <w:iCs/>
                <w:color w:val="000000"/>
                <w:sz w:val="22"/>
                <w:lang w:eastAsia="en-AU"/>
              </w:rPr>
            </w:pPr>
            <w:r w:rsidRPr="00774F9D">
              <w:rPr>
                <w:rFonts w:ascii="Times New Roman" w:hAnsi="Times New Roman" w:cs="Times New Roman"/>
                <w:i/>
                <w:iCs/>
                <w:color w:val="000000"/>
                <w:sz w:val="22"/>
                <w:lang w:eastAsia="en-AU"/>
              </w:rPr>
              <w:t>TNFA</w:t>
            </w:r>
          </w:p>
        </w:tc>
        <w:tc>
          <w:tcPr>
            <w:tcW w:w="2043" w:type="dxa"/>
            <w:tcBorders>
              <w:top w:val="nil"/>
              <w:left w:val="nil"/>
              <w:right w:val="nil"/>
            </w:tcBorders>
            <w:shd w:val="clear" w:color="auto" w:fill="auto"/>
            <w:vAlign w:val="center"/>
            <w:hideMark/>
          </w:tcPr>
          <w:p w14:paraId="5CAE477A" w14:textId="77777777" w:rsidR="00D219F6" w:rsidRPr="00C86862" w:rsidRDefault="00D219F6" w:rsidP="00C86862">
            <w:pPr>
              <w:spacing w:line="240" w:lineRule="auto"/>
              <w:jc w:val="both"/>
              <w:rPr>
                <w:rFonts w:ascii="Times New Roman" w:hAnsi="Times New Roman" w:cs="Times New Roman"/>
                <w:sz w:val="22"/>
                <w:lang w:eastAsia="en-AU"/>
              </w:rPr>
            </w:pPr>
            <w:r w:rsidRPr="00C86862">
              <w:rPr>
                <w:rFonts w:ascii="Times New Roman" w:hAnsi="Times New Roman" w:cs="Times New Roman"/>
                <w:sz w:val="22"/>
                <w:lang w:eastAsia="en-AU"/>
              </w:rPr>
              <w:t>XM_046927265.1</w:t>
            </w:r>
          </w:p>
        </w:tc>
        <w:tc>
          <w:tcPr>
            <w:tcW w:w="4410" w:type="dxa"/>
            <w:tcBorders>
              <w:top w:val="nil"/>
              <w:left w:val="nil"/>
              <w:right w:val="nil"/>
            </w:tcBorders>
            <w:shd w:val="clear" w:color="auto" w:fill="auto"/>
            <w:noWrap/>
            <w:vAlign w:val="center"/>
            <w:hideMark/>
          </w:tcPr>
          <w:p w14:paraId="24F9054A"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F: CCCCTACCCTGTCCCACAA</w:t>
            </w:r>
          </w:p>
        </w:tc>
        <w:tc>
          <w:tcPr>
            <w:tcW w:w="2410" w:type="dxa"/>
            <w:tcBorders>
              <w:top w:val="nil"/>
              <w:left w:val="nil"/>
              <w:right w:val="nil"/>
            </w:tcBorders>
            <w:shd w:val="clear" w:color="auto" w:fill="auto"/>
            <w:vAlign w:val="center"/>
            <w:hideMark/>
          </w:tcPr>
          <w:p w14:paraId="004CA5ED" w14:textId="494412A9" w:rsidR="00D219F6" w:rsidRPr="00C86862" w:rsidRDefault="00000000" w:rsidP="00C86862">
            <w:pPr>
              <w:spacing w:line="240" w:lineRule="auto"/>
              <w:jc w:val="both"/>
              <w:rPr>
                <w:rFonts w:ascii="Times New Roman" w:hAnsi="Times New Roman" w:cs="Times New Roman"/>
                <w:color w:val="000000"/>
                <w:sz w:val="22"/>
                <w:lang w:eastAsia="en-AU"/>
              </w:rPr>
            </w:pPr>
            <w:sdt>
              <w:sdtPr>
                <w:rPr>
                  <w:rFonts w:ascii="Times New Roman" w:hAnsi="Times New Roman" w:cs="Times New Roman"/>
                  <w:color w:val="000000"/>
                  <w:sz w:val="22"/>
                  <w:lang w:eastAsia="en-AU"/>
                </w:rPr>
                <w:tag w:val="MENDELEY_CITATION_v3_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"/>
                <w:id w:val="-575978112"/>
                <w:placeholder>
                  <w:docPart w:val="BE077FEE76C04FDBAFB54CA37005D05E"/>
                </w:placeholder>
              </w:sdtPr>
              <w:sdtContent>
                <w:r w:rsidR="003354B9" w:rsidRPr="00C86862">
                  <w:rPr>
                    <w:rFonts w:ascii="Times New Roman" w:hAnsi="Times New Roman" w:cs="Times New Roman"/>
                    <w:color w:val="000000"/>
                    <w:sz w:val="22"/>
                  </w:rPr>
                  <w:t>(Liu et al., 2019)</w:t>
                </w:r>
              </w:sdtContent>
            </w:sdt>
          </w:p>
        </w:tc>
      </w:tr>
      <w:tr w:rsidR="00D219F6" w:rsidRPr="00C86862" w14:paraId="1B2C94DC" w14:textId="77777777" w:rsidTr="003354B9">
        <w:trPr>
          <w:trHeight w:val="339"/>
        </w:trPr>
        <w:tc>
          <w:tcPr>
            <w:tcW w:w="979" w:type="dxa"/>
            <w:tcBorders>
              <w:top w:val="nil"/>
              <w:left w:val="nil"/>
              <w:bottom w:val="single" w:sz="4" w:space="0" w:color="auto"/>
              <w:right w:val="nil"/>
            </w:tcBorders>
            <w:shd w:val="clear" w:color="auto" w:fill="auto"/>
            <w:noWrap/>
            <w:vAlign w:val="center"/>
            <w:hideMark/>
          </w:tcPr>
          <w:p w14:paraId="1319C6B2"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c>
          <w:tcPr>
            <w:tcW w:w="2043" w:type="dxa"/>
            <w:tcBorders>
              <w:top w:val="nil"/>
              <w:left w:val="nil"/>
              <w:bottom w:val="single" w:sz="4" w:space="0" w:color="auto"/>
              <w:right w:val="nil"/>
            </w:tcBorders>
            <w:shd w:val="clear" w:color="auto" w:fill="auto"/>
            <w:vAlign w:val="center"/>
            <w:hideMark/>
          </w:tcPr>
          <w:p w14:paraId="5EE85F5A" w14:textId="77777777" w:rsidR="00D219F6" w:rsidRPr="00C86862" w:rsidRDefault="00D219F6" w:rsidP="00C86862">
            <w:pPr>
              <w:spacing w:line="240" w:lineRule="auto"/>
              <w:jc w:val="both"/>
              <w:rPr>
                <w:rFonts w:ascii="Times New Roman" w:hAnsi="Times New Roman" w:cs="Times New Roman"/>
                <w:sz w:val="22"/>
                <w:lang w:eastAsia="en-AU"/>
              </w:rPr>
            </w:pPr>
          </w:p>
        </w:tc>
        <w:tc>
          <w:tcPr>
            <w:tcW w:w="4410" w:type="dxa"/>
            <w:tcBorders>
              <w:top w:val="nil"/>
              <w:left w:val="nil"/>
              <w:bottom w:val="single" w:sz="4" w:space="0" w:color="auto"/>
              <w:right w:val="nil"/>
            </w:tcBorders>
            <w:shd w:val="clear" w:color="auto" w:fill="auto"/>
            <w:noWrap/>
            <w:vAlign w:val="center"/>
            <w:hideMark/>
          </w:tcPr>
          <w:p w14:paraId="139EF70A" w14:textId="77777777" w:rsidR="00D219F6" w:rsidRPr="00C86862" w:rsidRDefault="00D219F6" w:rsidP="00C86862">
            <w:pPr>
              <w:spacing w:line="240" w:lineRule="auto"/>
              <w:jc w:val="both"/>
              <w:rPr>
                <w:rFonts w:ascii="Times New Roman" w:hAnsi="Times New Roman" w:cs="Times New Roman"/>
                <w:color w:val="000000"/>
                <w:sz w:val="22"/>
                <w:lang w:eastAsia="en-AU"/>
              </w:rPr>
            </w:pPr>
            <w:r w:rsidRPr="00C86862">
              <w:rPr>
                <w:rFonts w:ascii="Times New Roman" w:hAnsi="Times New Roman" w:cs="Times New Roman"/>
                <w:color w:val="000000"/>
                <w:sz w:val="22"/>
                <w:lang w:eastAsia="en-AU"/>
              </w:rPr>
              <w:t>R: TGAGTACTGCGGAGGGTTCAT</w:t>
            </w:r>
          </w:p>
        </w:tc>
        <w:tc>
          <w:tcPr>
            <w:tcW w:w="2410" w:type="dxa"/>
            <w:tcBorders>
              <w:top w:val="nil"/>
              <w:left w:val="nil"/>
              <w:bottom w:val="single" w:sz="4" w:space="0" w:color="auto"/>
              <w:right w:val="nil"/>
            </w:tcBorders>
            <w:shd w:val="clear" w:color="auto" w:fill="auto"/>
            <w:vAlign w:val="center"/>
            <w:hideMark/>
          </w:tcPr>
          <w:p w14:paraId="5478038A" w14:textId="77777777" w:rsidR="00D219F6" w:rsidRPr="00C86862" w:rsidRDefault="00D219F6" w:rsidP="00C86862">
            <w:pPr>
              <w:spacing w:line="240" w:lineRule="auto"/>
              <w:jc w:val="both"/>
              <w:rPr>
                <w:rFonts w:ascii="Times New Roman" w:hAnsi="Times New Roman" w:cs="Times New Roman"/>
                <w:color w:val="000000"/>
                <w:sz w:val="22"/>
                <w:lang w:eastAsia="en-AU"/>
              </w:rPr>
            </w:pPr>
          </w:p>
        </w:tc>
      </w:tr>
    </w:tbl>
    <w:p w14:paraId="18577997" w14:textId="3A32FC0A" w:rsidR="00D219F6" w:rsidRPr="00774F9D" w:rsidRDefault="00D219F6" w:rsidP="00774F9D">
      <w:pPr>
        <w:tabs>
          <w:tab w:val="left" w:pos="1005"/>
        </w:tabs>
        <w:spacing w:after="0" w:line="360" w:lineRule="auto"/>
        <w:jc w:val="both"/>
        <w:rPr>
          <w:rFonts w:ascii="Times New Roman" w:eastAsiaTheme="minorEastAsia" w:hAnsi="Times New Roman" w:cs="Times New Roman" w:hint="eastAsia"/>
          <w:color w:val="000000"/>
          <w:sz w:val="20"/>
          <w:szCs w:val="20"/>
          <w:lang w:eastAsia="zh-CN"/>
        </w:rPr>
      </w:pPr>
      <w:r w:rsidRPr="00774F9D">
        <w:rPr>
          <w:rFonts w:ascii="Times New Roman" w:hAnsi="Times New Roman" w:cs="Times New Roman"/>
          <w:i/>
          <w:iCs/>
          <w:color w:val="000000"/>
          <w:sz w:val="20"/>
          <w:szCs w:val="20"/>
          <w:lang w:eastAsia="en-AU"/>
        </w:rPr>
        <w:t>BACT</w:t>
      </w:r>
      <w:r w:rsidRPr="00774F9D">
        <w:rPr>
          <w:rFonts w:ascii="Times New Roman" w:hAnsi="Times New Roman" w:cs="Times New Roman"/>
          <w:color w:val="000000"/>
          <w:sz w:val="20"/>
          <w:szCs w:val="20"/>
          <w:lang w:eastAsia="en-AU"/>
        </w:rPr>
        <w:t xml:space="preserve"> β-</w:t>
      </w:r>
      <w:r w:rsidR="00774F9D" w:rsidRPr="00774F9D">
        <w:rPr>
          <w:rFonts w:ascii="Times New Roman" w:eastAsiaTheme="minorEastAsia" w:hAnsi="Times New Roman" w:cs="Times New Roman" w:hint="eastAsia"/>
          <w:color w:val="000000"/>
          <w:sz w:val="20"/>
          <w:szCs w:val="20"/>
          <w:lang w:eastAsia="zh-CN"/>
        </w:rPr>
        <w:t>A</w:t>
      </w:r>
      <w:r w:rsidRPr="00774F9D">
        <w:rPr>
          <w:rFonts w:ascii="Times New Roman" w:hAnsi="Times New Roman" w:cs="Times New Roman"/>
          <w:color w:val="000000"/>
          <w:sz w:val="20"/>
          <w:szCs w:val="20"/>
          <w:lang w:eastAsia="en-AU"/>
        </w:rPr>
        <w:t>ctin</w:t>
      </w:r>
      <w:r w:rsidR="00774F9D" w:rsidRPr="00774F9D">
        <w:rPr>
          <w:rFonts w:ascii="Times New Roman" w:eastAsiaTheme="minorEastAsia" w:hAnsi="Times New Roman" w:cs="Times New Roman" w:hint="eastAsia"/>
          <w:color w:val="000000"/>
          <w:sz w:val="20"/>
          <w:szCs w:val="20"/>
          <w:lang w:eastAsia="zh-CN"/>
        </w:rPr>
        <w:t>,</w:t>
      </w:r>
      <w:r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i/>
          <w:iCs/>
          <w:color w:val="000000"/>
          <w:sz w:val="20"/>
          <w:szCs w:val="20"/>
          <w:lang w:eastAsia="en-AU"/>
        </w:rPr>
        <w:t>CD3D</w:t>
      </w:r>
      <w:r w:rsidR="001651B7"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color w:val="000000"/>
          <w:sz w:val="20"/>
          <w:szCs w:val="20"/>
          <w:lang w:eastAsia="en-AU"/>
        </w:rPr>
        <w:t>CD3 δ subunit of T-cell Receptor Complex</w:t>
      </w:r>
      <w:r w:rsidR="00774F9D" w:rsidRP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i/>
          <w:iCs/>
          <w:color w:val="000000"/>
          <w:sz w:val="20"/>
          <w:szCs w:val="20"/>
          <w:lang w:eastAsia="en-AU"/>
        </w:rPr>
        <w:t>IL8L1</w:t>
      </w:r>
      <w:r w:rsidR="001651B7"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color w:val="000000"/>
          <w:sz w:val="20"/>
          <w:szCs w:val="20"/>
          <w:lang w:eastAsia="en-AU"/>
        </w:rPr>
        <w:t>Interleukin 8</w:t>
      </w:r>
      <w:r w:rsidR="00774F9D" w:rsidRPr="00774F9D">
        <w:rPr>
          <w:rFonts w:ascii="Times New Roman" w:eastAsiaTheme="minorEastAsia" w:hAnsi="Times New Roman" w:cs="Times New Roman" w:hint="eastAsia"/>
          <w:color w:val="000000"/>
          <w:sz w:val="20"/>
          <w:szCs w:val="20"/>
          <w:lang w:eastAsia="zh-CN"/>
        </w:rPr>
        <w:t>,</w:t>
      </w:r>
      <w:r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i/>
          <w:iCs/>
          <w:color w:val="000000"/>
          <w:sz w:val="20"/>
          <w:szCs w:val="20"/>
          <w:lang w:eastAsia="en-AU"/>
        </w:rPr>
        <w:t>NFKB</w:t>
      </w:r>
      <w:r w:rsidR="001651B7"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color w:val="000000"/>
          <w:sz w:val="20"/>
          <w:szCs w:val="20"/>
          <w:lang w:eastAsia="en-AU"/>
        </w:rPr>
        <w:t xml:space="preserve">Nuclear factor </w:t>
      </w:r>
      <w:proofErr w:type="spellStart"/>
      <w:r w:rsidRPr="00774F9D">
        <w:rPr>
          <w:rFonts w:ascii="Times New Roman" w:hAnsi="Times New Roman" w:cs="Times New Roman"/>
          <w:color w:val="000000"/>
          <w:sz w:val="20"/>
          <w:szCs w:val="20"/>
          <w:lang w:eastAsia="en-AU"/>
        </w:rPr>
        <w:t>κB</w:t>
      </w:r>
      <w:proofErr w:type="spellEnd"/>
      <w:r w:rsidR="00774F9D" w:rsidRPr="00774F9D">
        <w:rPr>
          <w:rFonts w:ascii="Times New Roman" w:eastAsiaTheme="minorEastAsia" w:hAnsi="Times New Roman" w:cs="Times New Roman" w:hint="eastAsia"/>
          <w:color w:val="000000"/>
          <w:sz w:val="20"/>
          <w:szCs w:val="20"/>
          <w:lang w:eastAsia="zh-CN"/>
        </w:rPr>
        <w:t>,</w:t>
      </w:r>
      <w:r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i/>
          <w:iCs/>
          <w:color w:val="000000"/>
          <w:sz w:val="20"/>
          <w:szCs w:val="20"/>
          <w:lang w:eastAsia="en-AU"/>
        </w:rPr>
        <w:t>TGFB4</w:t>
      </w:r>
      <w:r w:rsidR="001651B7"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color w:val="000000"/>
          <w:sz w:val="20"/>
          <w:szCs w:val="20"/>
          <w:lang w:eastAsia="en-AU"/>
        </w:rPr>
        <w:t>Transforming growth factor β</w:t>
      </w:r>
      <w:r w:rsidR="00774F9D" w:rsidRPr="00774F9D">
        <w:rPr>
          <w:rFonts w:ascii="Times New Roman" w:eastAsiaTheme="minorEastAsia" w:hAnsi="Times New Roman" w:cs="Times New Roman" w:hint="eastAsia"/>
          <w:color w:val="000000"/>
          <w:sz w:val="20"/>
          <w:szCs w:val="20"/>
          <w:lang w:eastAsia="zh-CN"/>
        </w:rPr>
        <w:t>,</w:t>
      </w:r>
      <w:r w:rsidRPr="00774F9D">
        <w:rPr>
          <w:rFonts w:ascii="Times New Roman" w:hAnsi="Times New Roman" w:cs="Times New Roman"/>
          <w:color w:val="000000"/>
          <w:sz w:val="20"/>
          <w:szCs w:val="20"/>
          <w:lang w:eastAsia="en-AU"/>
        </w:rPr>
        <w:t xml:space="preserve"> </w:t>
      </w:r>
      <w:r w:rsidRPr="00774F9D">
        <w:rPr>
          <w:rFonts w:ascii="Times New Roman" w:hAnsi="Times New Roman" w:cs="Times New Roman"/>
          <w:i/>
          <w:iCs/>
          <w:color w:val="000000"/>
          <w:sz w:val="20"/>
          <w:szCs w:val="20"/>
          <w:lang w:eastAsia="en-AU"/>
        </w:rPr>
        <w:t>TNFA</w:t>
      </w:r>
      <w:r w:rsidR="001651B7" w:rsidRPr="00774F9D">
        <w:rPr>
          <w:rFonts w:ascii="Times New Roman" w:hAnsi="Times New Roman" w:cs="Times New Roman"/>
          <w:color w:val="000000"/>
          <w:sz w:val="20"/>
          <w:szCs w:val="20"/>
          <w:lang w:eastAsia="en-AU"/>
        </w:rPr>
        <w:t xml:space="preserve"> </w:t>
      </w:r>
      <w:proofErr w:type="spellStart"/>
      <w:r w:rsidRPr="00774F9D">
        <w:rPr>
          <w:rFonts w:ascii="Times New Roman" w:hAnsi="Times New Roman" w:cs="Times New Roman"/>
          <w:color w:val="000000"/>
          <w:sz w:val="20"/>
          <w:szCs w:val="20"/>
          <w:lang w:eastAsia="en-AU"/>
        </w:rPr>
        <w:t>Tumor</w:t>
      </w:r>
      <w:proofErr w:type="spellEnd"/>
      <w:r w:rsidRPr="00774F9D">
        <w:rPr>
          <w:rFonts w:ascii="Times New Roman" w:hAnsi="Times New Roman" w:cs="Times New Roman"/>
          <w:color w:val="000000"/>
          <w:sz w:val="20"/>
          <w:szCs w:val="20"/>
          <w:lang w:eastAsia="en-AU"/>
        </w:rPr>
        <w:t xml:space="preserve"> necrosis factor α</w:t>
      </w:r>
    </w:p>
    <w:p w14:paraId="6EE05C23" w14:textId="6CF05FFF" w:rsidR="00D219F6" w:rsidRPr="00774F9D" w:rsidRDefault="001651B7" w:rsidP="00774F9D">
      <w:pPr>
        <w:spacing w:after="0" w:line="360" w:lineRule="auto"/>
        <w:rPr>
          <w:rFonts w:ascii="Times New Roman" w:hAnsi="Times New Roman" w:cs="Times New Roman"/>
          <w:color w:val="000000"/>
          <w:sz w:val="20"/>
          <w:szCs w:val="20"/>
          <w:lang w:eastAsia="en-AU"/>
        </w:rPr>
        <w:sectPr w:rsidR="00D219F6" w:rsidRPr="00774F9D" w:rsidSect="0036229B">
          <w:pgSz w:w="11906" w:h="16838"/>
          <w:pgMar w:top="1440" w:right="1440" w:bottom="1440" w:left="1440" w:header="709" w:footer="709" w:gutter="0"/>
          <w:cols w:space="708"/>
          <w:docGrid w:linePitch="360"/>
        </w:sectPr>
      </w:pPr>
      <w:r w:rsidRPr="00774F9D">
        <w:rPr>
          <w:rFonts w:ascii="Times New Roman" w:hAnsi="Times New Roman" w:cs="Times New Roman"/>
          <w:color w:val="000000"/>
          <w:sz w:val="20"/>
          <w:szCs w:val="20"/>
          <w:vertAlign w:val="superscript"/>
          <w:lang w:eastAsia="en-AU"/>
        </w:rPr>
        <w:t>1</w:t>
      </w:r>
      <w:r w:rsidR="00D219F6" w:rsidRPr="00774F9D">
        <w:rPr>
          <w:rFonts w:ascii="Times New Roman" w:hAnsi="Times New Roman" w:cs="Times New Roman"/>
          <w:color w:val="000000"/>
          <w:sz w:val="20"/>
          <w:szCs w:val="20"/>
          <w:lang w:eastAsia="en-AU"/>
        </w:rPr>
        <w:t>F</w:t>
      </w:r>
      <w:r w:rsidR="00774F9D" w:rsidRPr="00774F9D">
        <w:rPr>
          <w:rFonts w:ascii="Times New Roman" w:hAnsi="Times New Roman" w:cs="Times New Roman" w:hint="eastAsia"/>
          <w:color w:val="000000"/>
          <w:sz w:val="20"/>
          <w:szCs w:val="20"/>
          <w:lang w:eastAsia="en-AU"/>
        </w:rPr>
        <w:t>:</w:t>
      </w:r>
      <w:r w:rsidR="00D219F6" w:rsidRPr="00774F9D">
        <w:rPr>
          <w:rFonts w:ascii="Times New Roman" w:hAnsi="Times New Roman" w:cs="Times New Roman"/>
          <w:color w:val="000000"/>
          <w:sz w:val="20"/>
          <w:szCs w:val="20"/>
          <w:lang w:eastAsia="en-AU"/>
        </w:rPr>
        <w:t xml:space="preserve"> forward primer; R reverse primer </w:t>
      </w:r>
    </w:p>
    <w:p w14:paraId="303B9317" w14:textId="77777777" w:rsidR="00D219F6" w:rsidRPr="00C86862" w:rsidRDefault="00D219F6" w:rsidP="00C86862">
      <w:pPr>
        <w:tabs>
          <w:tab w:val="left" w:pos="2461"/>
        </w:tabs>
        <w:spacing w:after="120"/>
        <w:jc w:val="both"/>
        <w:rPr>
          <w:rFonts w:ascii="Times New Roman" w:hAnsi="Times New Roman" w:cs="Times New Roman"/>
          <w:b/>
        </w:rPr>
      </w:pPr>
      <w:r w:rsidRPr="00C86862">
        <w:rPr>
          <w:rFonts w:ascii="Times New Roman" w:hAnsi="Times New Roman" w:cs="Times New Roman"/>
          <w:noProof/>
          <w:lang w:val="en-PH" w:eastAsia="en-PH"/>
        </w:rPr>
        <w:lastRenderedPageBreak/>
        <w:drawing>
          <wp:inline distT="0" distB="0" distL="0" distR="0" wp14:anchorId="2671A092" wp14:editId="7029D69B">
            <wp:extent cx="4330385" cy="3312089"/>
            <wp:effectExtent l="0" t="0" r="0" b="3175"/>
            <wp:docPr id="1" name="Picture 1" descr="A graph with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with dots and line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330385" cy="3312089"/>
                    </a:xfrm>
                    <a:prstGeom prst="rect">
                      <a:avLst/>
                    </a:prstGeom>
                    <a:noFill/>
                  </pic:spPr>
                </pic:pic>
              </a:graphicData>
            </a:graphic>
          </wp:inline>
        </w:drawing>
      </w:r>
    </w:p>
    <w:p w14:paraId="7886B43E" w14:textId="6C931EEE" w:rsidR="00D219F6" w:rsidRPr="00C86862" w:rsidRDefault="00D219F6" w:rsidP="00C86862">
      <w:pPr>
        <w:jc w:val="both"/>
        <w:rPr>
          <w:rFonts w:ascii="Times New Roman" w:hAnsi="Times New Roman" w:cs="Times New Roman"/>
        </w:rPr>
      </w:pPr>
      <w:r w:rsidRPr="00774F9D">
        <w:rPr>
          <w:rFonts w:ascii="Times New Roman" w:hAnsi="Times New Roman" w:cs="Times New Roman"/>
          <w:b/>
          <w:bCs/>
        </w:rPr>
        <w:t>Fig</w:t>
      </w:r>
      <w:r w:rsidR="008F1AF1" w:rsidRPr="00774F9D">
        <w:rPr>
          <w:rFonts w:ascii="Times New Roman" w:hAnsi="Times New Roman" w:cs="Times New Roman"/>
          <w:b/>
          <w:bCs/>
        </w:rPr>
        <w:t>.</w:t>
      </w:r>
      <w:r w:rsidRPr="00774F9D">
        <w:rPr>
          <w:rFonts w:ascii="Times New Roman" w:hAnsi="Times New Roman" w:cs="Times New Roman"/>
          <w:b/>
          <w:bCs/>
        </w:rPr>
        <w:t xml:space="preserve"> S1</w:t>
      </w:r>
      <w:r w:rsidRPr="00C86862">
        <w:rPr>
          <w:rFonts w:ascii="Times New Roman" w:hAnsi="Times New Roman" w:cs="Times New Roman"/>
        </w:rPr>
        <w:t xml:space="preserve"> Correlation between gene expression level of 6 candidate genes, using RNAseq and qPCR. Ct: CT value; FPKM: Fragments Per Kilobase of transcript per Million mapped reads. The results showed a high correlation coefficient (-0.93; </w:t>
      </w:r>
      <w:r w:rsidRPr="00774F9D">
        <w:rPr>
          <w:rFonts w:ascii="Times New Roman" w:hAnsi="Times New Roman" w:cs="Times New Roman"/>
          <w:i/>
          <w:iCs/>
        </w:rPr>
        <w:t>P</w:t>
      </w:r>
      <w:r w:rsidRPr="00C86862">
        <w:rPr>
          <w:rFonts w:ascii="Times New Roman" w:hAnsi="Times New Roman" w:cs="Times New Roman"/>
        </w:rPr>
        <w:t xml:space="preserve"> &lt; 0.0001) between gene expression of these genes measured using qPCR (Ct value) and RNAseq (RPKM)</w:t>
      </w:r>
      <w:r w:rsidRPr="00C86862">
        <w:rPr>
          <w:rFonts w:ascii="Times New Roman" w:hAnsi="Times New Roman" w:cs="Times New Roman"/>
        </w:rPr>
        <w:br w:type="page"/>
      </w:r>
    </w:p>
    <w:p w14:paraId="62BD9506" w14:textId="63264A48" w:rsidR="00D219F6" w:rsidRPr="00774F9D" w:rsidRDefault="00D219F6" w:rsidP="00C86862">
      <w:pPr>
        <w:rPr>
          <w:rFonts w:ascii="Times New Roman" w:hAnsi="Times New Roman" w:cs="Times New Roman"/>
          <w:b/>
          <w:bCs/>
        </w:rPr>
      </w:pPr>
      <w:r w:rsidRPr="00774F9D">
        <w:rPr>
          <w:rFonts w:ascii="Times New Roman" w:hAnsi="Times New Roman" w:cs="Times New Roman"/>
          <w:b/>
          <w:bCs/>
        </w:rPr>
        <w:lastRenderedPageBreak/>
        <w:t xml:space="preserve">Supplementary </w:t>
      </w:r>
      <w:r w:rsidR="00774F9D">
        <w:rPr>
          <w:rFonts w:ascii="Times New Roman" w:eastAsiaTheme="minorEastAsia" w:hAnsi="Times New Roman" w:cs="Times New Roman" w:hint="eastAsia"/>
          <w:b/>
          <w:bCs/>
          <w:lang w:eastAsia="zh-CN"/>
        </w:rPr>
        <w:t>r</w:t>
      </w:r>
      <w:r w:rsidRPr="00774F9D">
        <w:rPr>
          <w:rFonts w:ascii="Times New Roman" w:hAnsi="Times New Roman" w:cs="Times New Roman"/>
          <w:b/>
          <w:bCs/>
        </w:rPr>
        <w:t>esults</w:t>
      </w:r>
    </w:p>
    <w:p w14:paraId="1E0AF39A" w14:textId="328A558B" w:rsidR="00D219F6" w:rsidRPr="00774F9D" w:rsidRDefault="00D219F6" w:rsidP="00774F9D">
      <w:pPr>
        <w:spacing w:after="0" w:line="360" w:lineRule="auto"/>
        <w:rPr>
          <w:rFonts w:ascii="Times New Roman" w:eastAsiaTheme="minorEastAsia" w:hAnsi="Times New Roman" w:cs="Times New Roman" w:hint="eastAsia"/>
          <w:lang w:eastAsia="zh-CN"/>
        </w:rPr>
      </w:pPr>
      <w:r w:rsidRPr="00774F9D">
        <w:rPr>
          <w:rFonts w:ascii="Times New Roman" w:hAnsi="Times New Roman" w:cs="Times New Roman"/>
          <w:b/>
          <w:bCs/>
        </w:rPr>
        <w:t>Table S2</w:t>
      </w:r>
      <w:r w:rsidRPr="00C86862">
        <w:rPr>
          <w:rFonts w:ascii="Times New Roman" w:hAnsi="Times New Roman" w:cs="Times New Roman"/>
        </w:rPr>
        <w:t xml:space="preserve"> Differentially expressed genes in the yolk sac of broiler embryos at embryonic day 19.5, affected by in ovo delivery of carvacrol with a false discovery rate (FDR) of &lt; 0.10</w:t>
      </w:r>
    </w:p>
    <w:tbl>
      <w:tblPr>
        <w:tblW w:w="9244" w:type="dxa"/>
        <w:tblLook w:val="04A0" w:firstRow="1" w:lastRow="0" w:firstColumn="1" w:lastColumn="0" w:noHBand="0" w:noVBand="1"/>
      </w:tblPr>
      <w:tblGrid>
        <w:gridCol w:w="1701"/>
        <w:gridCol w:w="1340"/>
        <w:gridCol w:w="1156"/>
        <w:gridCol w:w="2616"/>
        <w:gridCol w:w="2431"/>
      </w:tblGrid>
      <w:tr w:rsidR="00D219F6" w:rsidRPr="00C86862" w14:paraId="116A380B" w14:textId="77777777" w:rsidTr="00914422">
        <w:trPr>
          <w:trHeight w:val="340"/>
        </w:trPr>
        <w:tc>
          <w:tcPr>
            <w:tcW w:w="1701" w:type="dxa"/>
            <w:tcBorders>
              <w:top w:val="single" w:sz="4" w:space="0" w:color="auto"/>
              <w:left w:val="nil"/>
              <w:bottom w:val="single" w:sz="4" w:space="0" w:color="auto"/>
              <w:right w:val="nil"/>
            </w:tcBorders>
            <w:shd w:val="clear" w:color="auto" w:fill="auto"/>
            <w:noWrap/>
            <w:hideMark/>
          </w:tcPr>
          <w:p w14:paraId="25302E6B" w14:textId="632A8EC4" w:rsidR="00D219F6" w:rsidRPr="00774F9D" w:rsidRDefault="00D219F6" w:rsidP="00C86862">
            <w:pPr>
              <w:spacing w:line="240" w:lineRule="auto"/>
              <w:rPr>
                <w:rFonts w:ascii="Times New Roman" w:hAnsi="Times New Roman" w:cs="Times New Roman"/>
                <w:b/>
                <w:bCs/>
                <w:sz w:val="22"/>
                <w:vertAlign w:val="superscript"/>
              </w:rPr>
            </w:pPr>
            <w:r w:rsidRPr="00774F9D">
              <w:rPr>
                <w:rFonts w:ascii="Times New Roman" w:hAnsi="Times New Roman" w:cs="Times New Roman"/>
                <w:b/>
                <w:bCs/>
                <w:sz w:val="22"/>
              </w:rPr>
              <w:t>Gene</w:t>
            </w:r>
          </w:p>
        </w:tc>
        <w:tc>
          <w:tcPr>
            <w:tcW w:w="1340" w:type="dxa"/>
            <w:tcBorders>
              <w:top w:val="single" w:sz="4" w:space="0" w:color="auto"/>
              <w:left w:val="nil"/>
              <w:bottom w:val="single" w:sz="4" w:space="0" w:color="auto"/>
              <w:right w:val="nil"/>
            </w:tcBorders>
            <w:shd w:val="clear" w:color="auto" w:fill="auto"/>
            <w:noWrap/>
            <w:hideMark/>
          </w:tcPr>
          <w:p w14:paraId="44717FAF" w14:textId="77777777" w:rsidR="00D219F6" w:rsidRPr="00774F9D" w:rsidRDefault="00D219F6" w:rsidP="00C86862">
            <w:pPr>
              <w:spacing w:line="240" w:lineRule="auto"/>
              <w:rPr>
                <w:rFonts w:ascii="Times New Roman" w:hAnsi="Times New Roman" w:cs="Times New Roman"/>
                <w:b/>
                <w:bCs/>
                <w:sz w:val="22"/>
              </w:rPr>
            </w:pPr>
            <w:r w:rsidRPr="00774F9D">
              <w:rPr>
                <w:rFonts w:ascii="Times New Roman" w:hAnsi="Times New Roman" w:cs="Times New Roman"/>
                <w:b/>
                <w:bCs/>
                <w:sz w:val="22"/>
              </w:rPr>
              <w:t>Log Fold Change</w:t>
            </w:r>
          </w:p>
        </w:tc>
        <w:tc>
          <w:tcPr>
            <w:tcW w:w="1156" w:type="dxa"/>
            <w:tcBorders>
              <w:top w:val="single" w:sz="4" w:space="0" w:color="auto"/>
              <w:left w:val="nil"/>
              <w:bottom w:val="single" w:sz="4" w:space="0" w:color="auto"/>
              <w:right w:val="nil"/>
            </w:tcBorders>
            <w:shd w:val="clear" w:color="auto" w:fill="auto"/>
            <w:noWrap/>
            <w:hideMark/>
          </w:tcPr>
          <w:p w14:paraId="513C3AFC" w14:textId="77777777" w:rsidR="00D219F6" w:rsidRPr="00774F9D" w:rsidRDefault="00D219F6" w:rsidP="00C86862">
            <w:pPr>
              <w:spacing w:line="240" w:lineRule="auto"/>
              <w:rPr>
                <w:rFonts w:ascii="Times New Roman" w:hAnsi="Times New Roman" w:cs="Times New Roman"/>
                <w:b/>
                <w:bCs/>
                <w:sz w:val="22"/>
              </w:rPr>
            </w:pPr>
            <w:r w:rsidRPr="00774F9D">
              <w:rPr>
                <w:rFonts w:ascii="Times New Roman" w:hAnsi="Times New Roman" w:cs="Times New Roman"/>
                <w:b/>
                <w:bCs/>
                <w:sz w:val="22"/>
              </w:rPr>
              <w:t>FDR</w:t>
            </w:r>
          </w:p>
        </w:tc>
        <w:tc>
          <w:tcPr>
            <w:tcW w:w="2616" w:type="dxa"/>
            <w:tcBorders>
              <w:top w:val="single" w:sz="4" w:space="0" w:color="auto"/>
              <w:left w:val="nil"/>
              <w:bottom w:val="single" w:sz="4" w:space="0" w:color="auto"/>
              <w:right w:val="nil"/>
            </w:tcBorders>
            <w:shd w:val="clear" w:color="auto" w:fill="auto"/>
            <w:noWrap/>
            <w:hideMark/>
          </w:tcPr>
          <w:p w14:paraId="0EAFAA4B" w14:textId="77777777" w:rsidR="00D219F6" w:rsidRPr="00774F9D" w:rsidRDefault="00D219F6" w:rsidP="00C86862">
            <w:pPr>
              <w:spacing w:line="240" w:lineRule="auto"/>
              <w:rPr>
                <w:rFonts w:ascii="Times New Roman" w:hAnsi="Times New Roman" w:cs="Times New Roman"/>
                <w:b/>
                <w:bCs/>
                <w:sz w:val="22"/>
              </w:rPr>
            </w:pPr>
            <w:r w:rsidRPr="00774F9D">
              <w:rPr>
                <w:rFonts w:ascii="Times New Roman" w:hAnsi="Times New Roman" w:cs="Times New Roman"/>
                <w:b/>
                <w:bCs/>
                <w:sz w:val="22"/>
              </w:rPr>
              <w:t>Expression in control group (saline)</w:t>
            </w:r>
          </w:p>
        </w:tc>
        <w:tc>
          <w:tcPr>
            <w:tcW w:w="2431" w:type="dxa"/>
            <w:tcBorders>
              <w:top w:val="single" w:sz="4" w:space="0" w:color="auto"/>
              <w:left w:val="nil"/>
              <w:bottom w:val="single" w:sz="4" w:space="0" w:color="auto"/>
              <w:right w:val="nil"/>
            </w:tcBorders>
            <w:shd w:val="clear" w:color="auto" w:fill="auto"/>
            <w:noWrap/>
            <w:hideMark/>
          </w:tcPr>
          <w:p w14:paraId="0424C36F" w14:textId="77777777" w:rsidR="00D219F6" w:rsidRPr="00774F9D" w:rsidRDefault="00D219F6" w:rsidP="00C86862">
            <w:pPr>
              <w:spacing w:line="240" w:lineRule="auto"/>
              <w:rPr>
                <w:rFonts w:ascii="Times New Roman" w:hAnsi="Times New Roman" w:cs="Times New Roman"/>
                <w:b/>
                <w:bCs/>
                <w:sz w:val="22"/>
              </w:rPr>
            </w:pPr>
            <w:r w:rsidRPr="00774F9D">
              <w:rPr>
                <w:rFonts w:ascii="Times New Roman" w:hAnsi="Times New Roman" w:cs="Times New Roman"/>
                <w:b/>
                <w:bCs/>
                <w:sz w:val="22"/>
              </w:rPr>
              <w:t xml:space="preserve">Expression in carvacrol group </w:t>
            </w:r>
          </w:p>
        </w:tc>
      </w:tr>
      <w:tr w:rsidR="00D219F6" w:rsidRPr="00C86862" w14:paraId="40CE6337" w14:textId="77777777" w:rsidTr="00914422">
        <w:trPr>
          <w:trHeight w:val="340"/>
        </w:trPr>
        <w:tc>
          <w:tcPr>
            <w:tcW w:w="1701" w:type="dxa"/>
            <w:tcBorders>
              <w:top w:val="nil"/>
              <w:left w:val="nil"/>
              <w:bottom w:val="nil"/>
              <w:right w:val="nil"/>
            </w:tcBorders>
            <w:shd w:val="clear" w:color="auto" w:fill="auto"/>
            <w:noWrap/>
            <w:vAlign w:val="bottom"/>
            <w:hideMark/>
          </w:tcPr>
          <w:p w14:paraId="32F4B2BF"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ATP6V0C</w:t>
            </w:r>
          </w:p>
        </w:tc>
        <w:tc>
          <w:tcPr>
            <w:tcW w:w="1340" w:type="dxa"/>
            <w:tcBorders>
              <w:top w:val="nil"/>
              <w:left w:val="nil"/>
              <w:bottom w:val="nil"/>
              <w:right w:val="nil"/>
            </w:tcBorders>
            <w:shd w:val="clear" w:color="auto" w:fill="auto"/>
            <w:noWrap/>
            <w:vAlign w:val="bottom"/>
            <w:hideMark/>
          </w:tcPr>
          <w:p w14:paraId="707A1E6D"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-0.68</w:t>
            </w:r>
          </w:p>
        </w:tc>
        <w:tc>
          <w:tcPr>
            <w:tcW w:w="1156" w:type="dxa"/>
            <w:tcBorders>
              <w:top w:val="nil"/>
              <w:left w:val="nil"/>
              <w:bottom w:val="nil"/>
              <w:right w:val="nil"/>
            </w:tcBorders>
            <w:shd w:val="clear" w:color="auto" w:fill="auto"/>
            <w:noWrap/>
            <w:vAlign w:val="bottom"/>
            <w:hideMark/>
          </w:tcPr>
          <w:p w14:paraId="17EE4206"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0.041</w:t>
            </w:r>
          </w:p>
        </w:tc>
        <w:tc>
          <w:tcPr>
            <w:tcW w:w="2616" w:type="dxa"/>
            <w:tcBorders>
              <w:top w:val="nil"/>
              <w:left w:val="nil"/>
              <w:bottom w:val="nil"/>
              <w:right w:val="nil"/>
            </w:tcBorders>
            <w:shd w:val="clear" w:color="auto" w:fill="auto"/>
            <w:noWrap/>
            <w:vAlign w:val="bottom"/>
            <w:hideMark/>
          </w:tcPr>
          <w:p w14:paraId="2A678E90"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7368 ± 482</w:t>
            </w:r>
          </w:p>
        </w:tc>
        <w:tc>
          <w:tcPr>
            <w:tcW w:w="2431" w:type="dxa"/>
            <w:tcBorders>
              <w:top w:val="nil"/>
              <w:left w:val="nil"/>
              <w:bottom w:val="nil"/>
              <w:right w:val="nil"/>
            </w:tcBorders>
            <w:shd w:val="clear" w:color="auto" w:fill="auto"/>
            <w:noWrap/>
            <w:vAlign w:val="bottom"/>
            <w:hideMark/>
          </w:tcPr>
          <w:p w14:paraId="61D4EE7F"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5171 ± 546</w:t>
            </w:r>
          </w:p>
        </w:tc>
      </w:tr>
      <w:tr w:rsidR="00D219F6" w:rsidRPr="00C86862" w14:paraId="328236B3" w14:textId="77777777" w:rsidTr="00914422">
        <w:trPr>
          <w:trHeight w:val="340"/>
        </w:trPr>
        <w:tc>
          <w:tcPr>
            <w:tcW w:w="1701" w:type="dxa"/>
            <w:tcBorders>
              <w:top w:val="nil"/>
              <w:left w:val="nil"/>
              <w:bottom w:val="nil"/>
              <w:right w:val="nil"/>
            </w:tcBorders>
            <w:shd w:val="clear" w:color="auto" w:fill="auto"/>
            <w:noWrap/>
            <w:vAlign w:val="bottom"/>
            <w:hideMark/>
          </w:tcPr>
          <w:p w14:paraId="48C11018"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C2CD3</w:t>
            </w:r>
          </w:p>
        </w:tc>
        <w:tc>
          <w:tcPr>
            <w:tcW w:w="1340" w:type="dxa"/>
            <w:tcBorders>
              <w:top w:val="nil"/>
              <w:left w:val="nil"/>
              <w:bottom w:val="nil"/>
              <w:right w:val="nil"/>
            </w:tcBorders>
            <w:shd w:val="clear" w:color="auto" w:fill="auto"/>
            <w:noWrap/>
            <w:vAlign w:val="bottom"/>
            <w:hideMark/>
          </w:tcPr>
          <w:p w14:paraId="31933DC3"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1.27</w:t>
            </w:r>
          </w:p>
        </w:tc>
        <w:tc>
          <w:tcPr>
            <w:tcW w:w="1156" w:type="dxa"/>
            <w:tcBorders>
              <w:top w:val="nil"/>
              <w:left w:val="nil"/>
              <w:bottom w:val="nil"/>
              <w:right w:val="nil"/>
            </w:tcBorders>
            <w:shd w:val="clear" w:color="auto" w:fill="auto"/>
            <w:noWrap/>
            <w:vAlign w:val="bottom"/>
            <w:hideMark/>
          </w:tcPr>
          <w:p w14:paraId="78B541E5"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0.053</w:t>
            </w:r>
          </w:p>
        </w:tc>
        <w:tc>
          <w:tcPr>
            <w:tcW w:w="2616" w:type="dxa"/>
            <w:tcBorders>
              <w:top w:val="nil"/>
              <w:left w:val="nil"/>
              <w:bottom w:val="nil"/>
              <w:right w:val="nil"/>
            </w:tcBorders>
            <w:shd w:val="clear" w:color="auto" w:fill="auto"/>
            <w:noWrap/>
            <w:vAlign w:val="bottom"/>
            <w:hideMark/>
          </w:tcPr>
          <w:p w14:paraId="5CADE926"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106 ± 16</w:t>
            </w:r>
          </w:p>
        </w:tc>
        <w:tc>
          <w:tcPr>
            <w:tcW w:w="2431" w:type="dxa"/>
            <w:tcBorders>
              <w:top w:val="nil"/>
              <w:left w:val="nil"/>
              <w:bottom w:val="nil"/>
              <w:right w:val="nil"/>
            </w:tcBorders>
            <w:shd w:val="clear" w:color="auto" w:fill="auto"/>
            <w:noWrap/>
            <w:vAlign w:val="bottom"/>
            <w:hideMark/>
          </w:tcPr>
          <w:p w14:paraId="16D6337E"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286 ± 55</w:t>
            </w:r>
          </w:p>
        </w:tc>
      </w:tr>
      <w:tr w:rsidR="00D219F6" w:rsidRPr="00C86862" w14:paraId="249F2AEA" w14:textId="77777777" w:rsidTr="00914422">
        <w:trPr>
          <w:trHeight w:val="340"/>
        </w:trPr>
        <w:tc>
          <w:tcPr>
            <w:tcW w:w="1701" w:type="dxa"/>
            <w:tcBorders>
              <w:top w:val="nil"/>
              <w:left w:val="nil"/>
              <w:bottom w:val="nil"/>
              <w:right w:val="nil"/>
            </w:tcBorders>
            <w:shd w:val="clear" w:color="auto" w:fill="auto"/>
            <w:noWrap/>
            <w:vAlign w:val="bottom"/>
            <w:hideMark/>
          </w:tcPr>
          <w:p w14:paraId="48794745"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DIO3</w:t>
            </w:r>
          </w:p>
        </w:tc>
        <w:tc>
          <w:tcPr>
            <w:tcW w:w="1340" w:type="dxa"/>
            <w:tcBorders>
              <w:top w:val="nil"/>
              <w:left w:val="nil"/>
              <w:bottom w:val="nil"/>
              <w:right w:val="nil"/>
            </w:tcBorders>
            <w:shd w:val="clear" w:color="auto" w:fill="auto"/>
            <w:noWrap/>
            <w:vAlign w:val="bottom"/>
            <w:hideMark/>
          </w:tcPr>
          <w:p w14:paraId="6FAFFE86"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-3.18</w:t>
            </w:r>
          </w:p>
        </w:tc>
        <w:tc>
          <w:tcPr>
            <w:tcW w:w="1156" w:type="dxa"/>
            <w:tcBorders>
              <w:top w:val="nil"/>
              <w:left w:val="nil"/>
              <w:bottom w:val="nil"/>
              <w:right w:val="nil"/>
            </w:tcBorders>
            <w:shd w:val="clear" w:color="auto" w:fill="auto"/>
            <w:noWrap/>
            <w:vAlign w:val="bottom"/>
            <w:hideMark/>
          </w:tcPr>
          <w:p w14:paraId="4DC4606D"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0.061</w:t>
            </w:r>
          </w:p>
        </w:tc>
        <w:tc>
          <w:tcPr>
            <w:tcW w:w="2616" w:type="dxa"/>
            <w:tcBorders>
              <w:top w:val="nil"/>
              <w:left w:val="nil"/>
              <w:bottom w:val="nil"/>
              <w:right w:val="nil"/>
            </w:tcBorders>
            <w:shd w:val="clear" w:color="auto" w:fill="auto"/>
            <w:noWrap/>
            <w:vAlign w:val="bottom"/>
            <w:hideMark/>
          </w:tcPr>
          <w:p w14:paraId="01B41848"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19 ± 8</w:t>
            </w:r>
          </w:p>
        </w:tc>
        <w:tc>
          <w:tcPr>
            <w:tcW w:w="2431" w:type="dxa"/>
            <w:tcBorders>
              <w:top w:val="nil"/>
              <w:left w:val="nil"/>
              <w:bottom w:val="nil"/>
              <w:right w:val="nil"/>
            </w:tcBorders>
            <w:shd w:val="clear" w:color="auto" w:fill="auto"/>
            <w:noWrap/>
            <w:vAlign w:val="bottom"/>
            <w:hideMark/>
          </w:tcPr>
          <w:p w14:paraId="75143E19"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 ± 1</w:t>
            </w:r>
          </w:p>
        </w:tc>
      </w:tr>
      <w:tr w:rsidR="00D219F6" w:rsidRPr="00C86862" w14:paraId="68B32248" w14:textId="77777777" w:rsidTr="00914422">
        <w:trPr>
          <w:trHeight w:val="340"/>
        </w:trPr>
        <w:tc>
          <w:tcPr>
            <w:tcW w:w="1701" w:type="dxa"/>
            <w:tcBorders>
              <w:top w:val="nil"/>
              <w:left w:val="nil"/>
              <w:bottom w:val="nil"/>
              <w:right w:val="nil"/>
            </w:tcBorders>
            <w:shd w:val="clear" w:color="auto" w:fill="auto"/>
            <w:noWrap/>
            <w:vAlign w:val="bottom"/>
            <w:hideMark/>
          </w:tcPr>
          <w:p w14:paraId="093E17B9"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DSEL</w:t>
            </w:r>
          </w:p>
        </w:tc>
        <w:tc>
          <w:tcPr>
            <w:tcW w:w="1340" w:type="dxa"/>
            <w:tcBorders>
              <w:top w:val="nil"/>
              <w:left w:val="nil"/>
              <w:bottom w:val="nil"/>
              <w:right w:val="nil"/>
            </w:tcBorders>
            <w:shd w:val="clear" w:color="auto" w:fill="auto"/>
            <w:noWrap/>
            <w:vAlign w:val="bottom"/>
            <w:hideMark/>
          </w:tcPr>
          <w:p w14:paraId="2E20B6FA"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0.95</w:t>
            </w:r>
          </w:p>
        </w:tc>
        <w:tc>
          <w:tcPr>
            <w:tcW w:w="1156" w:type="dxa"/>
            <w:tcBorders>
              <w:top w:val="nil"/>
              <w:left w:val="nil"/>
              <w:bottom w:val="nil"/>
              <w:right w:val="nil"/>
            </w:tcBorders>
            <w:shd w:val="clear" w:color="auto" w:fill="auto"/>
            <w:noWrap/>
            <w:vAlign w:val="bottom"/>
            <w:hideMark/>
          </w:tcPr>
          <w:p w14:paraId="38185316"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0.001</w:t>
            </w:r>
          </w:p>
        </w:tc>
        <w:tc>
          <w:tcPr>
            <w:tcW w:w="2616" w:type="dxa"/>
            <w:tcBorders>
              <w:top w:val="nil"/>
              <w:left w:val="nil"/>
              <w:bottom w:val="nil"/>
              <w:right w:val="nil"/>
            </w:tcBorders>
            <w:shd w:val="clear" w:color="auto" w:fill="auto"/>
            <w:noWrap/>
            <w:vAlign w:val="bottom"/>
            <w:hideMark/>
          </w:tcPr>
          <w:p w14:paraId="18384AA9"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1190 ± 57</w:t>
            </w:r>
          </w:p>
        </w:tc>
        <w:tc>
          <w:tcPr>
            <w:tcW w:w="2431" w:type="dxa"/>
            <w:tcBorders>
              <w:top w:val="nil"/>
              <w:left w:val="nil"/>
              <w:bottom w:val="nil"/>
              <w:right w:val="nil"/>
            </w:tcBorders>
            <w:shd w:val="clear" w:color="auto" w:fill="auto"/>
            <w:noWrap/>
            <w:vAlign w:val="bottom"/>
            <w:hideMark/>
          </w:tcPr>
          <w:p w14:paraId="4294FCCD"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2496 ± 137</w:t>
            </w:r>
          </w:p>
        </w:tc>
      </w:tr>
      <w:tr w:rsidR="00D219F6" w:rsidRPr="00C86862" w14:paraId="68CDC651" w14:textId="77777777" w:rsidTr="00914422">
        <w:trPr>
          <w:trHeight w:val="340"/>
        </w:trPr>
        <w:tc>
          <w:tcPr>
            <w:tcW w:w="1701" w:type="dxa"/>
            <w:tcBorders>
              <w:top w:val="nil"/>
              <w:left w:val="nil"/>
              <w:bottom w:val="nil"/>
              <w:right w:val="nil"/>
            </w:tcBorders>
            <w:shd w:val="clear" w:color="auto" w:fill="auto"/>
            <w:noWrap/>
            <w:vAlign w:val="bottom"/>
            <w:hideMark/>
          </w:tcPr>
          <w:p w14:paraId="3B370DE1"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ENPP7</w:t>
            </w:r>
          </w:p>
        </w:tc>
        <w:tc>
          <w:tcPr>
            <w:tcW w:w="1340" w:type="dxa"/>
            <w:tcBorders>
              <w:top w:val="nil"/>
              <w:left w:val="nil"/>
              <w:bottom w:val="nil"/>
              <w:right w:val="nil"/>
            </w:tcBorders>
            <w:shd w:val="clear" w:color="auto" w:fill="auto"/>
            <w:noWrap/>
            <w:vAlign w:val="bottom"/>
            <w:hideMark/>
          </w:tcPr>
          <w:p w14:paraId="4A1C55E4"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1.85</w:t>
            </w:r>
          </w:p>
        </w:tc>
        <w:tc>
          <w:tcPr>
            <w:tcW w:w="1156" w:type="dxa"/>
            <w:tcBorders>
              <w:top w:val="nil"/>
              <w:left w:val="nil"/>
              <w:bottom w:val="nil"/>
              <w:right w:val="nil"/>
            </w:tcBorders>
            <w:shd w:val="clear" w:color="auto" w:fill="auto"/>
            <w:noWrap/>
            <w:vAlign w:val="bottom"/>
            <w:hideMark/>
          </w:tcPr>
          <w:p w14:paraId="3C17EDE9"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0.033</w:t>
            </w:r>
          </w:p>
        </w:tc>
        <w:tc>
          <w:tcPr>
            <w:tcW w:w="2616" w:type="dxa"/>
            <w:tcBorders>
              <w:top w:val="nil"/>
              <w:left w:val="nil"/>
              <w:bottom w:val="nil"/>
              <w:right w:val="nil"/>
            </w:tcBorders>
            <w:shd w:val="clear" w:color="auto" w:fill="auto"/>
            <w:noWrap/>
            <w:vAlign w:val="bottom"/>
            <w:hideMark/>
          </w:tcPr>
          <w:p w14:paraId="7D0ED490"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59 ± 11</w:t>
            </w:r>
          </w:p>
        </w:tc>
        <w:tc>
          <w:tcPr>
            <w:tcW w:w="2431" w:type="dxa"/>
            <w:tcBorders>
              <w:top w:val="nil"/>
              <w:left w:val="nil"/>
              <w:bottom w:val="nil"/>
              <w:right w:val="nil"/>
            </w:tcBorders>
            <w:shd w:val="clear" w:color="auto" w:fill="auto"/>
            <w:noWrap/>
            <w:vAlign w:val="bottom"/>
            <w:hideMark/>
          </w:tcPr>
          <w:p w14:paraId="3CFD9F1C"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228 ± 48</w:t>
            </w:r>
          </w:p>
        </w:tc>
      </w:tr>
      <w:tr w:rsidR="00D219F6" w:rsidRPr="00C86862" w14:paraId="4B497D7E" w14:textId="77777777" w:rsidTr="00914422">
        <w:trPr>
          <w:trHeight w:val="340"/>
        </w:trPr>
        <w:tc>
          <w:tcPr>
            <w:tcW w:w="1701" w:type="dxa"/>
            <w:tcBorders>
              <w:top w:val="nil"/>
              <w:left w:val="nil"/>
              <w:bottom w:val="nil"/>
              <w:right w:val="nil"/>
            </w:tcBorders>
            <w:shd w:val="clear" w:color="auto" w:fill="auto"/>
            <w:noWrap/>
            <w:vAlign w:val="bottom"/>
            <w:hideMark/>
          </w:tcPr>
          <w:p w14:paraId="393E06C4"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FJX1</w:t>
            </w:r>
          </w:p>
        </w:tc>
        <w:tc>
          <w:tcPr>
            <w:tcW w:w="1340" w:type="dxa"/>
            <w:tcBorders>
              <w:top w:val="nil"/>
              <w:left w:val="nil"/>
              <w:bottom w:val="nil"/>
              <w:right w:val="nil"/>
            </w:tcBorders>
            <w:shd w:val="clear" w:color="auto" w:fill="auto"/>
            <w:noWrap/>
            <w:vAlign w:val="bottom"/>
            <w:hideMark/>
          </w:tcPr>
          <w:p w14:paraId="1B9651EA"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1.45</w:t>
            </w:r>
          </w:p>
        </w:tc>
        <w:tc>
          <w:tcPr>
            <w:tcW w:w="1156" w:type="dxa"/>
            <w:tcBorders>
              <w:top w:val="nil"/>
              <w:left w:val="nil"/>
              <w:bottom w:val="nil"/>
              <w:right w:val="nil"/>
            </w:tcBorders>
            <w:shd w:val="clear" w:color="auto" w:fill="auto"/>
            <w:noWrap/>
            <w:vAlign w:val="bottom"/>
            <w:hideMark/>
          </w:tcPr>
          <w:p w14:paraId="70D14723"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0.081</w:t>
            </w:r>
          </w:p>
        </w:tc>
        <w:tc>
          <w:tcPr>
            <w:tcW w:w="2616" w:type="dxa"/>
            <w:tcBorders>
              <w:top w:val="nil"/>
              <w:left w:val="nil"/>
              <w:bottom w:val="nil"/>
              <w:right w:val="nil"/>
            </w:tcBorders>
            <w:shd w:val="clear" w:color="auto" w:fill="auto"/>
            <w:noWrap/>
            <w:vAlign w:val="bottom"/>
            <w:hideMark/>
          </w:tcPr>
          <w:p w14:paraId="27A2EE58"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11 ± 2</w:t>
            </w:r>
          </w:p>
        </w:tc>
        <w:tc>
          <w:tcPr>
            <w:tcW w:w="2431" w:type="dxa"/>
            <w:tcBorders>
              <w:top w:val="nil"/>
              <w:left w:val="nil"/>
              <w:bottom w:val="nil"/>
              <w:right w:val="nil"/>
            </w:tcBorders>
            <w:shd w:val="clear" w:color="auto" w:fill="auto"/>
            <w:noWrap/>
            <w:vAlign w:val="bottom"/>
            <w:hideMark/>
          </w:tcPr>
          <w:p w14:paraId="309E7DB6"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33 ± 6</w:t>
            </w:r>
          </w:p>
        </w:tc>
      </w:tr>
      <w:tr w:rsidR="00D219F6" w:rsidRPr="00C86862" w14:paraId="192AA08B" w14:textId="77777777" w:rsidTr="00914422">
        <w:trPr>
          <w:trHeight w:val="340"/>
        </w:trPr>
        <w:tc>
          <w:tcPr>
            <w:tcW w:w="1701" w:type="dxa"/>
            <w:tcBorders>
              <w:top w:val="nil"/>
              <w:left w:val="nil"/>
              <w:bottom w:val="nil"/>
              <w:right w:val="nil"/>
            </w:tcBorders>
            <w:shd w:val="clear" w:color="auto" w:fill="auto"/>
            <w:noWrap/>
            <w:vAlign w:val="bottom"/>
            <w:hideMark/>
          </w:tcPr>
          <w:p w14:paraId="5D602476"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FNIP1</w:t>
            </w:r>
          </w:p>
        </w:tc>
        <w:tc>
          <w:tcPr>
            <w:tcW w:w="1340" w:type="dxa"/>
            <w:tcBorders>
              <w:top w:val="nil"/>
              <w:left w:val="nil"/>
              <w:bottom w:val="nil"/>
              <w:right w:val="nil"/>
            </w:tcBorders>
            <w:shd w:val="clear" w:color="auto" w:fill="auto"/>
            <w:noWrap/>
            <w:vAlign w:val="bottom"/>
            <w:hideMark/>
          </w:tcPr>
          <w:p w14:paraId="4C63ACF7"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-1.10</w:t>
            </w:r>
          </w:p>
        </w:tc>
        <w:tc>
          <w:tcPr>
            <w:tcW w:w="1156" w:type="dxa"/>
            <w:tcBorders>
              <w:top w:val="nil"/>
              <w:left w:val="nil"/>
              <w:bottom w:val="nil"/>
              <w:right w:val="nil"/>
            </w:tcBorders>
            <w:shd w:val="clear" w:color="auto" w:fill="auto"/>
            <w:noWrap/>
            <w:vAlign w:val="bottom"/>
            <w:hideMark/>
          </w:tcPr>
          <w:p w14:paraId="26EF615D"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0.002</w:t>
            </w:r>
          </w:p>
        </w:tc>
        <w:tc>
          <w:tcPr>
            <w:tcW w:w="2616" w:type="dxa"/>
            <w:tcBorders>
              <w:top w:val="nil"/>
              <w:left w:val="nil"/>
              <w:bottom w:val="nil"/>
              <w:right w:val="nil"/>
            </w:tcBorders>
            <w:shd w:val="clear" w:color="auto" w:fill="auto"/>
            <w:noWrap/>
            <w:vAlign w:val="bottom"/>
            <w:hideMark/>
          </w:tcPr>
          <w:p w14:paraId="4876FA43"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502 ± 56</w:t>
            </w:r>
          </w:p>
        </w:tc>
        <w:tc>
          <w:tcPr>
            <w:tcW w:w="2431" w:type="dxa"/>
            <w:tcBorders>
              <w:top w:val="nil"/>
              <w:left w:val="nil"/>
              <w:bottom w:val="nil"/>
              <w:right w:val="nil"/>
            </w:tcBorders>
            <w:shd w:val="clear" w:color="auto" w:fill="auto"/>
            <w:noWrap/>
            <w:vAlign w:val="bottom"/>
            <w:hideMark/>
          </w:tcPr>
          <w:p w14:paraId="176BAF23"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260 ± 30</w:t>
            </w:r>
          </w:p>
        </w:tc>
      </w:tr>
      <w:tr w:rsidR="00D219F6" w:rsidRPr="00C86862" w14:paraId="683CD268" w14:textId="77777777" w:rsidTr="00914422">
        <w:trPr>
          <w:trHeight w:val="340"/>
        </w:trPr>
        <w:tc>
          <w:tcPr>
            <w:tcW w:w="1701" w:type="dxa"/>
            <w:tcBorders>
              <w:top w:val="nil"/>
              <w:left w:val="nil"/>
              <w:bottom w:val="nil"/>
              <w:right w:val="nil"/>
            </w:tcBorders>
            <w:shd w:val="clear" w:color="auto" w:fill="auto"/>
            <w:noWrap/>
            <w:vAlign w:val="bottom"/>
            <w:hideMark/>
          </w:tcPr>
          <w:p w14:paraId="135DAB46"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HBE1</w:t>
            </w:r>
          </w:p>
        </w:tc>
        <w:tc>
          <w:tcPr>
            <w:tcW w:w="1340" w:type="dxa"/>
            <w:tcBorders>
              <w:top w:val="nil"/>
              <w:left w:val="nil"/>
              <w:bottom w:val="nil"/>
              <w:right w:val="nil"/>
            </w:tcBorders>
            <w:shd w:val="clear" w:color="auto" w:fill="auto"/>
            <w:noWrap/>
            <w:vAlign w:val="bottom"/>
            <w:hideMark/>
          </w:tcPr>
          <w:p w14:paraId="0B804771"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2.13</w:t>
            </w:r>
          </w:p>
        </w:tc>
        <w:tc>
          <w:tcPr>
            <w:tcW w:w="1156" w:type="dxa"/>
            <w:tcBorders>
              <w:top w:val="nil"/>
              <w:left w:val="nil"/>
              <w:bottom w:val="nil"/>
              <w:right w:val="nil"/>
            </w:tcBorders>
            <w:shd w:val="clear" w:color="auto" w:fill="auto"/>
            <w:noWrap/>
            <w:vAlign w:val="bottom"/>
            <w:hideMark/>
          </w:tcPr>
          <w:p w14:paraId="53417791"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0.095</w:t>
            </w:r>
          </w:p>
        </w:tc>
        <w:tc>
          <w:tcPr>
            <w:tcW w:w="2616" w:type="dxa"/>
            <w:tcBorders>
              <w:top w:val="nil"/>
              <w:left w:val="nil"/>
              <w:bottom w:val="nil"/>
              <w:right w:val="nil"/>
            </w:tcBorders>
            <w:shd w:val="clear" w:color="auto" w:fill="auto"/>
            <w:noWrap/>
            <w:vAlign w:val="bottom"/>
            <w:hideMark/>
          </w:tcPr>
          <w:p w14:paraId="1194D463"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87 ± 22</w:t>
            </w:r>
          </w:p>
        </w:tc>
        <w:tc>
          <w:tcPr>
            <w:tcW w:w="2431" w:type="dxa"/>
            <w:tcBorders>
              <w:top w:val="nil"/>
              <w:left w:val="nil"/>
              <w:bottom w:val="nil"/>
              <w:right w:val="nil"/>
            </w:tcBorders>
            <w:shd w:val="clear" w:color="auto" w:fill="auto"/>
            <w:noWrap/>
            <w:vAlign w:val="bottom"/>
            <w:hideMark/>
          </w:tcPr>
          <w:p w14:paraId="15A4A439"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396 ± 108</w:t>
            </w:r>
          </w:p>
        </w:tc>
      </w:tr>
      <w:tr w:rsidR="00D219F6" w:rsidRPr="00C86862" w14:paraId="11026A4F" w14:textId="77777777" w:rsidTr="00914422">
        <w:trPr>
          <w:trHeight w:val="340"/>
        </w:trPr>
        <w:tc>
          <w:tcPr>
            <w:tcW w:w="1701" w:type="dxa"/>
            <w:tcBorders>
              <w:top w:val="nil"/>
              <w:left w:val="nil"/>
              <w:bottom w:val="nil"/>
              <w:right w:val="nil"/>
            </w:tcBorders>
            <w:shd w:val="clear" w:color="auto" w:fill="auto"/>
            <w:noWrap/>
            <w:vAlign w:val="bottom"/>
            <w:hideMark/>
          </w:tcPr>
          <w:p w14:paraId="0060C65D"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KHDRBS3</w:t>
            </w:r>
          </w:p>
        </w:tc>
        <w:tc>
          <w:tcPr>
            <w:tcW w:w="1340" w:type="dxa"/>
            <w:tcBorders>
              <w:top w:val="nil"/>
              <w:left w:val="nil"/>
              <w:bottom w:val="nil"/>
              <w:right w:val="nil"/>
            </w:tcBorders>
            <w:shd w:val="clear" w:color="auto" w:fill="auto"/>
            <w:noWrap/>
            <w:vAlign w:val="bottom"/>
            <w:hideMark/>
          </w:tcPr>
          <w:p w14:paraId="1BA68473"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-1.16</w:t>
            </w:r>
          </w:p>
        </w:tc>
        <w:tc>
          <w:tcPr>
            <w:tcW w:w="1156" w:type="dxa"/>
            <w:tcBorders>
              <w:top w:val="nil"/>
              <w:left w:val="nil"/>
              <w:bottom w:val="nil"/>
              <w:right w:val="nil"/>
            </w:tcBorders>
            <w:shd w:val="clear" w:color="auto" w:fill="auto"/>
            <w:noWrap/>
            <w:vAlign w:val="bottom"/>
            <w:hideMark/>
          </w:tcPr>
          <w:p w14:paraId="5E33FF20"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0.061</w:t>
            </w:r>
          </w:p>
        </w:tc>
        <w:tc>
          <w:tcPr>
            <w:tcW w:w="2616" w:type="dxa"/>
            <w:tcBorders>
              <w:top w:val="nil"/>
              <w:left w:val="nil"/>
              <w:bottom w:val="nil"/>
              <w:right w:val="nil"/>
            </w:tcBorders>
            <w:shd w:val="clear" w:color="auto" w:fill="auto"/>
            <w:noWrap/>
            <w:vAlign w:val="bottom"/>
            <w:hideMark/>
          </w:tcPr>
          <w:p w14:paraId="0BCF6491"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93 ± 12</w:t>
            </w:r>
          </w:p>
        </w:tc>
        <w:tc>
          <w:tcPr>
            <w:tcW w:w="2431" w:type="dxa"/>
            <w:tcBorders>
              <w:top w:val="nil"/>
              <w:left w:val="nil"/>
              <w:bottom w:val="nil"/>
              <w:right w:val="nil"/>
            </w:tcBorders>
            <w:shd w:val="clear" w:color="auto" w:fill="auto"/>
            <w:noWrap/>
            <w:vAlign w:val="bottom"/>
            <w:hideMark/>
          </w:tcPr>
          <w:p w14:paraId="2E51BE68"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46 ± 7</w:t>
            </w:r>
          </w:p>
        </w:tc>
      </w:tr>
      <w:tr w:rsidR="00D219F6" w:rsidRPr="00C86862" w14:paraId="0AFF5D75" w14:textId="77777777" w:rsidTr="00914422">
        <w:trPr>
          <w:trHeight w:val="340"/>
        </w:trPr>
        <w:tc>
          <w:tcPr>
            <w:tcW w:w="1701" w:type="dxa"/>
            <w:tcBorders>
              <w:top w:val="nil"/>
              <w:left w:val="nil"/>
              <w:bottom w:val="nil"/>
              <w:right w:val="nil"/>
            </w:tcBorders>
            <w:shd w:val="clear" w:color="auto" w:fill="auto"/>
            <w:noWrap/>
            <w:vAlign w:val="bottom"/>
            <w:hideMark/>
          </w:tcPr>
          <w:p w14:paraId="24B519F7"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KLF5</w:t>
            </w:r>
          </w:p>
        </w:tc>
        <w:tc>
          <w:tcPr>
            <w:tcW w:w="1340" w:type="dxa"/>
            <w:tcBorders>
              <w:top w:val="nil"/>
              <w:left w:val="nil"/>
              <w:bottom w:val="nil"/>
              <w:right w:val="nil"/>
            </w:tcBorders>
            <w:shd w:val="clear" w:color="auto" w:fill="auto"/>
            <w:noWrap/>
            <w:vAlign w:val="bottom"/>
            <w:hideMark/>
          </w:tcPr>
          <w:p w14:paraId="52B1D439"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-1.23</w:t>
            </w:r>
          </w:p>
        </w:tc>
        <w:tc>
          <w:tcPr>
            <w:tcW w:w="1156" w:type="dxa"/>
            <w:tcBorders>
              <w:top w:val="nil"/>
              <w:left w:val="nil"/>
              <w:bottom w:val="nil"/>
              <w:right w:val="nil"/>
            </w:tcBorders>
            <w:shd w:val="clear" w:color="auto" w:fill="auto"/>
            <w:noWrap/>
            <w:vAlign w:val="bottom"/>
            <w:hideMark/>
          </w:tcPr>
          <w:p w14:paraId="0B277117"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0.061</w:t>
            </w:r>
          </w:p>
        </w:tc>
        <w:tc>
          <w:tcPr>
            <w:tcW w:w="2616" w:type="dxa"/>
            <w:tcBorders>
              <w:top w:val="nil"/>
              <w:left w:val="nil"/>
              <w:bottom w:val="nil"/>
              <w:right w:val="nil"/>
            </w:tcBorders>
            <w:shd w:val="clear" w:color="auto" w:fill="auto"/>
            <w:noWrap/>
            <w:vAlign w:val="bottom"/>
            <w:hideMark/>
          </w:tcPr>
          <w:p w14:paraId="032A45CB"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570 ± 120</w:t>
            </w:r>
          </w:p>
        </w:tc>
        <w:tc>
          <w:tcPr>
            <w:tcW w:w="2431" w:type="dxa"/>
            <w:tcBorders>
              <w:top w:val="nil"/>
              <w:left w:val="nil"/>
              <w:bottom w:val="nil"/>
              <w:right w:val="nil"/>
            </w:tcBorders>
            <w:shd w:val="clear" w:color="auto" w:fill="auto"/>
            <w:noWrap/>
            <w:vAlign w:val="bottom"/>
            <w:hideMark/>
          </w:tcPr>
          <w:p w14:paraId="07C42656"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276 ± 35</w:t>
            </w:r>
          </w:p>
        </w:tc>
      </w:tr>
      <w:tr w:rsidR="00D219F6" w:rsidRPr="00C86862" w14:paraId="2C8D6BA7" w14:textId="77777777" w:rsidTr="00914422">
        <w:trPr>
          <w:trHeight w:val="340"/>
        </w:trPr>
        <w:tc>
          <w:tcPr>
            <w:tcW w:w="1701" w:type="dxa"/>
            <w:tcBorders>
              <w:top w:val="nil"/>
              <w:left w:val="nil"/>
              <w:bottom w:val="nil"/>
              <w:right w:val="nil"/>
            </w:tcBorders>
            <w:shd w:val="clear" w:color="auto" w:fill="auto"/>
            <w:noWrap/>
            <w:vAlign w:val="bottom"/>
            <w:hideMark/>
          </w:tcPr>
          <w:p w14:paraId="01B0FC0F"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OSCP1</w:t>
            </w:r>
          </w:p>
        </w:tc>
        <w:tc>
          <w:tcPr>
            <w:tcW w:w="1340" w:type="dxa"/>
            <w:tcBorders>
              <w:top w:val="nil"/>
              <w:left w:val="nil"/>
              <w:bottom w:val="nil"/>
              <w:right w:val="nil"/>
            </w:tcBorders>
            <w:shd w:val="clear" w:color="auto" w:fill="auto"/>
            <w:noWrap/>
            <w:vAlign w:val="bottom"/>
            <w:hideMark/>
          </w:tcPr>
          <w:p w14:paraId="7DC27642"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3.86</w:t>
            </w:r>
          </w:p>
        </w:tc>
        <w:tc>
          <w:tcPr>
            <w:tcW w:w="1156" w:type="dxa"/>
            <w:tcBorders>
              <w:top w:val="nil"/>
              <w:left w:val="nil"/>
              <w:bottom w:val="nil"/>
              <w:right w:val="nil"/>
            </w:tcBorders>
            <w:shd w:val="clear" w:color="auto" w:fill="auto"/>
            <w:noWrap/>
            <w:vAlign w:val="bottom"/>
            <w:hideMark/>
          </w:tcPr>
          <w:p w14:paraId="283FBEBA"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0.002</w:t>
            </w:r>
          </w:p>
        </w:tc>
        <w:tc>
          <w:tcPr>
            <w:tcW w:w="2616" w:type="dxa"/>
            <w:tcBorders>
              <w:top w:val="nil"/>
              <w:left w:val="nil"/>
              <w:bottom w:val="nil"/>
              <w:right w:val="nil"/>
            </w:tcBorders>
            <w:shd w:val="clear" w:color="auto" w:fill="auto"/>
            <w:noWrap/>
            <w:vAlign w:val="bottom"/>
            <w:hideMark/>
          </w:tcPr>
          <w:p w14:paraId="3084B179"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13 ± 1</w:t>
            </w:r>
          </w:p>
        </w:tc>
        <w:tc>
          <w:tcPr>
            <w:tcW w:w="2431" w:type="dxa"/>
            <w:tcBorders>
              <w:top w:val="nil"/>
              <w:left w:val="nil"/>
              <w:bottom w:val="nil"/>
              <w:right w:val="nil"/>
            </w:tcBorders>
            <w:shd w:val="clear" w:color="auto" w:fill="auto"/>
            <w:noWrap/>
            <w:vAlign w:val="bottom"/>
            <w:hideMark/>
          </w:tcPr>
          <w:p w14:paraId="6D9948DE"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200 ± 60</w:t>
            </w:r>
          </w:p>
        </w:tc>
      </w:tr>
      <w:tr w:rsidR="00D219F6" w:rsidRPr="00C86862" w14:paraId="4A700A0B" w14:textId="77777777" w:rsidTr="00914422">
        <w:trPr>
          <w:trHeight w:val="340"/>
        </w:trPr>
        <w:tc>
          <w:tcPr>
            <w:tcW w:w="1701" w:type="dxa"/>
            <w:tcBorders>
              <w:top w:val="nil"/>
              <w:left w:val="nil"/>
              <w:bottom w:val="nil"/>
              <w:right w:val="nil"/>
            </w:tcBorders>
            <w:shd w:val="clear" w:color="auto" w:fill="auto"/>
            <w:noWrap/>
            <w:vAlign w:val="bottom"/>
            <w:hideMark/>
          </w:tcPr>
          <w:p w14:paraId="4867BB03"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TMEM38A</w:t>
            </w:r>
          </w:p>
        </w:tc>
        <w:tc>
          <w:tcPr>
            <w:tcW w:w="1340" w:type="dxa"/>
            <w:tcBorders>
              <w:top w:val="nil"/>
              <w:left w:val="nil"/>
              <w:bottom w:val="nil"/>
              <w:right w:val="nil"/>
            </w:tcBorders>
            <w:shd w:val="clear" w:color="auto" w:fill="auto"/>
            <w:noWrap/>
            <w:vAlign w:val="bottom"/>
            <w:hideMark/>
          </w:tcPr>
          <w:p w14:paraId="4E7E37A8"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-0.66</w:t>
            </w:r>
          </w:p>
        </w:tc>
        <w:tc>
          <w:tcPr>
            <w:tcW w:w="1156" w:type="dxa"/>
            <w:tcBorders>
              <w:top w:val="nil"/>
              <w:left w:val="nil"/>
              <w:bottom w:val="nil"/>
              <w:right w:val="nil"/>
            </w:tcBorders>
            <w:shd w:val="clear" w:color="auto" w:fill="auto"/>
            <w:noWrap/>
            <w:vAlign w:val="bottom"/>
            <w:hideMark/>
          </w:tcPr>
          <w:p w14:paraId="5B2A1281"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0.053</w:t>
            </w:r>
          </w:p>
        </w:tc>
        <w:tc>
          <w:tcPr>
            <w:tcW w:w="2616" w:type="dxa"/>
            <w:tcBorders>
              <w:top w:val="nil"/>
              <w:left w:val="nil"/>
              <w:bottom w:val="nil"/>
              <w:right w:val="nil"/>
            </w:tcBorders>
            <w:shd w:val="clear" w:color="auto" w:fill="auto"/>
            <w:noWrap/>
            <w:vAlign w:val="bottom"/>
            <w:hideMark/>
          </w:tcPr>
          <w:p w14:paraId="7814BCF8"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2144 ± 180</w:t>
            </w:r>
          </w:p>
        </w:tc>
        <w:tc>
          <w:tcPr>
            <w:tcW w:w="2431" w:type="dxa"/>
            <w:tcBorders>
              <w:top w:val="nil"/>
              <w:left w:val="nil"/>
              <w:bottom w:val="nil"/>
              <w:right w:val="nil"/>
            </w:tcBorders>
            <w:shd w:val="clear" w:color="auto" w:fill="auto"/>
            <w:noWrap/>
            <w:vAlign w:val="bottom"/>
            <w:hideMark/>
          </w:tcPr>
          <w:p w14:paraId="4EA27BB1"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1493 ± 118</w:t>
            </w:r>
          </w:p>
        </w:tc>
      </w:tr>
      <w:tr w:rsidR="00D219F6" w:rsidRPr="00C86862" w14:paraId="5942B842" w14:textId="77777777" w:rsidTr="00914422">
        <w:trPr>
          <w:trHeight w:val="340"/>
        </w:trPr>
        <w:tc>
          <w:tcPr>
            <w:tcW w:w="1701" w:type="dxa"/>
            <w:tcBorders>
              <w:top w:val="nil"/>
              <w:left w:val="nil"/>
              <w:bottom w:val="nil"/>
              <w:right w:val="nil"/>
            </w:tcBorders>
            <w:shd w:val="clear" w:color="auto" w:fill="auto"/>
            <w:noWrap/>
            <w:vAlign w:val="bottom"/>
            <w:hideMark/>
          </w:tcPr>
          <w:p w14:paraId="473E328B"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TOPAZ1</w:t>
            </w:r>
          </w:p>
        </w:tc>
        <w:tc>
          <w:tcPr>
            <w:tcW w:w="1340" w:type="dxa"/>
            <w:tcBorders>
              <w:top w:val="nil"/>
              <w:left w:val="nil"/>
              <w:bottom w:val="nil"/>
              <w:right w:val="nil"/>
            </w:tcBorders>
            <w:shd w:val="clear" w:color="auto" w:fill="auto"/>
            <w:noWrap/>
            <w:vAlign w:val="bottom"/>
            <w:hideMark/>
          </w:tcPr>
          <w:p w14:paraId="3825E393"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2.56</w:t>
            </w:r>
          </w:p>
        </w:tc>
        <w:tc>
          <w:tcPr>
            <w:tcW w:w="1156" w:type="dxa"/>
            <w:tcBorders>
              <w:top w:val="nil"/>
              <w:left w:val="nil"/>
              <w:bottom w:val="nil"/>
              <w:right w:val="nil"/>
            </w:tcBorders>
            <w:shd w:val="clear" w:color="auto" w:fill="auto"/>
            <w:noWrap/>
            <w:vAlign w:val="bottom"/>
            <w:hideMark/>
          </w:tcPr>
          <w:p w14:paraId="20985984"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0.006</w:t>
            </w:r>
          </w:p>
        </w:tc>
        <w:tc>
          <w:tcPr>
            <w:tcW w:w="2616" w:type="dxa"/>
            <w:tcBorders>
              <w:top w:val="nil"/>
              <w:left w:val="nil"/>
              <w:bottom w:val="nil"/>
              <w:right w:val="nil"/>
            </w:tcBorders>
            <w:shd w:val="clear" w:color="auto" w:fill="auto"/>
            <w:noWrap/>
            <w:vAlign w:val="bottom"/>
            <w:hideMark/>
          </w:tcPr>
          <w:p w14:paraId="0FAEF200"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 ± 1</w:t>
            </w:r>
          </w:p>
        </w:tc>
        <w:tc>
          <w:tcPr>
            <w:tcW w:w="2431" w:type="dxa"/>
            <w:tcBorders>
              <w:top w:val="nil"/>
              <w:left w:val="nil"/>
              <w:bottom w:val="nil"/>
              <w:right w:val="nil"/>
            </w:tcBorders>
            <w:shd w:val="clear" w:color="auto" w:fill="auto"/>
            <w:noWrap/>
            <w:vAlign w:val="bottom"/>
            <w:hideMark/>
          </w:tcPr>
          <w:p w14:paraId="4586A3B2"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11 ± 1</w:t>
            </w:r>
          </w:p>
        </w:tc>
      </w:tr>
      <w:tr w:rsidR="00D219F6" w:rsidRPr="00C86862" w14:paraId="273B8920" w14:textId="77777777" w:rsidTr="00914422">
        <w:trPr>
          <w:trHeight w:val="340"/>
        </w:trPr>
        <w:tc>
          <w:tcPr>
            <w:tcW w:w="1701" w:type="dxa"/>
            <w:tcBorders>
              <w:top w:val="nil"/>
              <w:left w:val="nil"/>
              <w:bottom w:val="single" w:sz="4" w:space="0" w:color="auto"/>
              <w:right w:val="nil"/>
            </w:tcBorders>
            <w:shd w:val="clear" w:color="auto" w:fill="auto"/>
            <w:noWrap/>
            <w:vAlign w:val="bottom"/>
            <w:hideMark/>
          </w:tcPr>
          <w:p w14:paraId="6FA39896" w14:textId="77777777" w:rsidR="00D219F6" w:rsidRPr="00774F9D" w:rsidRDefault="00D219F6" w:rsidP="00C86862">
            <w:pPr>
              <w:spacing w:line="240" w:lineRule="auto"/>
              <w:rPr>
                <w:rFonts w:ascii="Times New Roman" w:hAnsi="Times New Roman" w:cs="Times New Roman"/>
                <w:i/>
                <w:iCs/>
                <w:sz w:val="22"/>
              </w:rPr>
            </w:pPr>
            <w:r w:rsidRPr="00774F9D">
              <w:rPr>
                <w:rFonts w:ascii="Times New Roman" w:hAnsi="Times New Roman" w:cs="Times New Roman"/>
                <w:i/>
                <w:iCs/>
                <w:sz w:val="22"/>
              </w:rPr>
              <w:t>ZFPM1</w:t>
            </w:r>
          </w:p>
        </w:tc>
        <w:tc>
          <w:tcPr>
            <w:tcW w:w="1340" w:type="dxa"/>
            <w:tcBorders>
              <w:top w:val="nil"/>
              <w:left w:val="nil"/>
              <w:bottom w:val="single" w:sz="4" w:space="0" w:color="auto"/>
              <w:right w:val="nil"/>
            </w:tcBorders>
            <w:shd w:val="clear" w:color="auto" w:fill="auto"/>
            <w:noWrap/>
            <w:vAlign w:val="bottom"/>
            <w:hideMark/>
          </w:tcPr>
          <w:p w14:paraId="72219FCF"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-1.23</w:t>
            </w:r>
          </w:p>
        </w:tc>
        <w:tc>
          <w:tcPr>
            <w:tcW w:w="1156" w:type="dxa"/>
            <w:tcBorders>
              <w:top w:val="nil"/>
              <w:left w:val="nil"/>
              <w:bottom w:val="single" w:sz="4" w:space="0" w:color="auto"/>
              <w:right w:val="nil"/>
            </w:tcBorders>
            <w:shd w:val="clear" w:color="auto" w:fill="auto"/>
            <w:noWrap/>
            <w:vAlign w:val="bottom"/>
            <w:hideMark/>
          </w:tcPr>
          <w:p w14:paraId="0EFCC901"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0.000</w:t>
            </w:r>
          </w:p>
        </w:tc>
        <w:tc>
          <w:tcPr>
            <w:tcW w:w="2616" w:type="dxa"/>
            <w:tcBorders>
              <w:top w:val="nil"/>
              <w:left w:val="nil"/>
              <w:bottom w:val="single" w:sz="4" w:space="0" w:color="auto"/>
              <w:right w:val="nil"/>
            </w:tcBorders>
            <w:shd w:val="clear" w:color="auto" w:fill="auto"/>
            <w:noWrap/>
            <w:vAlign w:val="bottom"/>
            <w:hideMark/>
          </w:tcPr>
          <w:p w14:paraId="12B7E822"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433 ± 51</w:t>
            </w:r>
          </w:p>
        </w:tc>
        <w:tc>
          <w:tcPr>
            <w:tcW w:w="2431" w:type="dxa"/>
            <w:tcBorders>
              <w:top w:val="nil"/>
              <w:left w:val="nil"/>
              <w:bottom w:val="single" w:sz="4" w:space="0" w:color="auto"/>
              <w:right w:val="nil"/>
            </w:tcBorders>
            <w:shd w:val="clear" w:color="auto" w:fill="auto"/>
            <w:noWrap/>
            <w:vAlign w:val="bottom"/>
            <w:hideMark/>
          </w:tcPr>
          <w:p w14:paraId="34511FBE" w14:textId="77777777" w:rsidR="00D219F6" w:rsidRPr="00C86862" w:rsidRDefault="00D219F6" w:rsidP="00C86862">
            <w:pPr>
              <w:spacing w:line="240" w:lineRule="auto"/>
              <w:rPr>
                <w:rFonts w:ascii="Times New Roman" w:hAnsi="Times New Roman" w:cs="Times New Roman"/>
                <w:sz w:val="22"/>
              </w:rPr>
            </w:pPr>
            <w:r w:rsidRPr="00C86862">
              <w:rPr>
                <w:rFonts w:ascii="Times New Roman" w:hAnsi="Times New Roman" w:cs="Times New Roman"/>
                <w:sz w:val="22"/>
              </w:rPr>
              <w:t>205 ± 15</w:t>
            </w:r>
          </w:p>
        </w:tc>
      </w:tr>
    </w:tbl>
    <w:p w14:paraId="74495FAB" w14:textId="6E5EBF0D" w:rsidR="00E4715E" w:rsidRPr="00774F9D" w:rsidRDefault="00D219F6" w:rsidP="00774F9D">
      <w:pPr>
        <w:spacing w:after="0" w:line="360" w:lineRule="auto"/>
        <w:rPr>
          <w:rFonts w:ascii="Times New Roman" w:eastAsiaTheme="minorEastAsia" w:hAnsi="Times New Roman" w:cs="Times New Roman" w:hint="eastAsia"/>
          <w:sz w:val="20"/>
          <w:szCs w:val="20"/>
          <w:lang w:eastAsia="zh-CN"/>
        </w:rPr>
      </w:pPr>
      <w:r w:rsidRPr="00774F9D">
        <w:rPr>
          <w:rFonts w:ascii="Times New Roman" w:hAnsi="Times New Roman" w:cs="Times New Roman"/>
          <w:i/>
          <w:iCs/>
          <w:sz w:val="20"/>
          <w:szCs w:val="20"/>
        </w:rPr>
        <w:t>ATP6V0C</w:t>
      </w:r>
      <w:r w:rsidR="00C3196E" w:rsidRPr="00774F9D">
        <w:rPr>
          <w:rFonts w:ascii="Times New Roman" w:hAnsi="Times New Roman" w:cs="Times New Roman"/>
          <w:sz w:val="20"/>
          <w:szCs w:val="20"/>
        </w:rPr>
        <w:t xml:space="preserve"> </w:t>
      </w:r>
      <w:r w:rsidRPr="00774F9D">
        <w:rPr>
          <w:rFonts w:ascii="Times New Roman" w:hAnsi="Times New Roman" w:cs="Times New Roman"/>
          <w:sz w:val="20"/>
          <w:szCs w:val="20"/>
        </w:rPr>
        <w:t>ATPase H</w:t>
      </w:r>
      <w:r w:rsidRPr="00774F9D">
        <w:rPr>
          <w:rFonts w:ascii="Times New Roman" w:hAnsi="Times New Roman" w:cs="Times New Roman"/>
          <w:sz w:val="20"/>
          <w:szCs w:val="20"/>
          <w:vertAlign w:val="superscript"/>
        </w:rPr>
        <w:t>+</w:t>
      </w:r>
      <w:r w:rsidRPr="00774F9D">
        <w:rPr>
          <w:rFonts w:ascii="Times New Roman" w:hAnsi="Times New Roman" w:cs="Times New Roman"/>
          <w:sz w:val="20"/>
          <w:szCs w:val="20"/>
        </w:rPr>
        <w:t xml:space="preserve"> transporting V0 subunit c</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C2CD3</w:t>
      </w:r>
      <w:r w:rsidR="00C3196E" w:rsidRPr="00774F9D">
        <w:rPr>
          <w:rFonts w:ascii="Times New Roman" w:hAnsi="Times New Roman" w:cs="Times New Roman"/>
          <w:sz w:val="20"/>
          <w:szCs w:val="20"/>
        </w:rPr>
        <w:t xml:space="preserve"> </w:t>
      </w:r>
      <w:r w:rsidRPr="00774F9D">
        <w:rPr>
          <w:rFonts w:ascii="Times New Roman" w:hAnsi="Times New Roman" w:cs="Times New Roman"/>
          <w:sz w:val="20"/>
          <w:szCs w:val="20"/>
        </w:rPr>
        <w:t>C2 domain containing 3 centriole elongation regulator</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DIO3</w:t>
      </w:r>
      <w:r w:rsidR="00C3196E"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D</w:t>
      </w:r>
      <w:r w:rsidRPr="00774F9D">
        <w:rPr>
          <w:rFonts w:ascii="Times New Roman" w:hAnsi="Times New Roman" w:cs="Times New Roman"/>
          <w:sz w:val="20"/>
          <w:szCs w:val="20"/>
        </w:rPr>
        <w:t>eiodinase, iodothyronine type III</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DSEL</w:t>
      </w:r>
      <w:r w:rsidR="00C3196E"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D</w:t>
      </w:r>
      <w:r w:rsidRPr="00774F9D">
        <w:rPr>
          <w:rFonts w:ascii="Times New Roman" w:hAnsi="Times New Roman" w:cs="Times New Roman"/>
          <w:sz w:val="20"/>
          <w:szCs w:val="20"/>
        </w:rPr>
        <w:t xml:space="preserve">ermatan </w:t>
      </w:r>
      <w:proofErr w:type="spellStart"/>
      <w:r w:rsidRPr="00774F9D">
        <w:rPr>
          <w:rFonts w:ascii="Times New Roman" w:hAnsi="Times New Roman" w:cs="Times New Roman"/>
          <w:sz w:val="20"/>
          <w:szCs w:val="20"/>
        </w:rPr>
        <w:t>sulfate</w:t>
      </w:r>
      <w:proofErr w:type="spellEnd"/>
      <w:r w:rsidRPr="00774F9D">
        <w:rPr>
          <w:rFonts w:ascii="Times New Roman" w:hAnsi="Times New Roman" w:cs="Times New Roman"/>
          <w:sz w:val="20"/>
          <w:szCs w:val="20"/>
        </w:rPr>
        <w:t xml:space="preserve"> epimerase like</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ENPP7</w:t>
      </w:r>
      <w:r w:rsidR="007C7A14"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E</w:t>
      </w:r>
      <w:r w:rsidRPr="00774F9D">
        <w:rPr>
          <w:rFonts w:ascii="Times New Roman" w:hAnsi="Times New Roman" w:cs="Times New Roman"/>
          <w:sz w:val="20"/>
          <w:szCs w:val="20"/>
        </w:rPr>
        <w:t>ctonucleotide pyrophosphatase/phosphodiesterase 7</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FJX1</w:t>
      </w:r>
      <w:r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F</w:t>
      </w:r>
      <w:r w:rsidRPr="00774F9D">
        <w:rPr>
          <w:rFonts w:ascii="Times New Roman" w:hAnsi="Times New Roman" w:cs="Times New Roman"/>
          <w:sz w:val="20"/>
          <w:szCs w:val="20"/>
        </w:rPr>
        <w:t>our jointed box 1</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FNIP1</w:t>
      </w:r>
      <w:r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F</w:t>
      </w:r>
      <w:r w:rsidRPr="00774F9D">
        <w:rPr>
          <w:rFonts w:ascii="Times New Roman" w:hAnsi="Times New Roman" w:cs="Times New Roman"/>
          <w:sz w:val="20"/>
          <w:szCs w:val="20"/>
        </w:rPr>
        <w:t>olliculin interacting protein 1</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HBE1</w:t>
      </w:r>
      <w:r w:rsidRPr="00774F9D">
        <w:rPr>
          <w:rFonts w:ascii="Times New Roman" w:hAnsi="Times New Roman" w:cs="Times New Roman"/>
          <w:sz w:val="20"/>
          <w:szCs w:val="20"/>
        </w:rPr>
        <w:t xml:space="preserve"> </w:t>
      </w:r>
      <w:proofErr w:type="spellStart"/>
      <w:r w:rsidR="00774F9D">
        <w:rPr>
          <w:rFonts w:ascii="Times New Roman" w:eastAsiaTheme="minorEastAsia" w:hAnsi="Times New Roman" w:cs="Times New Roman" w:hint="eastAsia"/>
          <w:sz w:val="20"/>
          <w:szCs w:val="20"/>
          <w:lang w:eastAsia="zh-CN"/>
        </w:rPr>
        <w:t>H</w:t>
      </w:r>
      <w:r w:rsidRPr="00774F9D">
        <w:rPr>
          <w:rFonts w:ascii="Times New Roman" w:hAnsi="Times New Roman" w:cs="Times New Roman"/>
          <w:sz w:val="20"/>
          <w:szCs w:val="20"/>
        </w:rPr>
        <w:t>emoglobin</w:t>
      </w:r>
      <w:proofErr w:type="spellEnd"/>
      <w:r w:rsidRPr="00774F9D">
        <w:rPr>
          <w:rFonts w:ascii="Times New Roman" w:hAnsi="Times New Roman" w:cs="Times New Roman"/>
          <w:sz w:val="20"/>
          <w:szCs w:val="20"/>
        </w:rPr>
        <w:t xml:space="preserve"> subunit epsilon 1</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KHDRBS3</w:t>
      </w:r>
      <w:r w:rsidR="007C7A14" w:rsidRPr="00774F9D">
        <w:rPr>
          <w:rFonts w:ascii="Times New Roman" w:hAnsi="Times New Roman" w:cs="Times New Roman"/>
          <w:sz w:val="20"/>
          <w:szCs w:val="20"/>
        </w:rPr>
        <w:t xml:space="preserve"> </w:t>
      </w:r>
      <w:r w:rsidRPr="00774F9D">
        <w:rPr>
          <w:rFonts w:ascii="Times New Roman" w:hAnsi="Times New Roman" w:cs="Times New Roman"/>
          <w:sz w:val="20"/>
          <w:szCs w:val="20"/>
        </w:rPr>
        <w:t>KH RNA binding domain containing, signal transduction associated 3</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KLF5</w:t>
      </w:r>
      <w:r w:rsidR="007C7A14" w:rsidRPr="00774F9D">
        <w:rPr>
          <w:rFonts w:ascii="Times New Roman" w:hAnsi="Times New Roman" w:cs="Times New Roman"/>
          <w:sz w:val="20"/>
          <w:szCs w:val="20"/>
        </w:rPr>
        <w:t xml:space="preserve"> </w:t>
      </w:r>
      <w:proofErr w:type="spellStart"/>
      <w:r w:rsidRPr="00774F9D">
        <w:rPr>
          <w:rFonts w:ascii="Times New Roman" w:hAnsi="Times New Roman" w:cs="Times New Roman"/>
          <w:sz w:val="20"/>
          <w:szCs w:val="20"/>
        </w:rPr>
        <w:t>Kruppel</w:t>
      </w:r>
      <w:proofErr w:type="spellEnd"/>
      <w:r w:rsidRPr="00774F9D">
        <w:rPr>
          <w:rFonts w:ascii="Times New Roman" w:hAnsi="Times New Roman" w:cs="Times New Roman"/>
          <w:sz w:val="20"/>
          <w:szCs w:val="20"/>
        </w:rPr>
        <w:t xml:space="preserve"> like factor 5, </w:t>
      </w:r>
      <w:r w:rsidRPr="00774F9D">
        <w:rPr>
          <w:rFonts w:ascii="Times New Roman" w:hAnsi="Times New Roman" w:cs="Times New Roman"/>
          <w:i/>
          <w:iCs/>
          <w:sz w:val="20"/>
          <w:szCs w:val="20"/>
        </w:rPr>
        <w:t>OSCP1</w:t>
      </w:r>
      <w:r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O</w:t>
      </w:r>
      <w:r w:rsidRPr="00774F9D">
        <w:rPr>
          <w:rFonts w:ascii="Times New Roman" w:hAnsi="Times New Roman" w:cs="Times New Roman"/>
          <w:sz w:val="20"/>
          <w:szCs w:val="20"/>
        </w:rPr>
        <w:t>rganic solute carrier partner 1</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TMEM38A</w:t>
      </w:r>
      <w:r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T</w:t>
      </w:r>
      <w:r w:rsidRPr="00774F9D">
        <w:rPr>
          <w:rFonts w:ascii="Times New Roman" w:hAnsi="Times New Roman" w:cs="Times New Roman"/>
          <w:sz w:val="20"/>
          <w:szCs w:val="20"/>
        </w:rPr>
        <w:t>ransmembrane protein 38A</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TOPAZ1</w:t>
      </w:r>
      <w:r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T</w:t>
      </w:r>
      <w:r w:rsidRPr="00774F9D">
        <w:rPr>
          <w:rFonts w:ascii="Times New Roman" w:hAnsi="Times New Roman" w:cs="Times New Roman"/>
          <w:sz w:val="20"/>
          <w:szCs w:val="20"/>
        </w:rPr>
        <w:t>estis and ovary specific PAZ domain containing 1</w:t>
      </w:r>
      <w:r w:rsidR="00774F9D">
        <w:rPr>
          <w:rFonts w:ascii="Times New Roman" w:eastAsiaTheme="minorEastAsia" w:hAnsi="Times New Roman" w:cs="Times New Roman" w:hint="eastAsia"/>
          <w:sz w:val="20"/>
          <w:szCs w:val="20"/>
          <w:lang w:eastAsia="zh-CN"/>
        </w:rPr>
        <w:t>,</w:t>
      </w:r>
      <w:r w:rsidRPr="00774F9D">
        <w:rPr>
          <w:rFonts w:ascii="Times New Roman" w:hAnsi="Times New Roman" w:cs="Times New Roman"/>
          <w:sz w:val="20"/>
          <w:szCs w:val="20"/>
        </w:rPr>
        <w:t xml:space="preserve"> </w:t>
      </w:r>
      <w:r w:rsidRPr="00774F9D">
        <w:rPr>
          <w:rFonts w:ascii="Times New Roman" w:hAnsi="Times New Roman" w:cs="Times New Roman"/>
          <w:i/>
          <w:iCs/>
          <w:sz w:val="20"/>
          <w:szCs w:val="20"/>
        </w:rPr>
        <w:t>ZFPM1</w:t>
      </w:r>
      <w:r w:rsidRPr="00774F9D">
        <w:rPr>
          <w:rFonts w:ascii="Times New Roman" w:hAnsi="Times New Roman" w:cs="Times New Roman"/>
          <w:sz w:val="20"/>
          <w:szCs w:val="20"/>
        </w:rPr>
        <w:t xml:space="preserve"> </w:t>
      </w:r>
      <w:r w:rsidR="00774F9D">
        <w:rPr>
          <w:rFonts w:ascii="Times New Roman" w:eastAsiaTheme="minorEastAsia" w:hAnsi="Times New Roman" w:cs="Times New Roman" w:hint="eastAsia"/>
          <w:sz w:val="20"/>
          <w:szCs w:val="20"/>
          <w:lang w:eastAsia="zh-CN"/>
        </w:rPr>
        <w:t>Z</w:t>
      </w:r>
      <w:r w:rsidRPr="00774F9D">
        <w:rPr>
          <w:rFonts w:ascii="Times New Roman" w:hAnsi="Times New Roman" w:cs="Times New Roman"/>
          <w:sz w:val="20"/>
          <w:szCs w:val="20"/>
        </w:rPr>
        <w:t>inc finger protein, FOG family member 1</w:t>
      </w:r>
    </w:p>
    <w:p w14:paraId="2D546CC6" w14:textId="05632475" w:rsidR="00774F9D" w:rsidRPr="00774F9D" w:rsidRDefault="00774F9D" w:rsidP="00774F9D">
      <w:pPr>
        <w:spacing w:after="0" w:line="360" w:lineRule="auto"/>
        <w:rPr>
          <w:rFonts w:ascii="Times New Roman" w:eastAsiaTheme="minorEastAsia" w:hAnsi="Times New Roman" w:cs="Times New Roman" w:hint="eastAsia"/>
          <w:szCs w:val="24"/>
          <w:lang w:eastAsia="zh-CN"/>
        </w:rPr>
      </w:pPr>
      <w:r w:rsidRPr="00774F9D">
        <w:rPr>
          <w:rFonts w:ascii="Times New Roman" w:hAnsi="Times New Roman" w:cs="Times New Roman"/>
          <w:sz w:val="20"/>
          <w:szCs w:val="20"/>
        </w:rPr>
        <w:t xml:space="preserve">Gene expression is showed as Fragments Per Kilobase per Millon mapped reads (Mean </w:t>
      </w:r>
      <w:r w:rsidRPr="00774F9D">
        <w:rPr>
          <w:rFonts w:ascii="Times New Roman" w:hAnsi="Times New Roman" w:cs="Times New Roman"/>
          <w:color w:val="000000"/>
          <w:sz w:val="20"/>
          <w:szCs w:val="20"/>
          <w:lang w:eastAsia="en-AU"/>
        </w:rPr>
        <w:t>± SE)</w:t>
      </w:r>
    </w:p>
    <w:sectPr w:rsidR="00774F9D" w:rsidRPr="00774F9D" w:rsidSect="0036229B">
      <w:footerReference w:type="default" r:id="rId1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789769" w14:textId="77777777" w:rsidR="00B34DB5" w:rsidRDefault="00B34DB5" w:rsidP="00E358D7">
      <w:r>
        <w:separator/>
      </w:r>
    </w:p>
  </w:endnote>
  <w:endnote w:type="continuationSeparator" w:id="0">
    <w:p w14:paraId="3AF474C2" w14:textId="77777777" w:rsidR="00B34DB5" w:rsidRDefault="00B34DB5" w:rsidP="00E3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AB585" w14:textId="77777777" w:rsidR="00D41A9B" w:rsidRDefault="00D41A9B">
    <w:pPr>
      <w:jc w:val="center"/>
    </w:pPr>
  </w:p>
  <w:p w14:paraId="7D028A80" w14:textId="77777777" w:rsidR="00D41A9B" w:rsidRDefault="00D41A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E7D5C7" w14:textId="77777777" w:rsidR="00B34DB5" w:rsidRDefault="00B34DB5" w:rsidP="00E358D7">
      <w:r>
        <w:separator/>
      </w:r>
    </w:p>
  </w:footnote>
  <w:footnote w:type="continuationSeparator" w:id="0">
    <w:p w14:paraId="1F47164D" w14:textId="77777777" w:rsidR="00B34DB5" w:rsidRDefault="00B34DB5" w:rsidP="00E35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D61A5"/>
    <w:multiLevelType w:val="hybridMultilevel"/>
    <w:tmpl w:val="E11EF76E"/>
    <w:lvl w:ilvl="0" w:tplc="E7A4FDA8">
      <w:start w:val="2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060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nl-NL" w:vendorID="64" w:dllVersion="6" w:nlCheck="1" w:checkStyle="0"/>
  <w:activeWritingStyle w:appName="MSWord" w:lang="en-GB"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AU" w:vendorID="64" w:dllVersion="0" w:nlCheck="1" w:checkStyle="0"/>
  <w:activeWritingStyle w:appName="MSWord" w:lang="en-AU" w:vendorID="64" w:dllVersion="4096" w:nlCheck="1" w:checkStyle="0"/>
  <w:proofState w:spelling="clean" w:grammar="clean"/>
  <w:stylePaneFormatFilter w:val="1A01" w:allStyles="1" w:customStyles="0" w:latentStyles="0" w:stylesInUse="0" w:headingStyles="0" w:numberingStyles="0" w:tableStyles="0" w:directFormattingOnRuns="0" w:directFormattingOnParagraphs="1" w:directFormattingOnNumbering="0" w:directFormattingOnTables="1"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3NrewMDYyMDE1srRQ0lEKTi0uzszPAykwNKoFAHN70XItAAAA"/>
  </w:docVars>
  <w:rsids>
    <w:rsidRoot w:val="00C02F3F"/>
    <w:rsid w:val="000063D4"/>
    <w:rsid w:val="0000708B"/>
    <w:rsid w:val="00007DB1"/>
    <w:rsid w:val="00011899"/>
    <w:rsid w:val="000127BC"/>
    <w:rsid w:val="00021910"/>
    <w:rsid w:val="00060FDE"/>
    <w:rsid w:val="0007384E"/>
    <w:rsid w:val="00077174"/>
    <w:rsid w:val="00081656"/>
    <w:rsid w:val="000959AD"/>
    <w:rsid w:val="000975AE"/>
    <w:rsid w:val="000C4E8D"/>
    <w:rsid w:val="000D0F51"/>
    <w:rsid w:val="000D7DB3"/>
    <w:rsid w:val="000E13AF"/>
    <w:rsid w:val="000E25B6"/>
    <w:rsid w:val="000F2B1A"/>
    <w:rsid w:val="000F2CB4"/>
    <w:rsid w:val="000F2FC5"/>
    <w:rsid w:val="001054A1"/>
    <w:rsid w:val="0010615B"/>
    <w:rsid w:val="00140441"/>
    <w:rsid w:val="00141B16"/>
    <w:rsid w:val="0014214D"/>
    <w:rsid w:val="00142C9E"/>
    <w:rsid w:val="00146273"/>
    <w:rsid w:val="00150660"/>
    <w:rsid w:val="00151937"/>
    <w:rsid w:val="001651B7"/>
    <w:rsid w:val="00176688"/>
    <w:rsid w:val="00177496"/>
    <w:rsid w:val="00181174"/>
    <w:rsid w:val="00181D97"/>
    <w:rsid w:val="00184405"/>
    <w:rsid w:val="001859C3"/>
    <w:rsid w:val="00185E7C"/>
    <w:rsid w:val="00193518"/>
    <w:rsid w:val="00195C8E"/>
    <w:rsid w:val="001A21A4"/>
    <w:rsid w:val="001C24C0"/>
    <w:rsid w:val="001C5E3F"/>
    <w:rsid w:val="001D6027"/>
    <w:rsid w:val="001E7436"/>
    <w:rsid w:val="001F4C26"/>
    <w:rsid w:val="00200F6C"/>
    <w:rsid w:val="00210C0B"/>
    <w:rsid w:val="00212A31"/>
    <w:rsid w:val="00214C01"/>
    <w:rsid w:val="00217ACA"/>
    <w:rsid w:val="002248EE"/>
    <w:rsid w:val="00224F12"/>
    <w:rsid w:val="00231567"/>
    <w:rsid w:val="002409AF"/>
    <w:rsid w:val="002569BE"/>
    <w:rsid w:val="00261229"/>
    <w:rsid w:val="00262DD8"/>
    <w:rsid w:val="00270F9E"/>
    <w:rsid w:val="0027186D"/>
    <w:rsid w:val="00272004"/>
    <w:rsid w:val="00273FAE"/>
    <w:rsid w:val="00275701"/>
    <w:rsid w:val="00286D10"/>
    <w:rsid w:val="002912E1"/>
    <w:rsid w:val="00294320"/>
    <w:rsid w:val="002A632B"/>
    <w:rsid w:val="002A79FE"/>
    <w:rsid w:val="002B748B"/>
    <w:rsid w:val="002C783F"/>
    <w:rsid w:val="002D4020"/>
    <w:rsid w:val="002D6778"/>
    <w:rsid w:val="002D75A1"/>
    <w:rsid w:val="002D7BD2"/>
    <w:rsid w:val="002E5A0D"/>
    <w:rsid w:val="002E79BC"/>
    <w:rsid w:val="002F56A8"/>
    <w:rsid w:val="0030214A"/>
    <w:rsid w:val="00304A2F"/>
    <w:rsid w:val="003128AF"/>
    <w:rsid w:val="00314F47"/>
    <w:rsid w:val="0032359F"/>
    <w:rsid w:val="0032757F"/>
    <w:rsid w:val="003354B9"/>
    <w:rsid w:val="00336D95"/>
    <w:rsid w:val="0034086A"/>
    <w:rsid w:val="0036229B"/>
    <w:rsid w:val="0036347F"/>
    <w:rsid w:val="003651AB"/>
    <w:rsid w:val="00381FC3"/>
    <w:rsid w:val="0038617F"/>
    <w:rsid w:val="00397A0A"/>
    <w:rsid w:val="003A03F4"/>
    <w:rsid w:val="003A3F92"/>
    <w:rsid w:val="003A5A37"/>
    <w:rsid w:val="003B1F68"/>
    <w:rsid w:val="003C18F0"/>
    <w:rsid w:val="003D42A7"/>
    <w:rsid w:val="003E3F77"/>
    <w:rsid w:val="003E6837"/>
    <w:rsid w:val="003F1E4A"/>
    <w:rsid w:val="003F2AB6"/>
    <w:rsid w:val="003F7440"/>
    <w:rsid w:val="00407BF1"/>
    <w:rsid w:val="00414E60"/>
    <w:rsid w:val="004155A0"/>
    <w:rsid w:val="00420AD8"/>
    <w:rsid w:val="00421347"/>
    <w:rsid w:val="00427DD3"/>
    <w:rsid w:val="00443B18"/>
    <w:rsid w:val="00444CE5"/>
    <w:rsid w:val="004574B5"/>
    <w:rsid w:val="004611C2"/>
    <w:rsid w:val="0046434D"/>
    <w:rsid w:val="00465E0D"/>
    <w:rsid w:val="00466B35"/>
    <w:rsid w:val="00466E38"/>
    <w:rsid w:val="0046765E"/>
    <w:rsid w:val="00472C05"/>
    <w:rsid w:val="004A1E62"/>
    <w:rsid w:val="004B6DCD"/>
    <w:rsid w:val="004D54CC"/>
    <w:rsid w:val="004E0D60"/>
    <w:rsid w:val="004E18D7"/>
    <w:rsid w:val="004E628F"/>
    <w:rsid w:val="004E6DBA"/>
    <w:rsid w:val="004F223A"/>
    <w:rsid w:val="00505677"/>
    <w:rsid w:val="00505C26"/>
    <w:rsid w:val="0051341B"/>
    <w:rsid w:val="005141DE"/>
    <w:rsid w:val="005220CC"/>
    <w:rsid w:val="005302C3"/>
    <w:rsid w:val="00543D27"/>
    <w:rsid w:val="005520C1"/>
    <w:rsid w:val="00563642"/>
    <w:rsid w:val="00563C58"/>
    <w:rsid w:val="00570847"/>
    <w:rsid w:val="00580096"/>
    <w:rsid w:val="00580EF3"/>
    <w:rsid w:val="005C46D4"/>
    <w:rsid w:val="005C6518"/>
    <w:rsid w:val="005D0A18"/>
    <w:rsid w:val="005E6A36"/>
    <w:rsid w:val="005F0ACF"/>
    <w:rsid w:val="006106BA"/>
    <w:rsid w:val="00627D17"/>
    <w:rsid w:val="00632825"/>
    <w:rsid w:val="0064520D"/>
    <w:rsid w:val="00645CE8"/>
    <w:rsid w:val="00646327"/>
    <w:rsid w:val="006512B5"/>
    <w:rsid w:val="00652B2F"/>
    <w:rsid w:val="00663BC9"/>
    <w:rsid w:val="00663D86"/>
    <w:rsid w:val="00670C2B"/>
    <w:rsid w:val="006769CC"/>
    <w:rsid w:val="00677DEB"/>
    <w:rsid w:val="00682EED"/>
    <w:rsid w:val="00697B32"/>
    <w:rsid w:val="006A4BC6"/>
    <w:rsid w:val="006A4C50"/>
    <w:rsid w:val="006B1B26"/>
    <w:rsid w:val="006D4138"/>
    <w:rsid w:val="00713777"/>
    <w:rsid w:val="007249FF"/>
    <w:rsid w:val="00726630"/>
    <w:rsid w:val="007269CA"/>
    <w:rsid w:val="0073411C"/>
    <w:rsid w:val="00735B85"/>
    <w:rsid w:val="00740087"/>
    <w:rsid w:val="00744483"/>
    <w:rsid w:val="007472F6"/>
    <w:rsid w:val="007526C9"/>
    <w:rsid w:val="007602C8"/>
    <w:rsid w:val="007612DF"/>
    <w:rsid w:val="00771A2B"/>
    <w:rsid w:val="00774F9D"/>
    <w:rsid w:val="007772B7"/>
    <w:rsid w:val="00797677"/>
    <w:rsid w:val="007A1E5F"/>
    <w:rsid w:val="007B5ADB"/>
    <w:rsid w:val="007C1EB3"/>
    <w:rsid w:val="007C48A4"/>
    <w:rsid w:val="007C62D5"/>
    <w:rsid w:val="007C7A14"/>
    <w:rsid w:val="007D3C6E"/>
    <w:rsid w:val="00802EB4"/>
    <w:rsid w:val="00803DAA"/>
    <w:rsid w:val="0082204D"/>
    <w:rsid w:val="00826F71"/>
    <w:rsid w:val="00841701"/>
    <w:rsid w:val="00846C55"/>
    <w:rsid w:val="00855567"/>
    <w:rsid w:val="00855EBF"/>
    <w:rsid w:val="00861E38"/>
    <w:rsid w:val="008821B0"/>
    <w:rsid w:val="00892F4F"/>
    <w:rsid w:val="00897B84"/>
    <w:rsid w:val="008D5D38"/>
    <w:rsid w:val="008E6838"/>
    <w:rsid w:val="008F0C04"/>
    <w:rsid w:val="008F1AF1"/>
    <w:rsid w:val="008F359B"/>
    <w:rsid w:val="008F4239"/>
    <w:rsid w:val="00901C0B"/>
    <w:rsid w:val="00904840"/>
    <w:rsid w:val="009151E5"/>
    <w:rsid w:val="00915432"/>
    <w:rsid w:val="009200D8"/>
    <w:rsid w:val="009256FB"/>
    <w:rsid w:val="009338C7"/>
    <w:rsid w:val="00935A63"/>
    <w:rsid w:val="00951B14"/>
    <w:rsid w:val="0095796B"/>
    <w:rsid w:val="00960EEB"/>
    <w:rsid w:val="00973B80"/>
    <w:rsid w:val="00974E43"/>
    <w:rsid w:val="009822B5"/>
    <w:rsid w:val="00984107"/>
    <w:rsid w:val="00986350"/>
    <w:rsid w:val="009C01C9"/>
    <w:rsid w:val="009D353D"/>
    <w:rsid w:val="009E15DA"/>
    <w:rsid w:val="009E2058"/>
    <w:rsid w:val="00A00825"/>
    <w:rsid w:val="00A030C9"/>
    <w:rsid w:val="00A1510B"/>
    <w:rsid w:val="00A15736"/>
    <w:rsid w:val="00A21D2D"/>
    <w:rsid w:val="00A31AD2"/>
    <w:rsid w:val="00A321E0"/>
    <w:rsid w:val="00A32C06"/>
    <w:rsid w:val="00A35641"/>
    <w:rsid w:val="00A4196D"/>
    <w:rsid w:val="00A51FC5"/>
    <w:rsid w:val="00A603E6"/>
    <w:rsid w:val="00A6196D"/>
    <w:rsid w:val="00A61DC2"/>
    <w:rsid w:val="00A64F3A"/>
    <w:rsid w:val="00A67BDA"/>
    <w:rsid w:val="00A76F1C"/>
    <w:rsid w:val="00A77689"/>
    <w:rsid w:val="00A93A76"/>
    <w:rsid w:val="00A95928"/>
    <w:rsid w:val="00A966EE"/>
    <w:rsid w:val="00AA0402"/>
    <w:rsid w:val="00AA1963"/>
    <w:rsid w:val="00AA7F3A"/>
    <w:rsid w:val="00AB1155"/>
    <w:rsid w:val="00AB35C1"/>
    <w:rsid w:val="00AC1492"/>
    <w:rsid w:val="00AD41FE"/>
    <w:rsid w:val="00AD6C29"/>
    <w:rsid w:val="00AF2D41"/>
    <w:rsid w:val="00B061D3"/>
    <w:rsid w:val="00B07CEF"/>
    <w:rsid w:val="00B140A7"/>
    <w:rsid w:val="00B14F02"/>
    <w:rsid w:val="00B17936"/>
    <w:rsid w:val="00B22524"/>
    <w:rsid w:val="00B34DB5"/>
    <w:rsid w:val="00B46026"/>
    <w:rsid w:val="00B476A1"/>
    <w:rsid w:val="00B6027B"/>
    <w:rsid w:val="00B74F69"/>
    <w:rsid w:val="00B86E3B"/>
    <w:rsid w:val="00B93412"/>
    <w:rsid w:val="00B937E1"/>
    <w:rsid w:val="00B9737F"/>
    <w:rsid w:val="00BA20F1"/>
    <w:rsid w:val="00BA2913"/>
    <w:rsid w:val="00BA5AAC"/>
    <w:rsid w:val="00BA5FB6"/>
    <w:rsid w:val="00BB07C0"/>
    <w:rsid w:val="00BC0B66"/>
    <w:rsid w:val="00BC123B"/>
    <w:rsid w:val="00BC55B7"/>
    <w:rsid w:val="00BD59E0"/>
    <w:rsid w:val="00BE326B"/>
    <w:rsid w:val="00C02F3F"/>
    <w:rsid w:val="00C10CB1"/>
    <w:rsid w:val="00C1187A"/>
    <w:rsid w:val="00C152B7"/>
    <w:rsid w:val="00C16EA4"/>
    <w:rsid w:val="00C30642"/>
    <w:rsid w:val="00C3166F"/>
    <w:rsid w:val="00C3196E"/>
    <w:rsid w:val="00C34198"/>
    <w:rsid w:val="00C34446"/>
    <w:rsid w:val="00C36CAD"/>
    <w:rsid w:val="00C4019C"/>
    <w:rsid w:val="00C50813"/>
    <w:rsid w:val="00C528E5"/>
    <w:rsid w:val="00C53C51"/>
    <w:rsid w:val="00C56FB9"/>
    <w:rsid w:val="00C64A68"/>
    <w:rsid w:val="00C66CA7"/>
    <w:rsid w:val="00C6703F"/>
    <w:rsid w:val="00C86862"/>
    <w:rsid w:val="00C86E76"/>
    <w:rsid w:val="00C9159A"/>
    <w:rsid w:val="00C91A14"/>
    <w:rsid w:val="00CA283C"/>
    <w:rsid w:val="00CA7476"/>
    <w:rsid w:val="00CB726B"/>
    <w:rsid w:val="00CC1DF9"/>
    <w:rsid w:val="00CC2607"/>
    <w:rsid w:val="00CD31CF"/>
    <w:rsid w:val="00CD5A1B"/>
    <w:rsid w:val="00CE29EF"/>
    <w:rsid w:val="00CE3595"/>
    <w:rsid w:val="00CE36A5"/>
    <w:rsid w:val="00CE428D"/>
    <w:rsid w:val="00CF4828"/>
    <w:rsid w:val="00D06BE1"/>
    <w:rsid w:val="00D219F6"/>
    <w:rsid w:val="00D248B1"/>
    <w:rsid w:val="00D2762B"/>
    <w:rsid w:val="00D305A6"/>
    <w:rsid w:val="00D308B7"/>
    <w:rsid w:val="00D33C36"/>
    <w:rsid w:val="00D36F96"/>
    <w:rsid w:val="00D37666"/>
    <w:rsid w:val="00D41A9B"/>
    <w:rsid w:val="00D4515C"/>
    <w:rsid w:val="00D50F53"/>
    <w:rsid w:val="00D5348E"/>
    <w:rsid w:val="00D604AD"/>
    <w:rsid w:val="00D612C7"/>
    <w:rsid w:val="00D67752"/>
    <w:rsid w:val="00D83EE3"/>
    <w:rsid w:val="00D87226"/>
    <w:rsid w:val="00DA0E6B"/>
    <w:rsid w:val="00DA415F"/>
    <w:rsid w:val="00DB6D1F"/>
    <w:rsid w:val="00DD0FE0"/>
    <w:rsid w:val="00DD41E5"/>
    <w:rsid w:val="00DE1F08"/>
    <w:rsid w:val="00DE2413"/>
    <w:rsid w:val="00DF0682"/>
    <w:rsid w:val="00DF7698"/>
    <w:rsid w:val="00E05399"/>
    <w:rsid w:val="00E16EDF"/>
    <w:rsid w:val="00E207E6"/>
    <w:rsid w:val="00E253CA"/>
    <w:rsid w:val="00E3006F"/>
    <w:rsid w:val="00E30FA5"/>
    <w:rsid w:val="00E358D7"/>
    <w:rsid w:val="00E42B62"/>
    <w:rsid w:val="00E42C34"/>
    <w:rsid w:val="00E4715E"/>
    <w:rsid w:val="00E503FA"/>
    <w:rsid w:val="00E54E4F"/>
    <w:rsid w:val="00E55D93"/>
    <w:rsid w:val="00E5667D"/>
    <w:rsid w:val="00E60588"/>
    <w:rsid w:val="00E64752"/>
    <w:rsid w:val="00E64B13"/>
    <w:rsid w:val="00E73AE3"/>
    <w:rsid w:val="00E8082D"/>
    <w:rsid w:val="00E853B3"/>
    <w:rsid w:val="00E90090"/>
    <w:rsid w:val="00E93B8F"/>
    <w:rsid w:val="00E95BE1"/>
    <w:rsid w:val="00EA4231"/>
    <w:rsid w:val="00EB0C08"/>
    <w:rsid w:val="00EB36CA"/>
    <w:rsid w:val="00EB4779"/>
    <w:rsid w:val="00F139E3"/>
    <w:rsid w:val="00F21896"/>
    <w:rsid w:val="00F24306"/>
    <w:rsid w:val="00F25997"/>
    <w:rsid w:val="00F43368"/>
    <w:rsid w:val="00F51FBD"/>
    <w:rsid w:val="00F53422"/>
    <w:rsid w:val="00F662A7"/>
    <w:rsid w:val="00F66D31"/>
    <w:rsid w:val="00F70915"/>
    <w:rsid w:val="00F72115"/>
    <w:rsid w:val="00F820DC"/>
    <w:rsid w:val="00F83D9B"/>
    <w:rsid w:val="00F86726"/>
    <w:rsid w:val="00F96352"/>
    <w:rsid w:val="00FA1472"/>
    <w:rsid w:val="00FA4EC1"/>
    <w:rsid w:val="00FB77B3"/>
    <w:rsid w:val="00FE083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474DD5"/>
  <w15:docId w15:val="{828DCF96-7649-40E3-85FF-25944CEA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440"/>
    <w:pPr>
      <w:spacing w:after="160" w:line="480" w:lineRule="auto"/>
    </w:pPr>
    <w:rPr>
      <w:rFonts w:asciiTheme="minorHAnsi" w:eastAsiaTheme="minorHAnsi" w:hAnsiTheme="minorHAnsi" w:cstheme="minorBidi"/>
      <w:kern w:val="2"/>
      <w:sz w:val="24"/>
      <w:szCs w:val="22"/>
      <w:lang w:val="en-AU" w:eastAsia="en-US"/>
      <w14:ligatures w14:val="standardContextual"/>
    </w:rPr>
  </w:style>
  <w:style w:type="paragraph" w:styleId="1">
    <w:name w:val="heading 1"/>
    <w:basedOn w:val="a"/>
    <w:next w:val="a"/>
    <w:link w:val="10"/>
    <w:uiPriority w:val="9"/>
    <w:qFormat/>
    <w:locked/>
    <w:rsid w:val="003F744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locked/>
    <w:rsid w:val="003F744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locked/>
    <w:rsid w:val="003F7440"/>
    <w:pPr>
      <w:keepNext/>
      <w:keepLines/>
      <w:spacing w:before="40" w:after="0" w:line="360" w:lineRule="auto"/>
      <w:jc w:val="both"/>
      <w:outlineLvl w:val="2"/>
    </w:pPr>
    <w:rPr>
      <w:rFonts w:asciiTheme="majorHAnsi" w:eastAsiaTheme="majorEastAsia" w:hAnsiTheme="majorHAnsi" w:cstheme="majorBidi"/>
      <w:color w:val="0D0D0D" w:themeColor="text1" w:themeTint="F2"/>
      <w:kern w:val="0"/>
      <w:szCs w:val="24"/>
      <w14:ligatures w14:val="none"/>
    </w:rPr>
  </w:style>
  <w:style w:type="paragraph" w:styleId="4">
    <w:name w:val="heading 4"/>
    <w:basedOn w:val="a"/>
    <w:next w:val="a"/>
    <w:link w:val="40"/>
    <w:uiPriority w:val="9"/>
    <w:semiHidden/>
    <w:unhideWhenUsed/>
    <w:qFormat/>
    <w:locked/>
    <w:rsid w:val="003F744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locked/>
    <w:rsid w:val="003F744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locked/>
    <w:rsid w:val="003F74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locked/>
    <w:rsid w:val="003F74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locked/>
    <w:rsid w:val="003F74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locked/>
    <w:rsid w:val="003F74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3F7440"/>
    <w:rPr>
      <w:sz w:val="16"/>
      <w:szCs w:val="16"/>
    </w:rPr>
  </w:style>
  <w:style w:type="paragraph" w:styleId="a4">
    <w:name w:val="annotation text"/>
    <w:basedOn w:val="a"/>
    <w:link w:val="a5"/>
    <w:uiPriority w:val="99"/>
    <w:unhideWhenUsed/>
    <w:rsid w:val="003F7440"/>
    <w:pPr>
      <w:spacing w:line="240" w:lineRule="auto"/>
      <w:jc w:val="both"/>
    </w:pPr>
    <w:rPr>
      <w:rFonts w:ascii="Times New Roman" w:eastAsiaTheme="minorEastAsia" w:hAnsi="Times New Roman"/>
      <w:kern w:val="0"/>
      <w:sz w:val="20"/>
      <w:szCs w:val="20"/>
    </w:rPr>
  </w:style>
  <w:style w:type="character" w:customStyle="1" w:styleId="a5">
    <w:name w:val="批注文字 字符"/>
    <w:basedOn w:val="a0"/>
    <w:link w:val="a4"/>
    <w:uiPriority w:val="99"/>
    <w:rsid w:val="003F7440"/>
    <w:rPr>
      <w:rFonts w:eastAsiaTheme="minorEastAsia" w:cstheme="minorBidi"/>
      <w:lang w:val="en-AU" w:eastAsia="en-US"/>
      <w14:ligatures w14:val="standardContextual"/>
    </w:rPr>
  </w:style>
  <w:style w:type="paragraph" w:styleId="a6">
    <w:name w:val="annotation subject"/>
    <w:basedOn w:val="a4"/>
    <w:next w:val="a4"/>
    <w:link w:val="a7"/>
    <w:uiPriority w:val="99"/>
    <w:semiHidden/>
    <w:unhideWhenUsed/>
    <w:rsid w:val="003F7440"/>
    <w:pPr>
      <w:jc w:val="left"/>
    </w:pPr>
    <w:rPr>
      <w:b/>
      <w:bCs/>
    </w:rPr>
  </w:style>
  <w:style w:type="character" w:customStyle="1" w:styleId="a7">
    <w:name w:val="批注主题 字符"/>
    <w:basedOn w:val="a5"/>
    <w:link w:val="a6"/>
    <w:uiPriority w:val="99"/>
    <w:semiHidden/>
    <w:rsid w:val="003F7440"/>
    <w:rPr>
      <w:rFonts w:eastAsiaTheme="minorEastAsia" w:cstheme="minorBidi"/>
      <w:b/>
      <w:bCs/>
      <w:lang w:val="en-AU" w:eastAsia="en-US"/>
      <w14:ligatures w14:val="standardContextual"/>
    </w:rPr>
  </w:style>
  <w:style w:type="paragraph" w:styleId="a8">
    <w:name w:val="footer"/>
    <w:basedOn w:val="a"/>
    <w:link w:val="a9"/>
    <w:uiPriority w:val="99"/>
    <w:unhideWhenUsed/>
    <w:rsid w:val="003F7440"/>
    <w:pPr>
      <w:tabs>
        <w:tab w:val="center" w:pos="4513"/>
        <w:tab w:val="right" w:pos="9026"/>
      </w:tabs>
      <w:spacing w:after="0" w:line="240" w:lineRule="auto"/>
    </w:pPr>
  </w:style>
  <w:style w:type="character" w:customStyle="1" w:styleId="a9">
    <w:name w:val="页脚 字符"/>
    <w:basedOn w:val="a0"/>
    <w:link w:val="a8"/>
    <w:uiPriority w:val="99"/>
    <w:rsid w:val="003F7440"/>
    <w:rPr>
      <w:rFonts w:asciiTheme="minorHAnsi" w:eastAsiaTheme="minorHAnsi" w:hAnsiTheme="minorHAnsi" w:cstheme="minorBidi"/>
      <w:kern w:val="2"/>
      <w:sz w:val="24"/>
      <w:szCs w:val="22"/>
      <w:lang w:val="en-AU" w:eastAsia="en-US"/>
      <w14:ligatures w14:val="standardContextual"/>
    </w:rPr>
  </w:style>
  <w:style w:type="paragraph" w:styleId="aa">
    <w:name w:val="header"/>
    <w:basedOn w:val="a"/>
    <w:link w:val="ab"/>
    <w:uiPriority w:val="99"/>
    <w:unhideWhenUsed/>
    <w:rsid w:val="003F7440"/>
    <w:pPr>
      <w:tabs>
        <w:tab w:val="center" w:pos="4513"/>
        <w:tab w:val="right" w:pos="9026"/>
      </w:tabs>
      <w:spacing w:after="0" w:line="240" w:lineRule="auto"/>
    </w:pPr>
  </w:style>
  <w:style w:type="character" w:customStyle="1" w:styleId="ab">
    <w:name w:val="页眉 字符"/>
    <w:basedOn w:val="a0"/>
    <w:link w:val="aa"/>
    <w:uiPriority w:val="99"/>
    <w:rsid w:val="003F7440"/>
    <w:rPr>
      <w:rFonts w:asciiTheme="minorHAnsi" w:eastAsiaTheme="minorHAnsi" w:hAnsiTheme="minorHAnsi" w:cstheme="minorBidi"/>
      <w:kern w:val="2"/>
      <w:sz w:val="24"/>
      <w:szCs w:val="22"/>
      <w:lang w:val="en-AU" w:eastAsia="en-US"/>
      <w14:ligatures w14:val="standardContextual"/>
    </w:rPr>
  </w:style>
  <w:style w:type="character" w:styleId="ac">
    <w:name w:val="Hyperlink"/>
    <w:basedOn w:val="a0"/>
    <w:uiPriority w:val="99"/>
    <w:unhideWhenUsed/>
    <w:rsid w:val="003F7440"/>
    <w:rPr>
      <w:color w:val="467886"/>
      <w:u w:val="single"/>
    </w:rPr>
  </w:style>
  <w:style w:type="character" w:styleId="ad">
    <w:name w:val="line number"/>
    <w:basedOn w:val="a0"/>
    <w:uiPriority w:val="99"/>
    <w:semiHidden/>
    <w:unhideWhenUsed/>
    <w:rsid w:val="003F7440"/>
  </w:style>
  <w:style w:type="paragraph" w:styleId="ae">
    <w:name w:val="List Paragraph"/>
    <w:basedOn w:val="a"/>
    <w:uiPriority w:val="34"/>
    <w:qFormat/>
    <w:rsid w:val="003F7440"/>
    <w:pPr>
      <w:spacing w:line="259" w:lineRule="auto"/>
      <w:ind w:left="720"/>
      <w:contextualSpacing/>
    </w:pPr>
    <w:rPr>
      <w:kern w:val="0"/>
      <w:sz w:val="22"/>
      <w14:ligatures w14:val="none"/>
    </w:rPr>
  </w:style>
  <w:style w:type="paragraph" w:styleId="af">
    <w:name w:val="Normal (Web)"/>
    <w:basedOn w:val="a"/>
    <w:uiPriority w:val="99"/>
    <w:unhideWhenUsed/>
    <w:rsid w:val="003F7440"/>
    <w:pPr>
      <w:spacing w:before="100" w:beforeAutospacing="1" w:after="100" w:afterAutospacing="1" w:line="240" w:lineRule="auto"/>
    </w:pPr>
    <w:rPr>
      <w:rFonts w:ascii="Times New Roman" w:eastAsia="Times New Roman" w:hAnsi="Times New Roman" w:cs="Times New Roman"/>
      <w:kern w:val="0"/>
      <w:szCs w:val="24"/>
      <w:lang w:eastAsia="en-AU"/>
      <w14:ligatures w14:val="none"/>
    </w:rPr>
  </w:style>
  <w:style w:type="character" w:styleId="af0">
    <w:name w:val="Placeholder Text"/>
    <w:basedOn w:val="a0"/>
    <w:uiPriority w:val="99"/>
    <w:semiHidden/>
    <w:rsid w:val="003F7440"/>
    <w:rPr>
      <w:color w:val="666666"/>
    </w:rPr>
  </w:style>
  <w:style w:type="character" w:styleId="af1">
    <w:name w:val="Strong"/>
    <w:basedOn w:val="a0"/>
    <w:uiPriority w:val="22"/>
    <w:qFormat/>
    <w:locked/>
    <w:rsid w:val="003F7440"/>
    <w:rPr>
      <w:b/>
      <w:bCs/>
    </w:rPr>
  </w:style>
  <w:style w:type="character" w:customStyle="1" w:styleId="11">
    <w:name w:val="未处理的提及1"/>
    <w:basedOn w:val="a0"/>
    <w:uiPriority w:val="99"/>
    <w:semiHidden/>
    <w:unhideWhenUsed/>
    <w:rsid w:val="003F7440"/>
    <w:rPr>
      <w:color w:val="605E5C"/>
      <w:shd w:val="clear" w:color="auto" w:fill="E1DFDD"/>
    </w:rPr>
  </w:style>
  <w:style w:type="character" w:customStyle="1" w:styleId="10">
    <w:name w:val="标题 1 字符"/>
    <w:basedOn w:val="a0"/>
    <w:link w:val="1"/>
    <w:uiPriority w:val="9"/>
    <w:rsid w:val="003F7440"/>
    <w:rPr>
      <w:rFonts w:asciiTheme="majorHAnsi" w:eastAsiaTheme="majorEastAsia" w:hAnsiTheme="majorHAnsi" w:cstheme="majorBidi"/>
      <w:color w:val="2E74B5" w:themeColor="accent1" w:themeShade="BF"/>
      <w:kern w:val="2"/>
      <w:sz w:val="40"/>
      <w:szCs w:val="40"/>
      <w:lang w:val="en-AU" w:eastAsia="en-US"/>
      <w14:ligatures w14:val="standardContextual"/>
    </w:rPr>
  </w:style>
  <w:style w:type="character" w:customStyle="1" w:styleId="20">
    <w:name w:val="标题 2 字符"/>
    <w:basedOn w:val="a0"/>
    <w:link w:val="2"/>
    <w:uiPriority w:val="9"/>
    <w:rsid w:val="003F7440"/>
    <w:rPr>
      <w:rFonts w:asciiTheme="majorHAnsi" w:eastAsiaTheme="majorEastAsia" w:hAnsiTheme="majorHAnsi" w:cstheme="majorBidi"/>
      <w:color w:val="2E74B5" w:themeColor="accent1" w:themeShade="BF"/>
      <w:kern w:val="2"/>
      <w:sz w:val="32"/>
      <w:szCs w:val="32"/>
      <w:lang w:val="en-AU" w:eastAsia="en-US"/>
      <w14:ligatures w14:val="standardContextual"/>
    </w:rPr>
  </w:style>
  <w:style w:type="character" w:customStyle="1" w:styleId="30">
    <w:name w:val="标题 3 字符"/>
    <w:basedOn w:val="a0"/>
    <w:link w:val="3"/>
    <w:uiPriority w:val="9"/>
    <w:rsid w:val="003F7440"/>
    <w:rPr>
      <w:rFonts w:asciiTheme="majorHAnsi" w:eastAsiaTheme="majorEastAsia" w:hAnsiTheme="majorHAnsi" w:cstheme="majorBidi"/>
      <w:color w:val="0D0D0D" w:themeColor="text1" w:themeTint="F2"/>
      <w:sz w:val="24"/>
      <w:szCs w:val="24"/>
      <w:lang w:val="en-AU" w:eastAsia="en-US"/>
    </w:rPr>
  </w:style>
  <w:style w:type="character" w:customStyle="1" w:styleId="40">
    <w:name w:val="标题 4 字符"/>
    <w:basedOn w:val="a0"/>
    <w:link w:val="4"/>
    <w:uiPriority w:val="9"/>
    <w:semiHidden/>
    <w:rsid w:val="003F7440"/>
    <w:rPr>
      <w:rFonts w:asciiTheme="majorHAnsi" w:eastAsiaTheme="majorEastAsia" w:hAnsiTheme="majorHAnsi" w:cstheme="majorBidi"/>
      <w:i/>
      <w:iCs/>
      <w:color w:val="2E74B5" w:themeColor="accent1" w:themeShade="BF"/>
      <w:kern w:val="2"/>
      <w:sz w:val="24"/>
      <w:szCs w:val="22"/>
      <w:lang w:val="en-AU" w:eastAsia="en-US"/>
      <w14:ligatures w14:val="standardContextual"/>
    </w:rPr>
  </w:style>
  <w:style w:type="character" w:customStyle="1" w:styleId="50">
    <w:name w:val="标题 5 字符"/>
    <w:basedOn w:val="a0"/>
    <w:link w:val="5"/>
    <w:uiPriority w:val="9"/>
    <w:semiHidden/>
    <w:rsid w:val="003F7440"/>
    <w:rPr>
      <w:rFonts w:asciiTheme="majorHAnsi" w:eastAsiaTheme="majorEastAsia" w:hAnsiTheme="majorHAnsi" w:cstheme="majorBidi"/>
      <w:color w:val="2E74B5" w:themeColor="accent1" w:themeShade="BF"/>
      <w:kern w:val="2"/>
      <w:sz w:val="24"/>
      <w:szCs w:val="22"/>
      <w:lang w:val="en-AU" w:eastAsia="en-US"/>
      <w14:ligatures w14:val="standardContextual"/>
    </w:rPr>
  </w:style>
  <w:style w:type="character" w:customStyle="1" w:styleId="60">
    <w:name w:val="标题 6 字符"/>
    <w:basedOn w:val="a0"/>
    <w:link w:val="6"/>
    <w:uiPriority w:val="9"/>
    <w:semiHidden/>
    <w:rsid w:val="003F7440"/>
    <w:rPr>
      <w:rFonts w:asciiTheme="minorHAnsi" w:eastAsiaTheme="majorEastAsia" w:hAnsiTheme="minorHAnsi" w:cstheme="majorBidi"/>
      <w:i/>
      <w:iCs/>
      <w:color w:val="595959" w:themeColor="text1" w:themeTint="A6"/>
      <w:kern w:val="2"/>
      <w:sz w:val="24"/>
      <w:szCs w:val="22"/>
      <w:lang w:val="en-AU" w:eastAsia="en-US"/>
      <w14:ligatures w14:val="standardContextual"/>
    </w:rPr>
  </w:style>
  <w:style w:type="character" w:customStyle="1" w:styleId="70">
    <w:name w:val="标题 7 字符"/>
    <w:basedOn w:val="a0"/>
    <w:link w:val="7"/>
    <w:uiPriority w:val="9"/>
    <w:semiHidden/>
    <w:rsid w:val="003F7440"/>
    <w:rPr>
      <w:rFonts w:asciiTheme="minorHAnsi" w:eastAsiaTheme="majorEastAsia" w:hAnsiTheme="minorHAnsi" w:cstheme="majorBidi"/>
      <w:color w:val="595959" w:themeColor="text1" w:themeTint="A6"/>
      <w:kern w:val="2"/>
      <w:sz w:val="24"/>
      <w:szCs w:val="22"/>
      <w:lang w:val="en-AU" w:eastAsia="en-US"/>
      <w14:ligatures w14:val="standardContextual"/>
    </w:rPr>
  </w:style>
  <w:style w:type="character" w:customStyle="1" w:styleId="80">
    <w:name w:val="标题 8 字符"/>
    <w:basedOn w:val="a0"/>
    <w:link w:val="8"/>
    <w:uiPriority w:val="9"/>
    <w:semiHidden/>
    <w:rsid w:val="003F7440"/>
    <w:rPr>
      <w:rFonts w:asciiTheme="minorHAnsi" w:eastAsiaTheme="majorEastAsia" w:hAnsiTheme="minorHAnsi" w:cstheme="majorBidi"/>
      <w:i/>
      <w:iCs/>
      <w:color w:val="272727" w:themeColor="text1" w:themeTint="D8"/>
      <w:kern w:val="2"/>
      <w:sz w:val="24"/>
      <w:szCs w:val="22"/>
      <w:lang w:val="en-AU" w:eastAsia="en-US"/>
      <w14:ligatures w14:val="standardContextual"/>
    </w:rPr>
  </w:style>
  <w:style w:type="character" w:customStyle="1" w:styleId="90">
    <w:name w:val="标题 9 字符"/>
    <w:basedOn w:val="a0"/>
    <w:link w:val="9"/>
    <w:uiPriority w:val="9"/>
    <w:semiHidden/>
    <w:rsid w:val="003F7440"/>
    <w:rPr>
      <w:rFonts w:asciiTheme="minorHAnsi" w:eastAsiaTheme="majorEastAsia" w:hAnsiTheme="minorHAnsi" w:cstheme="majorBidi"/>
      <w:color w:val="272727" w:themeColor="text1" w:themeTint="D8"/>
      <w:kern w:val="2"/>
      <w:sz w:val="24"/>
      <w:szCs w:val="22"/>
      <w:lang w:val="en-AU" w:eastAsia="en-US"/>
      <w14:ligatures w14:val="standardContextual"/>
    </w:rPr>
  </w:style>
  <w:style w:type="paragraph" w:styleId="af2">
    <w:name w:val="Balloon Text"/>
    <w:basedOn w:val="a"/>
    <w:link w:val="af3"/>
    <w:uiPriority w:val="99"/>
    <w:semiHidden/>
    <w:unhideWhenUsed/>
    <w:rsid w:val="0036229B"/>
    <w:pPr>
      <w:spacing w:after="0" w:line="240" w:lineRule="auto"/>
    </w:pPr>
    <w:rPr>
      <w:rFonts w:ascii="Tahoma" w:hAnsi="Tahoma" w:cs="Tahoma"/>
      <w:sz w:val="16"/>
      <w:szCs w:val="16"/>
    </w:rPr>
  </w:style>
  <w:style w:type="character" w:customStyle="1" w:styleId="af3">
    <w:name w:val="批注框文本 字符"/>
    <w:basedOn w:val="a0"/>
    <w:link w:val="af2"/>
    <w:uiPriority w:val="99"/>
    <w:semiHidden/>
    <w:rsid w:val="0036229B"/>
    <w:rPr>
      <w:rFonts w:ascii="Tahoma" w:eastAsiaTheme="minorHAnsi" w:hAnsi="Tahoma" w:cs="Tahoma"/>
      <w:kern w:val="2"/>
      <w:sz w:val="16"/>
      <w:szCs w:val="16"/>
      <w:lang w:val="en-AU"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B78754BDD3E47A1A6FD367F2426ED3D"/>
        <w:category>
          <w:name w:val="General"/>
          <w:gallery w:val="placeholder"/>
        </w:category>
        <w:types>
          <w:type w:val="bbPlcHdr"/>
        </w:types>
        <w:behaviors>
          <w:behavior w:val="content"/>
        </w:behaviors>
        <w:guid w:val="{DB80EFE7-DB3B-4940-9747-6099AA0E2CBC}"/>
      </w:docPartPr>
      <w:docPartBody>
        <w:p w:rsidR="00B72C14" w:rsidRDefault="009831F5" w:rsidP="009831F5">
          <w:pPr>
            <w:pStyle w:val="BB78754BDD3E47A1A6FD367F2426ED3D"/>
            <w:rPr>
              <w:rFonts w:hint="eastAsia"/>
            </w:rPr>
          </w:pPr>
          <w:r w:rsidRPr="00E82ECF">
            <w:rPr>
              <w:rStyle w:val="a3"/>
            </w:rPr>
            <w:t>Click or tap here to enter text.</w:t>
          </w:r>
        </w:p>
      </w:docPartBody>
    </w:docPart>
    <w:docPart>
      <w:docPartPr>
        <w:name w:val="EAF1E9938EC44DBD89E4C2706F043125"/>
        <w:category>
          <w:name w:val="General"/>
          <w:gallery w:val="placeholder"/>
        </w:category>
        <w:types>
          <w:type w:val="bbPlcHdr"/>
        </w:types>
        <w:behaviors>
          <w:behavior w:val="content"/>
        </w:behaviors>
        <w:guid w:val="{201A1394-38E8-4A30-B4CA-A77A4DE9A7BF}"/>
      </w:docPartPr>
      <w:docPartBody>
        <w:p w:rsidR="00B72C14" w:rsidRDefault="009831F5" w:rsidP="009831F5">
          <w:pPr>
            <w:pStyle w:val="EAF1E9938EC44DBD89E4C2706F043125"/>
            <w:rPr>
              <w:rFonts w:hint="eastAsia"/>
            </w:rPr>
          </w:pPr>
          <w:r w:rsidRPr="00E82ECF">
            <w:rPr>
              <w:rStyle w:val="a3"/>
            </w:rPr>
            <w:t>Click or tap here to enter text.</w:t>
          </w:r>
        </w:p>
      </w:docPartBody>
    </w:docPart>
    <w:docPart>
      <w:docPartPr>
        <w:name w:val="224AFA931A4F4A338982336E3124F512"/>
        <w:category>
          <w:name w:val="General"/>
          <w:gallery w:val="placeholder"/>
        </w:category>
        <w:types>
          <w:type w:val="bbPlcHdr"/>
        </w:types>
        <w:behaviors>
          <w:behavior w:val="content"/>
        </w:behaviors>
        <w:guid w:val="{47BC62D6-A6A2-40E2-9747-6CCBC51E7820}"/>
      </w:docPartPr>
      <w:docPartBody>
        <w:p w:rsidR="00B72C14" w:rsidRDefault="009831F5" w:rsidP="009831F5">
          <w:pPr>
            <w:pStyle w:val="224AFA931A4F4A338982336E3124F512"/>
            <w:rPr>
              <w:rFonts w:hint="eastAsia"/>
            </w:rPr>
          </w:pPr>
          <w:r w:rsidRPr="00E82ECF">
            <w:rPr>
              <w:rStyle w:val="a3"/>
            </w:rPr>
            <w:t>Click or tap here to enter text.</w:t>
          </w:r>
        </w:p>
      </w:docPartBody>
    </w:docPart>
    <w:docPart>
      <w:docPartPr>
        <w:name w:val="4123B45AC4C74B249039849A8932FDC4"/>
        <w:category>
          <w:name w:val="General"/>
          <w:gallery w:val="placeholder"/>
        </w:category>
        <w:types>
          <w:type w:val="bbPlcHdr"/>
        </w:types>
        <w:behaviors>
          <w:behavior w:val="content"/>
        </w:behaviors>
        <w:guid w:val="{988CD3D2-39C9-443C-BA48-625D2FC71815}"/>
      </w:docPartPr>
      <w:docPartBody>
        <w:p w:rsidR="00B72C14" w:rsidRDefault="009831F5" w:rsidP="009831F5">
          <w:pPr>
            <w:pStyle w:val="4123B45AC4C74B249039849A8932FDC4"/>
            <w:rPr>
              <w:rFonts w:hint="eastAsia"/>
            </w:rPr>
          </w:pPr>
          <w:r w:rsidRPr="00E82ECF">
            <w:rPr>
              <w:rStyle w:val="a3"/>
            </w:rPr>
            <w:t>Click or tap here to enter text.</w:t>
          </w:r>
        </w:p>
      </w:docPartBody>
    </w:docPart>
    <w:docPart>
      <w:docPartPr>
        <w:name w:val="9EC056E606294E0E88D510E5CEE405F4"/>
        <w:category>
          <w:name w:val="General"/>
          <w:gallery w:val="placeholder"/>
        </w:category>
        <w:types>
          <w:type w:val="bbPlcHdr"/>
        </w:types>
        <w:behaviors>
          <w:behavior w:val="content"/>
        </w:behaviors>
        <w:guid w:val="{FE17B0A4-4343-4B1E-B351-6268B37A956A}"/>
      </w:docPartPr>
      <w:docPartBody>
        <w:p w:rsidR="00B72C14" w:rsidRDefault="009831F5" w:rsidP="009831F5">
          <w:pPr>
            <w:pStyle w:val="9EC056E606294E0E88D510E5CEE405F4"/>
            <w:rPr>
              <w:rFonts w:hint="eastAsia"/>
            </w:rPr>
          </w:pPr>
          <w:r w:rsidRPr="00E82ECF">
            <w:rPr>
              <w:rStyle w:val="a3"/>
            </w:rPr>
            <w:t>Click or tap here to enter text.</w:t>
          </w:r>
        </w:p>
      </w:docPartBody>
    </w:docPart>
    <w:docPart>
      <w:docPartPr>
        <w:name w:val="BE077FEE76C04FDBAFB54CA37005D05E"/>
        <w:category>
          <w:name w:val="General"/>
          <w:gallery w:val="placeholder"/>
        </w:category>
        <w:types>
          <w:type w:val="bbPlcHdr"/>
        </w:types>
        <w:behaviors>
          <w:behavior w:val="content"/>
        </w:behaviors>
        <w:guid w:val="{D90253EF-5095-4A56-89EC-D6DE525492A0}"/>
      </w:docPartPr>
      <w:docPartBody>
        <w:p w:rsidR="00B72C14" w:rsidRDefault="009831F5" w:rsidP="009831F5">
          <w:pPr>
            <w:pStyle w:val="BE077FEE76C04FDBAFB54CA37005D05E"/>
            <w:rPr>
              <w:rFonts w:hint="eastAsia"/>
            </w:rPr>
          </w:pPr>
          <w:r w:rsidRPr="00E82ECF">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31F5"/>
    <w:rsid w:val="003473DB"/>
    <w:rsid w:val="004A5A27"/>
    <w:rsid w:val="005302C3"/>
    <w:rsid w:val="005911FE"/>
    <w:rsid w:val="007249FF"/>
    <w:rsid w:val="00855567"/>
    <w:rsid w:val="00861E38"/>
    <w:rsid w:val="009200D8"/>
    <w:rsid w:val="00960EEB"/>
    <w:rsid w:val="009831F5"/>
    <w:rsid w:val="00B72C1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831F5"/>
    <w:rPr>
      <w:color w:val="808080"/>
    </w:rPr>
  </w:style>
  <w:style w:type="paragraph" w:customStyle="1" w:styleId="BB78754BDD3E47A1A6FD367F2426ED3D">
    <w:name w:val="BB78754BDD3E47A1A6FD367F2426ED3D"/>
    <w:rsid w:val="009831F5"/>
  </w:style>
  <w:style w:type="paragraph" w:customStyle="1" w:styleId="EAF1E9938EC44DBD89E4C2706F043125">
    <w:name w:val="EAF1E9938EC44DBD89E4C2706F043125"/>
    <w:rsid w:val="009831F5"/>
  </w:style>
  <w:style w:type="paragraph" w:customStyle="1" w:styleId="224AFA931A4F4A338982336E3124F512">
    <w:name w:val="224AFA931A4F4A338982336E3124F512"/>
    <w:rsid w:val="009831F5"/>
  </w:style>
  <w:style w:type="paragraph" w:customStyle="1" w:styleId="4123B45AC4C74B249039849A8932FDC4">
    <w:name w:val="4123B45AC4C74B249039849A8932FDC4"/>
    <w:rsid w:val="009831F5"/>
  </w:style>
  <w:style w:type="paragraph" w:customStyle="1" w:styleId="9EC056E606294E0E88D510E5CEE405F4">
    <w:name w:val="9EC056E606294E0E88D510E5CEE405F4"/>
    <w:rsid w:val="009831F5"/>
  </w:style>
  <w:style w:type="paragraph" w:customStyle="1" w:styleId="BE077FEE76C04FDBAFB54CA37005D05E">
    <w:name w:val="BE077FEE76C04FDBAFB54CA37005D05E"/>
    <w:rsid w:val="009831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F6AF18-9D2E-41F7-BFF3-04B316A9CBF0}">
  <we:reference id="f78a3046-9e99-4300-aa2b-5814002b01a2" version="1.55.1.0" store="EXCatalog" storeType="EXCatalog"/>
  <we:alternateReferences>
    <we:reference id="WA104382081" version="1.55.1.0" store="en-AU" storeType="OMEX"/>
  </we:alternateReferences>
  <we:properties>
    <we:property name="MENDELEY_CITATIONS" value="[{&quot;citationID&quot;:&quot;MENDELEY_CITATION_1c8a8ce5-f022-400d-b882-e0f93e1cc3e7&quot;,&quot;properties&quot;:{&quot;noteIndex&quot;:0},&quot;isEdited&quot;:false,&quot;manualOverride&quot;:{&quot;isManuallyOverridden&quot;:false,&quot;citeprocText&quot;:&quot;(St. Paul et al., 2011)&quot;,&quot;manualOverrideText&quot;:&quot;&quot;},&quot;citationTag&quot;:&quot;MENDELEY_CITATION_v3_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&quot;,&quot;citationItems&quot;:[{&quot;id&quot;:&quot;7b00772d-0fd1-3f9b-bd7b-e1d824eaad3d&quot;,&quot;itemData&quot;:{&quot;type&quot;:&quot;article-journal&quot;,&quot;id&quot;:&quot;7b00772d-0fd1-3f9b-bd7b-e1d824eaad3d&quot;,&quot;title&quot;:&quot;In vivo administration of ligands for chicken toll-like receptors 4 and 21 induces the expression of immune system genes in the spleen&quot;,&quot;author&quot;:[{&quot;family&quot;:&quot;Paul&quot;,&quot;given&quot;:&quot;Michael&quot;,&quot;parse-names&quot;:false,&quot;dropping-particle&quot;:&quot;&quot;,&quot;non-dropping-particle&quot;:&quot;St.&quot;},{&quot;family&quot;:&quot;Mallick&quot;,&quot;given&quot;:&quot;Amirul I.&quot;,&quot;parse-names&quot;:false,&quot;dropping-particle&quot;:&quot;&quot;,&quot;non-dropping-particle&quot;:&quot;&quot;},{&quot;family&quot;:&quot;Haq&quot;,&quot;given&quot;:&quot;Kamran&quot;,&quot;parse-names&quot;:false,&quot;dropping-particle&quot;:&quot;&quot;,&quot;non-dropping-particle&quot;:&quot;&quot;},{&quot;family&quot;:&quot;Orouji&quot;,&quot;given&quot;:&quot;Shahriar&quot;,&quot;parse-names&quot;:false,&quot;dropping-particle&quot;:&quot;&quot;,&quot;non-dropping-particle&quot;:&quot;&quot;},{&quot;family&quot;:&quot;Abdul-Careem&quot;,&quot;given&quot;:&quot;Mohamed Faizal&quot;,&quot;parse-names&quot;:false,&quot;dropping-particle&quot;:&quot;&quot;,&quot;non-dropping-particle&quot;:&quot;&quot;},{&quot;family&quot;:&quot;Sharif&quot;,&quot;given&quot;:&quot;Shayan&quot;,&quot;parse-names&quot;:false,&quot;dropping-particle&quot;:&quot;&quot;,&quot;non-dropping-particle&quot;:&quot;&quot;}],&quot;container-title&quot;:&quot;Veterinary Immunology and Immunopathology&quot;,&quot;container-title-short&quot;:&quot;Vet Immunol Immunopathol&quot;,&quot;DOI&quot;:&quot;10.1016/j.vetimm.2011.09.004&quot;,&quot;ISSN&quot;:&quot;01652427&quot;,&quot;PMID&quot;:&quot;22019071&quot;,&quot;issued&quot;:{&quot;date-parts&quot;:[[2011,12,15]]},&quot;page&quot;:&quot;228-237&quot;,&quot;abstract&quot;:&quot;Toll-like receptors (TLRs) are a group of conserved proteins that play an important role in pathogen recognition in addition to the initiation and regulation of innate and adaptive immune responses. To date, several TLRs have been identified in chickens, each recognizing different ligands. TLR stimulation in chickens has been shown to play a role in host-responses to pathogens. However, the mechanisms through which TLRs modulate the chicken immune system have not been well examined. The present study was conducted to characterize the kinetics of responses to TLR4 and TLR21 stimulation in chickens following intramuscular injections of their corresponding ligands, lipopolysaccharide (LPS) and CpG oligodeoxynucleotides (ODNs), respectively. To this end, relative expression of cytokine genes in the spleen was determined at 2, 6, 12 and 24. h after injection of TLR ligands. The results indicated that LPS strongly induced the up-regulation of some immune system genes early on in the response to treatment, including interferon (IFN)-γ, interleukin (IL)-10, and IL-1β. Furthermore, treatment with CpG ODN promoted the up-regulation of major histocompatibility complex (MHC)-II, IFN-γ and IL-10. The response to CpG ODN appeared to be somewhat delayed compared to the response to LPS. Moreover, we found a significant increase in IFN-α gene expression in response to LPS but not CpG ODNs. Future studies may be aimed to further characterize the molecular mechanisms of TLR activation in chickens or to exploit TLR agonists as vaccine adjuvants. © 2011 Elsevier B.V.&quot;,&quot;issue&quot;:&quot;3-4&quot;,&quot;volume&quot;:&quot;144&quot;},&quot;isTemporary&quot;:false}]},{&quot;citationID&quot;:&quot;MENDELEY_CITATION_61234ba4-1bdc-4005-913a-a042e0bee11b&quot;,&quot;properties&quot;:{&quot;noteIndex&quot;:0},&quot;isEdited&quot;:false,&quot;manualOverride&quot;:{&quot;isManuallyOverridden&quot;:false,&quot;citeprocText&quot;:&quot;(Song et al., 2021)&quot;,&quot;manualOverrideText&quot;:&quot;&quot;},&quot;citationTag&quot;:&quot;MENDELEY_CITATION_v3_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&quot;,&quot;citationItems&quot;:[{&quot;id&quot;:&quot;bd2c9cf3-eaa8-319d-9b86-b981cdb32d89&quot;,&quot;itemData&quot;:{&quot;type&quot;:&quot;article-journal&quot;,&quot;id&quot;:&quot;bd2c9cf3-eaa8-319d-9b86-b981cdb32d89&quot;,&quot;title&quot;:&quot;Effects of age on immune function in broiler chickens&quot;,&quot;author&quot;:[{&quot;family&quot;:&quot;Song&quot;,&quot;given&quot;:&quot;Bochen&quot;,&quot;parse-names&quot;:false,&quot;dropping-particle&quot;:&quot;&quot;,&quot;non-dropping-particle&quot;:&quot;&quot;},{&quot;family&quot;:&quot;Tang&quot;,&quot;given&quot;:&quot;Dazhi&quot;,&quot;parse-names&quot;:false,&quot;dropping-particle&quot;:&quot;&quot;,&quot;non-dropping-particle&quot;:&quot;&quot;},{&quot;family&quot;:&quot;Yan&quot;,&quot;given&quot;:&quot;Shaojia&quot;,&quot;parse-names&quot;:false,&quot;dropping-particle&quot;:&quot;&quot;,&quot;non-dropping-particle&quot;:&quot;&quot;},{&quot;family&quot;:&quot;Fan&quot;,&quot;given&quot;:&quot;Hao&quot;,&quot;parse-names&quot;:false,&quot;dropping-particle&quot;:&quot;&quot;,&quot;non-dropping-particle&quot;:&quot;&quot;},{&quot;family&quot;:&quot;Li&quot;,&quot;given&quot;:&quot;Guang&quot;,&quot;parse-names&quot;:false,&quot;dropping-particle&quot;:&quot;&quot;,&quot;non-dropping-particle&quot;:&quot;&quot;},{&quot;family&quot;:&quot;Shahid&quot;,&quot;given&quot;:&quot;Muhammad Suhaib&quot;,&quot;parse-names&quot;:false,&quot;dropping-particle&quot;:&quot;&quot;,&quot;non-dropping-particle&quot;:&quot;&quot;},{&quot;family&quot;:&quot;Mahmood&quot;,&quot;given&quot;:&quot;Tahir&quot;,&quot;parse-names&quot;:false,&quot;dropping-particle&quot;:&quot;&quot;,&quot;non-dropping-particle&quot;:&quot;&quot;},{&quot;family&quot;:&quot;Guo&quot;,&quot;given&quot;:&quot;Yuming&quot;,&quot;parse-names&quot;:false,&quot;dropping-particle&quot;:&quot;&quot;,&quot;non-dropping-particle&quot;:&quot;&quot;}],&quot;container-title&quot;:&quot;Journal of Animal Science and Biotechnology&quot;,&quot;container-title-short&quot;:&quot;J Anim Sci Biotechnol&quot;,&quot;DOI&quot;:&quot;10.1186/s40104-021-00559-1&quot;,&quot;ISSN&quot;:&quot;20491891&quot;,&quot;issued&quot;:{&quot;date-parts&quot;:[[2021]]},&quot;page&quot;:&quot;1-12&quot;,&quot;abstract&quot;:&quot;Background: There are many diseases in poultry, many of which are caused by poor immune function. It is not clear how cytokines and various immune cell functions change with age in modern broilers. The purpose of this study was to explore the patterns of development of the immunity of the broiler chickens in cage. Results: The results showed that there were 3 development patterns of immunity in the broiler chickens. The first pattern was Down-Up. Cytokines and some immune indicators first decreased and then increased, and the lowest levels of immunity basically occurred from d 6 to 13. The second pattern was Up-Down, and from d 30 to 34, the highest levels of non-specific cellular immunity components, such as the peripheral blood mononuclear macrophage ratio, specific cellular immunity components, such as the peripheral blood helper T (Th) cell ratio and T cell and B cell proliferation activity, and mucosal immunity components, such as the ileal CD4, TGF-β1 and IgA mRNA levels, were observed. The third pattern was Up-Up, and the levels of the non-specific cellular immunity components, such as the serum nitric oxide (NO), C3 and C4 levels, the specific cellular immunity components, such as the spleen index, peripheral blood IL-2, IFN-γ/IL-4, cytotoxic T (Tc) cell ratio, and splenic NF-κB mRNA levels, the humoral immunity components, such as the serum IgG level, the mucosal immunity components, such as the ileal MHC-II, CD3d, TCRβ subunit, TCRζ subunit, IFN-γ, pIgR mRNA and ileal mucosa sIgA levels, were continuing to increase from d 1 to 34. Conclusions: It could be concluded that the immune system and its function have not developed well in the broiler chickens d 6 to 13 and that the immune system does not mature until d 30 to 34 in the broiler chickens in cages. It is necessary to enhance the immune function of the broiler chickens through nutritional measures from d 1 to 30.&quot;,&quot;publisher&quot;:&quot;Journal of Animal Science and Biotechnology&quot;,&quot;issue&quot;:&quot;1&quot;,&quot;volume&quot;:&quot;12&quot;},&quot;isTemporary&quot;:false}]},{&quot;citationID&quot;:&quot;MENDELEY_CITATION_aef9719e-baba-4430-870e-d806d0233ac5&quot;,&quot;properties&quot;:{&quot;noteIndex&quot;:0},&quot;isEdited&quot;:false,&quot;manualOverride&quot;:{&quot;isManuallyOverridden&quot;:false,&quot;citeprocText&quot;:&quot;(Santos et al., 2019)&quot;,&quot;manualOverrideText&quot;:&quot;&quot;},&quot;citationTag&quot;:&quot;MENDELEY_CITATION_v3_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&quot;,&quot;citationItems&quot;:[{&quot;id&quot;:&quot;b9fb1d68-bd0f-31d4-9f08-413a1193de97&quot;,&quot;itemData&quot;:{&quot;type&quot;:&quot;article-journal&quot;,&quot;id&quot;:&quot;b9fb1d68-bd0f-31d4-9f08-413a1193de97&quot;,&quot;title&quot;:&quot;Effects of a feed additive blend on broilers challenged with heat stress&quot;,&quot;author&quot;:[{&quot;family&quot;:&quot;Santos&quot;,&quot;given&quot;:&quot;Regiane R.&quot;,&quot;parse-names&quot;:false,&quot;dropping-particle&quot;:&quot;&quot;,&quot;non-dropping-particle&quot;:&quot;&quot;},{&quot;family&quot;:&quot;Awati&quot;,&quot;given&quot;:&quot;Ajay&quot;,&quot;parse-names&quot;:false,&quot;dropping-particle&quot;:&quot;&quot;,&quot;non-dropping-particle&quot;:&quot;&quot;},{&quot;family&quot;:&quot;Roubos-van den Hil&quot;,&quot;given&quot;:&quot;Petra J.&quot;,&quot;parse-names&quot;:false,&quot;dropping-particle&quot;:&quot;&quot;,&quot;non-dropping-particle&quot;:&quot;&quot;},{&quot;family&quot;:&quot;Kempen&quot;,&quot;given&quot;:&quot;Theo A.T.G.&quot;,&quot;parse-names&quot;:false,&quot;dropping-particle&quot;:&quot;&quot;,&quot;non-dropping-particle&quot;:&quot;van&quot;},{&quot;family&quot;:&quot;Tersteeg-Zijderveld&quot;,&quot;given&quot;:&quot;Monique H.G.&quot;,&quot;parse-names&quot;:false,&quot;dropping-particle&quot;:&quot;&quot;,&quot;non-dropping-particle&quot;:&quot;&quot;},{&quot;family&quot;:&quot;Koolmees&quot;,&quot;given&quot;:&quot;Peter A.&quot;,&quot;parse-names&quot;:false,&quot;dropping-particle&quot;:&quot;&quot;,&quot;non-dropping-particle&quot;:&quot;&quot;},{&quot;family&quot;:&quot;Smits&quot;,&quot;given&quot;:&quot;Coen&quot;,&quot;parse-names&quot;:false,&quot;dropping-particle&quot;:&quot;&quot;,&quot;non-dropping-particle&quot;:&quot;&quot;},{&quot;family&quot;:&quot;Fink-Gremmels&quot;,&quot;given&quot;:&quot;Johanna&quot;,&quot;parse-names&quot;:false,&quot;dropping-particle&quot;:&quot;&quot;,&quot;non-dropping-particle&quot;:&quot;&quot;}],&quot;container-title&quot;:&quot;Avian Pathol.&quot;,&quot;DOI&quot;:&quot;10.1080/03079457.2019.1648750&quot;,&quot;ISSN&quot;:&quot;14653338&quot;,&quot;issued&quot;:{&quot;date-parts&quot;:[[2019]]},&quot;page&quot;:&quot;582-601&quot;,&quot;abstract&quot;:&quot;We evaluated a blend of medium-chain fatty acids (MCFA), organic acids, and a polyphenol antioxidant on gut integrity. Eighty Ross Broilers were exposed to 20–22°C (control–normothermic) or to 35–39.5°C (heat stress) for eight hours a day for a period of 1 or 5 days. Birds were fed a standard diet, or a diet supplemented with the test blend. Thereafter, birds were euthanized, and intestinal sections were excised for morphological, morphometric and gene expression analyses. Blood samples were collected for glucose-6-phosphate dehydrogenase (G6PD), glutathione peroxidase (GSH-Px) activity and trolox equivalent antioxidant capacity (TEAC) determination. Heart and liver tissues were used to quantify the expression of heat shock proteins 60 and 70 (HSP60 and HSP70, respectively) and inhibitor of kappa light chain gene enhancer in B cells alpha (IKBA). The jejunum was the most sensitive intestinal section, where heat stress modulated the expression of HSP70, of the inflammatory markers IKBA, interleukin 8 (IL-8), interferon gamma (IFNγ), and toll-like receptor 4 (TLR4). Moreover, expression of tight junctions (CLDN1, ZO1 and ZO2) and nutrient transporters (PEPT1 and EAAT3) was modulated especially in the jejunum. In conclusion, the feed additive blend protected intestines during heat stress from the decrease in villus height and crypt depth, and from the increase in villus width. Especially in the jejunum, heat stress played an important role by modulating oxidative stress and inflammation, impairing gut integrity and nutrient transport, and such deleterious effects were alleviated by the feed additive blend. RESEARCH HIGHLIGHTS Jejunum is the most sensitive intestinal segment during heat stress. Heat stress affects the expression of tight junctions and nutrient transporters. Feed management helps to alleviate the disturbances caused by heat stress. A blend of MCFA, organic acids and a polyphenol protects broilers under heat stress.&quot;,&quot;publisher&quot;:&quot;Taylor &amp; Francis&quot;,&quot;issue&quot;:&quot;6&quot;,&quot;volume&quot;:&quot;48&quot;,&quot;container-title-short&quot;:&quot;&quot;},&quot;isTemporary&quot;:false}]},{&quot;citationID&quot;:&quot;MENDELEY_CITATION_afe41d3d-b49d-43fb-9d9d-78b0da74e32d&quot;,&quot;properties&quot;:{&quot;noteIndex&quot;:0},&quot;isEdited&quot;:false,&quot;manualOverride&quot;:{&quot;isManuallyOverridden&quot;:false,&quot;citeprocText&quot;:&quot;(Chiang et al., 2009)&quot;,&quot;manualOverrideText&quot;:&quot;&quot;},&quot;citationTag&quot;:&quot;MENDELEY_CITATION_v3_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&quot;,&quot;citationItems&quot;:[{&quot;id&quot;:&quot;78fe8bbe-3f6a-37d3-b31d-f7d13cc51534&quot;,&quot;itemData&quot;:{&quot;type&quot;:&quot;article-journal&quot;,&quot;id&quot;:&quot;78fe8bbe-3f6a-37d3-b31d-f7d13cc51534&quot;,&quot;title&quot;:&quot;Inhibition of NF-kB 1 (NF-kBp50) by RNA interference in chicken macrophage HD11 cell line challenged with Salmonella enteritidis&quot;,&quot;author&quot;:[{&quot;family&quot;:&quot;Chiang&quot;,&quot;given&quot;:&quot;Hsin-I&quot;,&quot;parse-names&quot;:false,&quot;dropping-particle&quot;:&quot;&quot;,&quot;non-dropping-particle&quot;:&quot;&quot;},{&quot;family&quot;:&quot;Berghman&quot;,&quot;given&quot;:&quot;Luc R&quot;,&quot;parse-names&quot;:false,&quot;dropping-particle&quot;:&quot;&quot;,&quot;non-dropping-particle&quot;:&quot;&quot;},{&quot;family&quot;:&quot;Zhou&quot;,&quot;given&quot;:&quot;Huaijun&quot;,&quot;parse-names&quot;:false,&quot;dropping-particle&quot;:&quot;&quot;,&quot;non-dropping-particle&quot;:&quot;&quot;}],&quot;container-title&quot;:&quot;Genetics and Molecular Biology&quot;,&quot;container-title-short&quot;:&quot;Genet Mol Biol&quot;,&quot;issued&quot;:{&quot;date-parts&quot;:[[2009]]},&quot;page&quot;:&quot;507-515&quot;,&quot;abstract&quot;:&quot;The NF-kB pathway plays an important role in regulating the immunity response in animals. In this study, small interfering RNAs (siRNA) were used to specifically inhibit NF-kB 1 expression and to elucidate the role of NF-kB in the signal transduction pathway of the Salmonella challenge in the chicken HD11 cell line. The cells were transfected with either NF-kB 1 siRNA, glyceraldehyde 3-phosphate dehydrogenase siRNA (positive control) or the negative control siRNA for 24 h, followed by Salmonella enteritidis (SE) challenge or non-challenge for 1 h and 4 h. Eight candidate genes related to the signal pathway of SE challenge were selected to examine the effect of NF-kB 1 inhibition on their expressions by mRNA quantification. The results showed that, with a 36% inhibition of NF-kB 1 expression, gene expression of both Toll-like receptor (TLR) 4 and interleukin (IL)-6 was consistently and significantly increased at both 1 h and 4 h following SE challenge, whereas the gene expression of MyD88 and IL-1b was increased at 1 h and 4 h, respectively. These findings suggest a likely inhibitory regulation by NF-kB 1, and could lay the foundation for studying the gene network of the innate immune response of SE infection in chickens.&quot;,&quot;issue&quot;:&quot;3&quot;,&quot;volume&quot;:&quot;32&quot;},&quot;isTemporary&quot;:false}]},{&quot;citationID&quot;:&quot;MENDELEY_CITATION_36105558-1ff7-498d-99cc-0e290a8233eb&quot;,&quot;properties&quot;:{&quot;noteIndex&quot;:0},&quot;isEdited&quot;:false,&quot;manualOverride&quot;:{&quot;isManuallyOverridden&quot;:false,&quot;citeprocText&quot;:&quot;(Lammers et al., 2010)&quot;,&quot;manualOverrideText&quot;:&quot;&quot;},&quot;citationTag&quot;:&quot;MENDELEY_CITATION_v3_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&quot;,&quot;citationItems&quot;:[{&quot;id&quot;:&quot;42588dab-da39-33f6-a92f-f9cacab8f95e&quot;,&quot;itemData&quot;:{&quot;type&quot;:&quot;article-journal&quot;,&quot;id&quot;:&quot;42588dab-da39-33f6-a92f-f9cacab8f95e&quot;,&quot;title&quot;:&quot;Successive immunoglobulin and cytokine expression in the small intestine of juvenile chicken&quot;,&quot;author&quot;:[{&quot;family&quot;:&quot;Lammers&quot;,&quot;given&quot;:&quot;Aart&quot;,&quot;parse-names&quot;:false,&quot;dropping-particle&quot;:&quot;&quot;,&quot;non-dropping-particle&quot;:&quot;&quot;},{&quot;family&quot;:&quot;Wieland&quot;,&quot;given&quot;:&quot;Willemien H.&quot;,&quot;parse-names&quot;:false,&quot;dropping-particle&quot;:&quot;&quot;,&quot;non-dropping-particle&quot;:&quot;&quot;},{&quot;family&quot;:&quot;Kruijt&quot;,&quot;given&quot;:&quot;Leo&quot;,&quot;parse-names&quot;:false,&quot;dropping-particle&quot;:&quot;&quot;,&quot;non-dropping-particle&quot;:&quot;&quot;},{&quot;family&quot;:&quot;Jansma&quot;,&quot;given&quot;:&quot;Arne&quot;,&quot;parse-names&quot;:false,&quot;dropping-particle&quot;:&quot;&quot;,&quot;non-dropping-particle&quot;:&quot;&quot;},{&quot;family&quot;:&quot;Straetemans&quot;,&quot;given&quot;:&quot;Trudy&quot;,&quot;parse-names&quot;:false,&quot;dropping-particle&quot;:&quot;&quot;,&quot;non-dropping-particle&quot;:&quot;&quot;},{&quot;family&quot;:&quot;Schots&quot;,&quot;given&quot;:&quot;Arjen&quot;,&quot;parse-names&quot;:false,&quot;dropping-particle&quot;:&quot;&quot;,&quot;non-dropping-particle&quot;:&quot;&quot;},{&quot;family&quot;:&quot;Hartog&quot;,&quot;given&quot;:&quot;Gerco&quot;,&quot;parse-names&quot;:false,&quot;dropping-particle&quot;:&quot;&quot;,&quot;non-dropping-particle&quot;:&quot;den&quot;},{&quot;family&quot;:&quot;Parmentier&quot;,&quot;given&quot;:&quot;Henk K.&quot;,&quot;parse-names&quot;:false,&quot;dropping-particle&quot;:&quot;&quot;,&quot;non-dropping-particle&quot;:&quot;&quot;}],&quot;container-title&quot;:&quot;Developmental and Comparative Immunology&quot;,&quot;container-title-short&quot;:&quot;Dev Comp Immunol&quot;,&quot;DOI&quot;:&quot;10.1016/j.dci.2010.07.001&quot;,&quot;ISSN&quot;:&quot;0145305X&quot;,&quot;PMID&quot;:&quot;20621117&quot;,&quot;issued&quot;:{&quot;date-parts&quot;:[[2010]]},&quot;page&quot;:&quot;1254-1262&quot;,&quot;abstract&quot;:&quot;The intestinal mucosa is of major importance for immune development. To further study the ontogeny of avian mucosal immunity, mRNA levels of IgM, IgY and IgA, the polymeric immunoglobulin receptor (pIgR) and a number of cytokines were determined at different ages in jejunum and ileum of non-immunized healthy juvenile layer chickens. Immunoglobulin genes were successively expressed in jejunum and ileum. IgM expression was maximal in week 1, IgY expression peaked in week 5, and IgA expression was most dominant after week 7 post hatch. PIgR gene expression was relatively low in the first 2 weeks post hatch, but increased thereafter. Generally, increased expression levels of IL-1, IL-10, IL-12p40, iNOS and interferon-γ mRNA levels were found between days 14-42 as compared to days 3 and 49-70 post hatch (p&lt; 0.05). Correlation was found between IgA and IL-10, TGF-β and IFN-γ expression levels on days 21, 28 and 35. Cytokine mRNA expression levels decreased to basal levels between 49 and 70 days post hatch, whereas IgA reached its maximum levels in this period. Based on the current results, we hypothesize that chicken sIgA, as mammalian sIgA, may contribute to the maintenance of intestinal homeostasis. © 2010 Elsevier Ltd.&quot;,&quot;publisher&quot;:&quot;Elsevier Ltd&quot;,&quot;issue&quot;:&quot;12&quot;,&quot;volume&quot;:&quot;34&quot;},&quot;isTemporary&quot;:false}]},{&quot;citationID&quot;:&quot;MENDELEY_CITATION_f56cbfbf-86d4-4dc9-8b25-0c18610dbe2f&quot;,&quot;properties&quot;:{&quot;noteIndex&quot;:0},&quot;isEdited&quot;:false,&quot;manualOverride&quot;:{&quot;isManuallyOverridden&quot;:false,&quot;citeprocText&quot;:&quot;(Liu et al., 2019)&quot;,&quot;manualOverrideText&quot;:&quot;&quot;},&quot;citationTag&quot;:&quot;MENDELEY_CITATION_v3_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&quot;,&quot;citationItems&quot;:[{&quot;id&quot;:&quot;b2520744-0d35-3797-a9a8-65d635d89593&quot;,&quot;itemData&quot;:{&quot;type&quot;:&quot;article-journal&quot;,&quot;id&quot;:&quot;b2520744-0d35-3797-a9a8-65d635d89593&quot;,&quot;title&quot;:&quot;Effect of carvacrol essential oils on immune response and inflammation-related genes expression in broilers challenged by lipopolysaccharide&quot;,&quot;author&quot;:[{&quot;family&quot;:&quot;Liu&quot;,&quot;given&quot;:&quot;S. D.&quot;,&quot;parse-names&quot;:false,&quot;dropping-particle&quot;:&quot;&quot;,&quot;non-dropping-particle&quot;:&quot;&quot;},{&quot;family&quot;:&quot;Song&quot;,&quot;given&quot;:&quot;M. H.&quot;,&quot;parse-names&quot;:false,&quot;dropping-particle&quot;:&quot;&quot;,&quot;non-dropping-particle&quot;:&quot;&quot;},{&quot;family&quot;:&quot;Yun&quot;,&quot;given&quot;:&quot;W.&quot;,&quot;parse-names&quot;:false,&quot;dropping-particle&quot;:&quot;&quot;,&quot;non-dropping-particle&quot;:&quot;&quot;},{&quot;family&quot;:&quot;Lee&quot;,&quot;given&quot;:&quot;J. H.&quot;,&quot;parse-names&quot;:false,&quot;dropping-particle&quot;:&quot;&quot;,&quot;non-dropping-particle&quot;:&quot;&quot;},{&quot;family&quot;:&quot;Kim&quot;,&quot;given&quot;:&quot;H. B.&quot;,&quot;parse-names&quot;:false,&quot;dropping-particle&quot;:&quot;&quot;,&quot;non-dropping-particle&quot;:&quot;&quot;},{&quot;family&quot;:&quot;Cho&quot;,&quot;given&quot;:&quot;J. H.&quot;,&quot;parse-names&quot;:false,&quot;dropping-particle&quot;:&quot;&quot;,&quot;non-dropping-particle&quot;:&quot;&quot;}],&quot;container-title&quot;:&quot;Poultry Science&quot;,&quot;container-title-short&quot;:&quot;Poult Sci&quot;,&quot;DOI&quot;:&quot;10.3382/ps/pey575&quot;,&quot;ISSN&quot;:&quot;15253171&quot;,&quot;PMID&quot;:&quot;30590708&quot;,&quot;issued&quot;:{&quot;date-parts&quot;:[[2019]]},&quot;page&quot;:&quot;2026-2033&quot;,&quot;abstract&quot;:&quot;This experiment was conducted to study the effects of orally administered carvacrol essential oils on immune response and inflammation-related genes expression in broilers challenged by lipopolysaccharide (LPS). Eighty 28-day-old (1.28 ± 0.15 kg) ROSS 308 broilers were assigned to a 2 × 2 factorial arrangement of treatments (20 pens of 1 chick/trt). Factors were carvacrol essential oil (orally administered or non-orally administered) and LPS (challenged or non-challenged). Individually housed broilers were randomly assigned (n = 20 broilers per treatment: 10 males and 10 females) to four treatments: (1) basic diet (CTR), (2) basic diet + carvacrol (CAR), (3) basic diet + LPS-challenge (LPS), (4) basic diet + carvacrol + LPS-challenge (CAR+LPS). All were fed with the same diet. The experimental period was for 15 d, after which injecting LPS significantly up-regulated the gene expression levels of TNF-α (P &lt; 0.05), IL-1β (P &lt; 0.05), IL-6 (P &lt; 0.05), IL-8 (P &lt; 0.05), TLR2 (P &lt; 0.05), TLR4 (P &lt; 0.05), NF-κB p65 (P &lt; 0.05), AVBD-9 (P &lt; 0.05), and SIgA(P &lt; 0.05) compared with the CTR group; the broilers were challenged by LPS after oral administration of carvacrol, they had significant lower on the gene expression levels of TNF-α (P &lt; 0.05), IL-1β (P &lt; 0.05), IL-6 (P &lt; 0.05), TLR4 (P &lt; 0.05), NF-κB p65 (P &lt; 0.05), and AVBD-9 (P &lt; 0.05) than the LPS group. In conclusion, the broilers orally administrated carvacrol essential oils inhibited the secretion of inflammatory cytokines caused by LPS, affected the pathway of TLRs/NF-κB, and showed an anti-inflammatory function.&quot;,&quot;publisher&quot;:&quot;Poultry Science Association Inc.&quot;,&quot;issue&quot;:&quot;5&quot;,&quot;volume&quot;:&quot;98&quot;},&quot;isTemporary&quot;:false}]}]"/>
    <we:property name="MENDELEY_CITATIONS_LOCALE_CODE" value="&quot;en-GB&quot;"/>
    <we:property name="MENDELEY_CITATIONS_STYLE" value="{&quot;id&quot;:&quot;https://www.zotero.org/styles/animal&quot;,&quot;title&quot;:&quot;animal&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EAEA8AC56C2347BBBECA86649692AD" ma:contentTypeVersion="0" ma:contentTypeDescription="Create a new document." ma:contentTypeScope="" ma:versionID="b72400f0fdcd269dd75fc70b7aff9c6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A558F2-27A9-4CDD-ABE2-2953D92B571E}">
  <ds:schemaRefs>
    <ds:schemaRef ds:uri="http://schemas.openxmlformats.org/officeDocument/2006/bibliography"/>
  </ds:schemaRefs>
</ds:datastoreItem>
</file>

<file path=customXml/itemProps2.xml><?xml version="1.0" encoding="utf-8"?>
<ds:datastoreItem xmlns:ds="http://schemas.openxmlformats.org/officeDocument/2006/customXml" ds:itemID="{0C1E62EB-FF00-4256-B420-E034C5B0503D}">
  <ds:schemaRefs>
    <ds:schemaRef ds:uri="http://schemas.microsoft.com/sharepoint/v3/contenttype/forms"/>
  </ds:schemaRefs>
</ds:datastoreItem>
</file>

<file path=customXml/itemProps3.xml><?xml version="1.0" encoding="utf-8"?>
<ds:datastoreItem xmlns:ds="http://schemas.openxmlformats.org/officeDocument/2006/customXml" ds:itemID="{4904C085-CDDF-4BB4-8030-DB53F0A10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22598F9-3C48-42A2-8926-C96CF3C2EE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602</Words>
  <Characters>3433</Characters>
  <Application>Microsoft Office Word</Application>
  <DocSecurity>0</DocSecurity>
  <Lines>28</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Manuscript title (style 'ANM paper title')</vt:lpstr>
      <vt:lpstr>Manuscript title (style 'ANM paper title')</vt:lpstr>
    </vt:vector>
  </TitlesOfParts>
  <Company>Hewlett-Packard Company</Company>
  <LinksUpToDate>false</LinksUpToDate>
  <CharactersWithSpaces>4027</CharactersWithSpaces>
  <SharedDoc>false</SharedDoc>
  <HLinks>
    <vt:vector size="6" baseType="variant">
      <vt:variant>
        <vt:i4>7471173</vt:i4>
      </vt:variant>
      <vt:variant>
        <vt:i4>0</vt:i4>
      </vt:variant>
      <vt:variant>
        <vt:i4>0</vt:i4>
      </vt:variant>
      <vt:variant>
        <vt:i4>5</vt:i4>
      </vt:variant>
      <vt:variant>
        <vt:lpwstr>http://animal-journal.eu/documents/Reprints_cost.pdf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 (style 'ANM paper title')</dc:title>
  <dc:creator>Famille</dc:creator>
  <cp:lastModifiedBy>857435143@qq.com</cp:lastModifiedBy>
  <cp:revision>2</cp:revision>
  <cp:lastPrinted>2024-11-28T03:53:00Z</cp:lastPrinted>
  <dcterms:created xsi:type="dcterms:W3CDTF">2024-12-03T03:31:00Z</dcterms:created>
  <dcterms:modified xsi:type="dcterms:W3CDTF">2024-12-03T03:31:00Z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0x010100A0EAEA8AC56C2347BBBECA86649692AD</vt:lpwstr>
  </property>
  <property fmtid="{D5CDD505-2E9C-101B-9397-08002B2CF9AE}" pid="3" name="GrammarlyDocumentId">
    <vt:lpwstr>d662fc59995cbf7143a5b0d291623e8c0db51160e21d94c396d9835dfe216b1f</vt:lpwstr>
  </property>
  <property fmtid="{D5CDD505-2E9C-101B-9397-08002B2CF9AE}" pid="4" name="MSIP_Label_0f488380-630a-4f55-a077-a19445e3f360_Enabled">
    <vt:lpwstr>true</vt:lpwstr>
  </property>
  <property fmtid="{D5CDD505-2E9C-101B-9397-08002B2CF9AE}" pid="5" name="MSIP_Label_0f488380-630a-4f55-a077-a19445e3f360_SetDate">
    <vt:lpwstr>2024-07-18T10:17:44Z</vt:lpwstr>
  </property>
  <property fmtid="{D5CDD505-2E9C-101B-9397-08002B2CF9AE}" pid="6" name="MSIP_Label_0f488380-630a-4f55-a077-a19445e3f360_Method">
    <vt:lpwstr>Standard</vt:lpwstr>
  </property>
  <property fmtid="{D5CDD505-2E9C-101B-9397-08002B2CF9AE}" pid="7" name="MSIP_Label_0f488380-630a-4f55-a077-a19445e3f360_Name">
    <vt:lpwstr>OFFICIAL - INTERNAL</vt:lpwstr>
  </property>
  <property fmtid="{D5CDD505-2E9C-101B-9397-08002B2CF9AE}" pid="8" name="MSIP_Label_0f488380-630a-4f55-a077-a19445e3f360_SiteId">
    <vt:lpwstr>b6e377cf-9db3-46cb-91a2-fad9605bb15c</vt:lpwstr>
  </property>
  <property fmtid="{D5CDD505-2E9C-101B-9397-08002B2CF9AE}" pid="9" name="MSIP_Label_0f488380-630a-4f55-a077-a19445e3f360_ActionId">
    <vt:lpwstr>4e7f9087-9658-404b-892d-6cd4a85e0680</vt:lpwstr>
  </property>
  <property fmtid="{D5CDD505-2E9C-101B-9397-08002B2CF9AE}" pid="10" name="MSIP_Label_0f488380-630a-4f55-a077-a19445e3f360_ContentBits">
    <vt:lpwstr>0</vt:lpwstr>
  </property>
</Properties>
</file>