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C8469" w14:textId="0043FEFF" w:rsidR="00E0371E" w:rsidRPr="00FA2FC8" w:rsidRDefault="00E0371E" w:rsidP="00DC4F91">
      <w:pPr>
        <w:spacing w:line="480" w:lineRule="auto"/>
        <w:jc w:val="left"/>
        <w:rPr>
          <w:rFonts w:ascii="Times New Roman" w:hAnsi="Times New Roman" w:cs="Times New Roman"/>
          <w:b/>
          <w:bCs/>
          <w:sz w:val="24"/>
          <w:szCs w:val="24"/>
        </w:rPr>
      </w:pPr>
      <w:bookmarkStart w:id="0" w:name="OLE_LINK93"/>
      <w:r w:rsidRPr="00FA2FC8">
        <w:rPr>
          <w:rFonts w:ascii="Times New Roman" w:hAnsi="Times New Roman" w:cs="Times New Roman"/>
          <w:b/>
          <w:bCs/>
          <w:sz w:val="24"/>
          <w:szCs w:val="24"/>
        </w:rPr>
        <w:t xml:space="preserve">Table S1 </w:t>
      </w:r>
      <w:r w:rsidRPr="00DC4F91">
        <w:rPr>
          <w:rFonts w:ascii="Times New Roman" w:hAnsi="Times New Roman" w:cs="Times New Roman"/>
          <w:sz w:val="24"/>
          <w:szCs w:val="24"/>
        </w:rPr>
        <w:t>Sequences of oligonucleotide primers for qRT-PCR</w:t>
      </w:r>
    </w:p>
    <w:tbl>
      <w:tblPr>
        <w:tblStyle w:val="ab"/>
        <w:tblW w:w="496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7"/>
        <w:gridCol w:w="3772"/>
        <w:gridCol w:w="1924"/>
        <w:gridCol w:w="1654"/>
      </w:tblGrid>
      <w:tr w:rsidR="00E0371E" w:rsidRPr="00DC4F91" w14:paraId="7B384FAC" w14:textId="77777777" w:rsidTr="00754767">
        <w:trPr>
          <w:trHeight w:val="464"/>
          <w:jc w:val="center"/>
        </w:trPr>
        <w:tc>
          <w:tcPr>
            <w:tcW w:w="915" w:type="pct"/>
            <w:tcBorders>
              <w:top w:val="single" w:sz="12" w:space="0" w:color="auto"/>
              <w:bottom w:val="single" w:sz="12" w:space="0" w:color="auto"/>
            </w:tcBorders>
          </w:tcPr>
          <w:p w14:paraId="6150BE6F" w14:textId="73D30A1D" w:rsidR="00E0371E" w:rsidRPr="00DC4F91" w:rsidRDefault="00E0371E" w:rsidP="00754767">
            <w:pPr>
              <w:spacing w:line="480" w:lineRule="auto"/>
              <w:rPr>
                <w:rFonts w:ascii="Times New Roman" w:hAnsi="Times New Roman" w:cs="Times New Roman"/>
                <w:b/>
                <w:bCs/>
                <w:szCs w:val="21"/>
              </w:rPr>
            </w:pPr>
            <w:r w:rsidRPr="00DC4F91">
              <w:rPr>
                <w:rFonts w:ascii="Times New Roman" w:hAnsi="Times New Roman" w:cs="Times New Roman"/>
                <w:b/>
                <w:bCs/>
                <w:szCs w:val="21"/>
              </w:rPr>
              <w:t xml:space="preserve">Gene </w:t>
            </w:r>
            <w:r w:rsidR="00DC4F91" w:rsidRPr="00DC4F91">
              <w:rPr>
                <w:rFonts w:ascii="Times New Roman" w:hAnsi="Times New Roman" w:cs="Times New Roman" w:hint="eastAsia"/>
                <w:b/>
                <w:bCs/>
                <w:szCs w:val="21"/>
              </w:rPr>
              <w:t>n</w:t>
            </w:r>
            <w:r w:rsidRPr="00DC4F91">
              <w:rPr>
                <w:rFonts w:ascii="Times New Roman" w:hAnsi="Times New Roman" w:cs="Times New Roman"/>
                <w:b/>
                <w:bCs/>
                <w:szCs w:val="21"/>
              </w:rPr>
              <w:t>ames</w:t>
            </w:r>
          </w:p>
        </w:tc>
        <w:tc>
          <w:tcPr>
            <w:tcW w:w="2096" w:type="pct"/>
            <w:tcBorders>
              <w:top w:val="single" w:sz="12" w:space="0" w:color="auto"/>
              <w:bottom w:val="single" w:sz="12" w:space="0" w:color="auto"/>
            </w:tcBorders>
          </w:tcPr>
          <w:p w14:paraId="71A67FC3" w14:textId="362B328C" w:rsidR="00E0371E" w:rsidRPr="00DC4F91" w:rsidRDefault="00E0371E" w:rsidP="00754767">
            <w:pPr>
              <w:spacing w:line="480" w:lineRule="auto"/>
              <w:rPr>
                <w:rFonts w:ascii="Times New Roman" w:hAnsi="Times New Roman" w:cs="Times New Roman"/>
                <w:b/>
                <w:bCs/>
                <w:szCs w:val="21"/>
              </w:rPr>
            </w:pPr>
            <w:r w:rsidRPr="00DC4F91">
              <w:rPr>
                <w:rFonts w:ascii="Times New Roman" w:hAnsi="Times New Roman" w:cs="Times New Roman"/>
                <w:b/>
                <w:bCs/>
                <w:szCs w:val="21"/>
              </w:rPr>
              <w:t>Sequence (5'→3')</w:t>
            </w:r>
          </w:p>
        </w:tc>
        <w:tc>
          <w:tcPr>
            <w:tcW w:w="1069" w:type="pct"/>
            <w:tcBorders>
              <w:top w:val="single" w:sz="12" w:space="0" w:color="auto"/>
              <w:bottom w:val="single" w:sz="12" w:space="0" w:color="auto"/>
            </w:tcBorders>
          </w:tcPr>
          <w:p w14:paraId="1B805B12" w14:textId="5DCBD673" w:rsidR="00E0371E" w:rsidRPr="00DC4F91" w:rsidRDefault="00E0371E" w:rsidP="00754767">
            <w:pPr>
              <w:rPr>
                <w:rFonts w:ascii="Times New Roman" w:hAnsi="Times New Roman" w:cs="Times New Roman"/>
                <w:szCs w:val="21"/>
              </w:rPr>
            </w:pPr>
            <w:r w:rsidRPr="00DC4F91">
              <w:rPr>
                <w:rFonts w:ascii="Times New Roman" w:hAnsi="Times New Roman" w:cs="Times New Roman"/>
                <w:b/>
                <w:bCs/>
                <w:szCs w:val="21"/>
              </w:rPr>
              <w:t xml:space="preserve">NCBI </w:t>
            </w:r>
            <w:r w:rsidR="00DC4F91" w:rsidRPr="00DC4F91">
              <w:rPr>
                <w:rFonts w:ascii="Times New Roman" w:hAnsi="Times New Roman" w:cs="Times New Roman" w:hint="eastAsia"/>
                <w:b/>
                <w:bCs/>
                <w:szCs w:val="21"/>
              </w:rPr>
              <w:t>r</w:t>
            </w:r>
            <w:r w:rsidRPr="00DC4F91">
              <w:rPr>
                <w:rFonts w:ascii="Times New Roman" w:hAnsi="Times New Roman" w:cs="Times New Roman"/>
                <w:b/>
                <w:bCs/>
                <w:szCs w:val="21"/>
              </w:rPr>
              <w:t xml:space="preserve">eference </w:t>
            </w:r>
            <w:r w:rsidR="00DC4F91" w:rsidRPr="00DC4F91">
              <w:rPr>
                <w:rFonts w:ascii="Times New Roman" w:hAnsi="Times New Roman" w:cs="Times New Roman" w:hint="eastAsia"/>
                <w:b/>
                <w:bCs/>
                <w:szCs w:val="21"/>
              </w:rPr>
              <w:t>s</w:t>
            </w:r>
            <w:r w:rsidRPr="00DC4F91">
              <w:rPr>
                <w:rFonts w:ascii="Times New Roman" w:hAnsi="Times New Roman" w:cs="Times New Roman"/>
                <w:b/>
                <w:bCs/>
                <w:szCs w:val="21"/>
              </w:rPr>
              <w:t>equence</w:t>
            </w:r>
          </w:p>
        </w:tc>
        <w:tc>
          <w:tcPr>
            <w:tcW w:w="919" w:type="pct"/>
            <w:tcBorders>
              <w:top w:val="single" w:sz="12" w:space="0" w:color="auto"/>
              <w:bottom w:val="single" w:sz="12" w:space="0" w:color="auto"/>
            </w:tcBorders>
          </w:tcPr>
          <w:p w14:paraId="26328580" w14:textId="33902D65" w:rsidR="00E0371E" w:rsidRPr="00DC4F91" w:rsidRDefault="00E0371E" w:rsidP="00754767">
            <w:pPr>
              <w:rPr>
                <w:rFonts w:ascii="Times New Roman" w:hAnsi="Times New Roman" w:cs="Times New Roman"/>
                <w:szCs w:val="21"/>
              </w:rPr>
            </w:pPr>
            <w:r w:rsidRPr="00DC4F91">
              <w:rPr>
                <w:rFonts w:ascii="Times New Roman" w:hAnsi="Times New Roman" w:cs="Times New Roman"/>
                <w:b/>
                <w:bCs/>
                <w:szCs w:val="21"/>
              </w:rPr>
              <w:t>Amplicon size</w:t>
            </w:r>
            <w:r w:rsidR="00DC4F91" w:rsidRPr="00DC4F91">
              <w:rPr>
                <w:rFonts w:ascii="Times New Roman" w:hAnsi="Times New Roman" w:cs="Times New Roman" w:hint="eastAsia"/>
                <w:b/>
                <w:bCs/>
                <w:szCs w:val="21"/>
              </w:rPr>
              <w:t>,</w:t>
            </w:r>
            <w:r w:rsidRPr="00DC4F91">
              <w:rPr>
                <w:rFonts w:ascii="Times New Roman" w:hAnsi="Times New Roman" w:cs="Times New Roman"/>
                <w:b/>
                <w:bCs/>
                <w:szCs w:val="21"/>
              </w:rPr>
              <w:t xml:space="preserve"> bp</w:t>
            </w:r>
          </w:p>
        </w:tc>
      </w:tr>
      <w:tr w:rsidR="00E0371E" w:rsidRPr="00DC4F91" w14:paraId="3C497556" w14:textId="77777777" w:rsidTr="00754767">
        <w:trPr>
          <w:trHeight w:val="464"/>
          <w:jc w:val="center"/>
        </w:trPr>
        <w:tc>
          <w:tcPr>
            <w:tcW w:w="915" w:type="pct"/>
            <w:tcBorders>
              <w:top w:val="single" w:sz="12" w:space="0" w:color="auto"/>
            </w:tcBorders>
          </w:tcPr>
          <w:p w14:paraId="3A5560F6" w14:textId="158F4BAB"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β-</w:t>
            </w:r>
            <w:r w:rsidR="00DC4F91">
              <w:rPr>
                <w:rFonts w:ascii="Times New Roman" w:hAnsi="Times New Roman" w:cs="Times New Roman" w:hint="eastAsia"/>
                <w:color w:val="000000" w:themeColor="text1"/>
                <w:szCs w:val="21"/>
              </w:rPr>
              <w:t>A</w:t>
            </w:r>
            <w:r w:rsidRPr="00DC4F91">
              <w:rPr>
                <w:rFonts w:ascii="Times New Roman" w:hAnsi="Times New Roman" w:cs="Times New Roman"/>
                <w:color w:val="000000" w:themeColor="text1"/>
                <w:szCs w:val="21"/>
              </w:rPr>
              <w:t>ctin</w:t>
            </w:r>
          </w:p>
        </w:tc>
        <w:tc>
          <w:tcPr>
            <w:tcW w:w="2096" w:type="pct"/>
            <w:tcBorders>
              <w:top w:val="single" w:sz="12" w:space="0" w:color="auto"/>
            </w:tcBorders>
          </w:tcPr>
          <w:p w14:paraId="7875915C"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CCCTCAAGTACCCCATCGAG</w:t>
            </w:r>
          </w:p>
          <w:p w14:paraId="51566803"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TCTTCTCACGGTTGGCTT</w:t>
            </w:r>
          </w:p>
        </w:tc>
        <w:tc>
          <w:tcPr>
            <w:tcW w:w="1069" w:type="pct"/>
            <w:tcBorders>
              <w:top w:val="single" w:sz="12" w:space="0" w:color="auto"/>
            </w:tcBorders>
            <w:vAlign w:val="center"/>
          </w:tcPr>
          <w:p w14:paraId="7AE12303" w14:textId="77777777" w:rsidR="00E0371E" w:rsidRPr="00DC4F91" w:rsidRDefault="00E0371E" w:rsidP="00754767">
            <w:pPr>
              <w:spacing w:line="480" w:lineRule="auto"/>
              <w:rPr>
                <w:rFonts w:ascii="Times New Roman" w:hAnsi="Times New Roman" w:cs="Times New Roman"/>
                <w:color w:val="000000" w:themeColor="text1"/>
                <w:szCs w:val="21"/>
              </w:rPr>
            </w:pPr>
            <w:hyperlink r:id="rId8" w:tgtFrame="https://www.ncbi.nlm.nih.gov/tools/primer-blast/new_entrez" w:history="1">
              <w:r w:rsidRPr="00DC4F91">
                <w:rPr>
                  <w:rFonts w:ascii="Times New Roman" w:hAnsi="Times New Roman" w:cs="Times New Roman"/>
                  <w:color w:val="000000" w:themeColor="text1"/>
                  <w:szCs w:val="21"/>
                </w:rPr>
                <w:t>NM</w:t>
              </w:r>
              <w:r w:rsidRPr="00DC4F91">
                <w:rPr>
                  <w:rStyle w:val="af"/>
                  <w:rFonts w:ascii="Times New Roman" w:eastAsia="Arial" w:hAnsi="Times New Roman" w:cs="Times New Roman"/>
                  <w:color w:val="000000" w:themeColor="text1"/>
                  <w:szCs w:val="21"/>
                  <w:u w:val="none"/>
                  <w:shd w:val="clear" w:color="auto" w:fill="FFFFFF"/>
                </w:rPr>
                <w:t>_</w:t>
              </w:r>
              <w:r w:rsidRPr="00DC4F91">
                <w:rPr>
                  <w:rFonts w:ascii="Times New Roman" w:hAnsi="Times New Roman" w:cs="Times New Roman"/>
                  <w:color w:val="000000" w:themeColor="text1"/>
                  <w:szCs w:val="21"/>
                </w:rPr>
                <w:t>001167795</w:t>
              </w:r>
              <w:r w:rsidRPr="00DC4F91">
                <w:rPr>
                  <w:rStyle w:val="af"/>
                  <w:rFonts w:ascii="Times New Roman" w:eastAsia="Arial" w:hAnsi="Times New Roman" w:cs="Times New Roman"/>
                  <w:color w:val="000000" w:themeColor="text1"/>
                  <w:szCs w:val="21"/>
                  <w:u w:val="none"/>
                  <w:shd w:val="clear" w:color="auto" w:fill="FFFFFF"/>
                </w:rPr>
                <w:t>.1</w:t>
              </w:r>
            </w:hyperlink>
          </w:p>
        </w:tc>
        <w:tc>
          <w:tcPr>
            <w:tcW w:w="919" w:type="pct"/>
            <w:tcBorders>
              <w:top w:val="single" w:sz="12" w:space="0" w:color="auto"/>
            </w:tcBorders>
            <w:vAlign w:val="center"/>
          </w:tcPr>
          <w:p w14:paraId="2A0927D2"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159</w:t>
            </w:r>
          </w:p>
        </w:tc>
      </w:tr>
      <w:tr w:rsidR="00E0371E" w:rsidRPr="00DC4F91" w14:paraId="12620068" w14:textId="77777777" w:rsidTr="00754767">
        <w:trPr>
          <w:trHeight w:val="493"/>
          <w:jc w:val="center"/>
        </w:trPr>
        <w:tc>
          <w:tcPr>
            <w:tcW w:w="915" w:type="pct"/>
          </w:tcPr>
          <w:p w14:paraId="69273A1C"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NRF2</w:t>
            </w:r>
          </w:p>
        </w:tc>
        <w:tc>
          <w:tcPr>
            <w:tcW w:w="2096" w:type="pct"/>
          </w:tcPr>
          <w:p w14:paraId="20ED2428"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 xml:space="preserve">TTCGGCTACGTTTCAGTCAC </w:t>
            </w:r>
          </w:p>
          <w:p w14:paraId="4490E028"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TGTCCTGTTGCATACCGTCT</w:t>
            </w:r>
          </w:p>
        </w:tc>
        <w:tc>
          <w:tcPr>
            <w:tcW w:w="1069" w:type="pct"/>
            <w:vAlign w:val="center"/>
          </w:tcPr>
          <w:p w14:paraId="04F43F4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XM_021075131.1</w:t>
            </w:r>
          </w:p>
        </w:tc>
        <w:tc>
          <w:tcPr>
            <w:tcW w:w="919" w:type="pct"/>
            <w:vAlign w:val="center"/>
          </w:tcPr>
          <w:p w14:paraId="292BDA4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143</w:t>
            </w:r>
          </w:p>
        </w:tc>
      </w:tr>
      <w:tr w:rsidR="00E0371E" w:rsidRPr="00DC4F91" w14:paraId="5328C95A" w14:textId="77777777" w:rsidTr="00754767">
        <w:trPr>
          <w:trHeight w:val="493"/>
          <w:jc w:val="center"/>
        </w:trPr>
        <w:tc>
          <w:tcPr>
            <w:tcW w:w="915" w:type="pct"/>
          </w:tcPr>
          <w:p w14:paraId="54B6601C"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GPX4</w:t>
            </w:r>
          </w:p>
        </w:tc>
        <w:tc>
          <w:tcPr>
            <w:tcW w:w="2096" w:type="pct"/>
          </w:tcPr>
          <w:p w14:paraId="7391F334"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GACGATGCCCACCCTCTG</w:t>
            </w:r>
          </w:p>
          <w:p w14:paraId="412BF459"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GACCGTACCGCTTCACCAC</w:t>
            </w:r>
          </w:p>
        </w:tc>
        <w:tc>
          <w:tcPr>
            <w:tcW w:w="1069" w:type="pct"/>
            <w:vAlign w:val="center"/>
          </w:tcPr>
          <w:p w14:paraId="4E49C7E2"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NM_214407.1</w:t>
            </w:r>
          </w:p>
        </w:tc>
        <w:tc>
          <w:tcPr>
            <w:tcW w:w="919" w:type="pct"/>
            <w:vAlign w:val="center"/>
          </w:tcPr>
          <w:p w14:paraId="7F8602DD"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133</w:t>
            </w:r>
          </w:p>
        </w:tc>
      </w:tr>
      <w:tr w:rsidR="00E0371E" w:rsidRPr="00DC4F91" w14:paraId="39B31FE7" w14:textId="77777777" w:rsidTr="00754767">
        <w:trPr>
          <w:trHeight w:val="493"/>
          <w:jc w:val="center"/>
        </w:trPr>
        <w:tc>
          <w:tcPr>
            <w:tcW w:w="915" w:type="pct"/>
          </w:tcPr>
          <w:p w14:paraId="5EC15F47"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KEAP1</w:t>
            </w:r>
          </w:p>
        </w:tc>
        <w:tc>
          <w:tcPr>
            <w:tcW w:w="2096" w:type="pct"/>
          </w:tcPr>
          <w:p w14:paraId="3B7121F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ACCACACCAAGCAAGCCTT</w:t>
            </w:r>
          </w:p>
          <w:p w14:paraId="7E313EF8"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TGCATCCTCGTACTTGACCTG</w:t>
            </w:r>
          </w:p>
        </w:tc>
        <w:tc>
          <w:tcPr>
            <w:tcW w:w="1069" w:type="pct"/>
            <w:vAlign w:val="center"/>
          </w:tcPr>
          <w:p w14:paraId="4249B76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NM_001114671.1</w:t>
            </w:r>
          </w:p>
        </w:tc>
        <w:tc>
          <w:tcPr>
            <w:tcW w:w="919" w:type="pct"/>
            <w:vAlign w:val="center"/>
          </w:tcPr>
          <w:p w14:paraId="210E3926"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92</w:t>
            </w:r>
          </w:p>
        </w:tc>
      </w:tr>
      <w:tr w:rsidR="00E0371E" w:rsidRPr="00DC4F91" w14:paraId="6A2764DC" w14:textId="77777777" w:rsidTr="00754767">
        <w:trPr>
          <w:trHeight w:val="493"/>
          <w:jc w:val="center"/>
        </w:trPr>
        <w:tc>
          <w:tcPr>
            <w:tcW w:w="915" w:type="pct"/>
          </w:tcPr>
          <w:p w14:paraId="27DBA421"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SOD1</w:t>
            </w:r>
          </w:p>
        </w:tc>
        <w:tc>
          <w:tcPr>
            <w:tcW w:w="2096" w:type="pct"/>
          </w:tcPr>
          <w:p w14:paraId="30345D3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AATACACAAGGCTGTACCAGT</w:t>
            </w:r>
          </w:p>
          <w:p w14:paraId="63E87E36"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ACATTGCCCAGGTCTCCAAC</w:t>
            </w:r>
          </w:p>
        </w:tc>
        <w:tc>
          <w:tcPr>
            <w:tcW w:w="1069" w:type="pct"/>
            <w:vAlign w:val="center"/>
          </w:tcPr>
          <w:p w14:paraId="693ED427" w14:textId="77777777" w:rsidR="00E0371E" w:rsidRPr="00DC4F91" w:rsidRDefault="00E0371E" w:rsidP="00754767">
            <w:pPr>
              <w:spacing w:line="360" w:lineRule="auto"/>
              <w:rPr>
                <w:rFonts w:ascii="Times New Roman" w:hAnsi="Times New Roman" w:cs="Times New Roman"/>
                <w:color w:val="000000" w:themeColor="text1"/>
                <w:szCs w:val="21"/>
              </w:rPr>
            </w:pPr>
            <w:hyperlink r:id="rId9" w:tgtFrame="https://www.ncbi.nlm.nih.gov/tools/primer-blast/new_entrez" w:history="1">
              <w:r w:rsidRPr="00DC4F91">
                <w:rPr>
                  <w:rFonts w:ascii="Times New Roman" w:hAnsi="Times New Roman" w:cs="Times New Roman"/>
                  <w:color w:val="000000" w:themeColor="text1"/>
                  <w:szCs w:val="21"/>
                </w:rPr>
                <w:t xml:space="preserve">NM_001190422.1 </w:t>
              </w:r>
            </w:hyperlink>
          </w:p>
        </w:tc>
        <w:tc>
          <w:tcPr>
            <w:tcW w:w="919" w:type="pct"/>
            <w:vAlign w:val="center"/>
          </w:tcPr>
          <w:p w14:paraId="2A5DC3A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104</w:t>
            </w:r>
          </w:p>
        </w:tc>
      </w:tr>
      <w:tr w:rsidR="00E0371E" w:rsidRPr="00DC4F91" w14:paraId="6EEFA992" w14:textId="77777777" w:rsidTr="00754767">
        <w:trPr>
          <w:trHeight w:val="493"/>
          <w:jc w:val="center"/>
        </w:trPr>
        <w:tc>
          <w:tcPr>
            <w:tcW w:w="915" w:type="pct"/>
          </w:tcPr>
          <w:p w14:paraId="0455368C"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SOD2</w:t>
            </w:r>
          </w:p>
        </w:tc>
        <w:tc>
          <w:tcPr>
            <w:tcW w:w="2096" w:type="pct"/>
          </w:tcPr>
          <w:p w14:paraId="541A5E8B"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AGATTGCCGCTTGTTCTAACCA</w:t>
            </w:r>
          </w:p>
          <w:p w14:paraId="12A9D17E"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TATCGCTCAGTTACATTCTCCC</w:t>
            </w:r>
          </w:p>
        </w:tc>
        <w:tc>
          <w:tcPr>
            <w:tcW w:w="1069" w:type="pct"/>
            <w:vAlign w:val="center"/>
          </w:tcPr>
          <w:p w14:paraId="17D67DD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NM_214127.2</w:t>
            </w:r>
          </w:p>
        </w:tc>
        <w:tc>
          <w:tcPr>
            <w:tcW w:w="919" w:type="pct"/>
            <w:vAlign w:val="center"/>
          </w:tcPr>
          <w:p w14:paraId="1AA60A8E"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172</w:t>
            </w:r>
          </w:p>
        </w:tc>
      </w:tr>
      <w:tr w:rsidR="00E0371E" w:rsidRPr="00DC4F91" w14:paraId="5E9CE02C" w14:textId="77777777" w:rsidTr="00754767">
        <w:trPr>
          <w:trHeight w:val="493"/>
          <w:jc w:val="center"/>
        </w:trPr>
        <w:tc>
          <w:tcPr>
            <w:tcW w:w="915" w:type="pct"/>
          </w:tcPr>
          <w:p w14:paraId="7B494AE2"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SOD3</w:t>
            </w:r>
          </w:p>
        </w:tc>
        <w:tc>
          <w:tcPr>
            <w:tcW w:w="2096" w:type="pct"/>
          </w:tcPr>
          <w:p w14:paraId="45CAC241"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CTCCGACGCCTTGACCCAC</w:t>
            </w:r>
          </w:p>
          <w:p w14:paraId="0E8AFEB9"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CTGCGTCAACTCCTGCCAGA</w:t>
            </w:r>
          </w:p>
        </w:tc>
        <w:tc>
          <w:tcPr>
            <w:tcW w:w="1069" w:type="pct"/>
            <w:vAlign w:val="center"/>
          </w:tcPr>
          <w:p w14:paraId="055AC126"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NM_001078688.1</w:t>
            </w:r>
          </w:p>
        </w:tc>
        <w:tc>
          <w:tcPr>
            <w:tcW w:w="919" w:type="pct"/>
            <w:vAlign w:val="center"/>
          </w:tcPr>
          <w:p w14:paraId="05B07C4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109</w:t>
            </w:r>
          </w:p>
        </w:tc>
      </w:tr>
      <w:tr w:rsidR="00E0371E" w:rsidRPr="00DC4F91" w14:paraId="00B90B8B" w14:textId="77777777" w:rsidTr="00754767">
        <w:trPr>
          <w:trHeight w:val="493"/>
          <w:jc w:val="center"/>
        </w:trPr>
        <w:tc>
          <w:tcPr>
            <w:tcW w:w="915" w:type="pct"/>
          </w:tcPr>
          <w:p w14:paraId="4350E827"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HO-1</w:t>
            </w:r>
          </w:p>
        </w:tc>
        <w:tc>
          <w:tcPr>
            <w:tcW w:w="2096" w:type="pct"/>
          </w:tcPr>
          <w:p w14:paraId="11E6F6C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ATGGAGCACTCACAGCCCAA</w:t>
            </w:r>
          </w:p>
          <w:p w14:paraId="649655F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TTAAAGCCTTCTCGGGTGAC</w:t>
            </w:r>
          </w:p>
        </w:tc>
        <w:tc>
          <w:tcPr>
            <w:tcW w:w="1069" w:type="pct"/>
            <w:vAlign w:val="center"/>
          </w:tcPr>
          <w:p w14:paraId="766C8925"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NM_001004027.1</w:t>
            </w:r>
          </w:p>
        </w:tc>
        <w:tc>
          <w:tcPr>
            <w:tcW w:w="919" w:type="pct"/>
            <w:vAlign w:val="center"/>
          </w:tcPr>
          <w:p w14:paraId="3CD634EC"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143</w:t>
            </w:r>
          </w:p>
        </w:tc>
      </w:tr>
      <w:tr w:rsidR="00E0371E" w:rsidRPr="00DC4F91" w14:paraId="30F07792" w14:textId="77777777" w:rsidTr="00754767">
        <w:trPr>
          <w:trHeight w:val="493"/>
          <w:jc w:val="center"/>
        </w:trPr>
        <w:tc>
          <w:tcPr>
            <w:tcW w:w="915" w:type="pct"/>
          </w:tcPr>
          <w:p w14:paraId="55FC83C0"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NQO1</w:t>
            </w:r>
          </w:p>
        </w:tc>
        <w:tc>
          <w:tcPr>
            <w:tcW w:w="2096" w:type="pct"/>
          </w:tcPr>
          <w:p w14:paraId="535735B1"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CCGTCATCTCCAGAAAGGACA</w:t>
            </w:r>
          </w:p>
          <w:p w14:paraId="53B39D8B"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TTTATAAGCCAGAGCAGTCTCG</w:t>
            </w:r>
          </w:p>
        </w:tc>
        <w:tc>
          <w:tcPr>
            <w:tcW w:w="1069" w:type="pct"/>
            <w:vAlign w:val="center"/>
          </w:tcPr>
          <w:p w14:paraId="2CAFB9F6"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NM_001159613.1</w:t>
            </w:r>
          </w:p>
        </w:tc>
        <w:tc>
          <w:tcPr>
            <w:tcW w:w="919" w:type="pct"/>
            <w:vAlign w:val="center"/>
          </w:tcPr>
          <w:p w14:paraId="6C7DCB63"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86</w:t>
            </w:r>
          </w:p>
        </w:tc>
      </w:tr>
      <w:tr w:rsidR="00E0371E" w:rsidRPr="00DC4F91" w14:paraId="46D70C6F" w14:textId="77777777" w:rsidTr="00754767">
        <w:trPr>
          <w:trHeight w:val="493"/>
          <w:jc w:val="center"/>
        </w:trPr>
        <w:tc>
          <w:tcPr>
            <w:tcW w:w="915" w:type="pct"/>
          </w:tcPr>
          <w:p w14:paraId="1427F761"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CAT</w:t>
            </w:r>
          </w:p>
        </w:tc>
        <w:tc>
          <w:tcPr>
            <w:tcW w:w="2096" w:type="pct"/>
          </w:tcPr>
          <w:p w14:paraId="5C4A07D2"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TGCCAACGAAGATAATGTCACC</w:t>
            </w:r>
          </w:p>
          <w:p w14:paraId="1F1AFD59"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TTGTGCGTCTTTCAGATGACC</w:t>
            </w:r>
          </w:p>
        </w:tc>
        <w:tc>
          <w:tcPr>
            <w:tcW w:w="1069" w:type="pct"/>
            <w:vAlign w:val="center"/>
          </w:tcPr>
          <w:p w14:paraId="6976150C"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NM_214301.2</w:t>
            </w:r>
          </w:p>
        </w:tc>
        <w:tc>
          <w:tcPr>
            <w:tcW w:w="919" w:type="pct"/>
            <w:vAlign w:val="center"/>
          </w:tcPr>
          <w:p w14:paraId="721265C4"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112</w:t>
            </w:r>
          </w:p>
        </w:tc>
      </w:tr>
      <w:tr w:rsidR="00E0371E" w:rsidRPr="00DC4F91" w14:paraId="4FB0E007" w14:textId="77777777" w:rsidTr="00754767">
        <w:trPr>
          <w:trHeight w:val="493"/>
          <w:jc w:val="center"/>
        </w:trPr>
        <w:tc>
          <w:tcPr>
            <w:tcW w:w="915" w:type="pct"/>
          </w:tcPr>
          <w:p w14:paraId="4304DE75"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GCLM</w:t>
            </w:r>
          </w:p>
        </w:tc>
        <w:tc>
          <w:tcPr>
            <w:tcW w:w="2096" w:type="pct"/>
          </w:tcPr>
          <w:p w14:paraId="2CD70A11"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GCATCTACAGCCTTACTGGGA</w:t>
            </w:r>
          </w:p>
          <w:p w14:paraId="50AA06AA"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GCTCCAACTGGGTTTTGTCC</w:t>
            </w:r>
          </w:p>
        </w:tc>
        <w:tc>
          <w:tcPr>
            <w:tcW w:w="1069" w:type="pct"/>
          </w:tcPr>
          <w:p w14:paraId="25CE9574"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XM_001926378.4</w:t>
            </w:r>
          </w:p>
        </w:tc>
        <w:tc>
          <w:tcPr>
            <w:tcW w:w="919" w:type="pct"/>
          </w:tcPr>
          <w:p w14:paraId="014859FD"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98</w:t>
            </w:r>
          </w:p>
        </w:tc>
      </w:tr>
      <w:tr w:rsidR="00E0371E" w:rsidRPr="00DC4F91" w14:paraId="35BEF587" w14:textId="77777777" w:rsidTr="00754767">
        <w:trPr>
          <w:trHeight w:val="493"/>
          <w:jc w:val="center"/>
        </w:trPr>
        <w:tc>
          <w:tcPr>
            <w:tcW w:w="915" w:type="pct"/>
          </w:tcPr>
          <w:p w14:paraId="4F8F5152"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GCLC</w:t>
            </w:r>
          </w:p>
        </w:tc>
        <w:tc>
          <w:tcPr>
            <w:tcW w:w="2096" w:type="pct"/>
          </w:tcPr>
          <w:p w14:paraId="482FA7DB"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CCCCATCCTGAACTCTTACCTG</w:t>
            </w:r>
          </w:p>
          <w:p w14:paraId="67475A11"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TGGTTTGCGATAAACTCCCT</w:t>
            </w:r>
          </w:p>
        </w:tc>
        <w:tc>
          <w:tcPr>
            <w:tcW w:w="1069" w:type="pct"/>
          </w:tcPr>
          <w:p w14:paraId="37573264"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XM_021098556.1</w:t>
            </w:r>
          </w:p>
        </w:tc>
        <w:tc>
          <w:tcPr>
            <w:tcW w:w="919" w:type="pct"/>
          </w:tcPr>
          <w:p w14:paraId="2734F59B"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147</w:t>
            </w:r>
          </w:p>
        </w:tc>
      </w:tr>
      <w:tr w:rsidR="00E0371E" w:rsidRPr="00DC4F91" w14:paraId="108647B9" w14:textId="77777777" w:rsidTr="00754767">
        <w:trPr>
          <w:trHeight w:val="493"/>
          <w:jc w:val="center"/>
        </w:trPr>
        <w:tc>
          <w:tcPr>
            <w:tcW w:w="915" w:type="pct"/>
            <w:tcBorders>
              <w:bottom w:val="single" w:sz="12" w:space="0" w:color="auto"/>
            </w:tcBorders>
          </w:tcPr>
          <w:p w14:paraId="79DE1B0D" w14:textId="77777777" w:rsidR="00E0371E" w:rsidRPr="00DC4F91" w:rsidRDefault="00E0371E" w:rsidP="00754767">
            <w:pPr>
              <w:spacing w:line="360" w:lineRule="auto"/>
              <w:rPr>
                <w:rFonts w:ascii="Times New Roman" w:hAnsi="Times New Roman" w:cs="Times New Roman"/>
                <w:i/>
                <w:iCs/>
                <w:color w:val="000000" w:themeColor="text1"/>
                <w:szCs w:val="21"/>
              </w:rPr>
            </w:pPr>
            <w:r w:rsidRPr="00DC4F91">
              <w:rPr>
                <w:rFonts w:ascii="Times New Roman" w:hAnsi="Times New Roman" w:cs="Times New Roman"/>
                <w:i/>
                <w:iCs/>
                <w:color w:val="000000" w:themeColor="text1"/>
                <w:szCs w:val="21"/>
              </w:rPr>
              <w:t>TXRN1</w:t>
            </w:r>
          </w:p>
        </w:tc>
        <w:tc>
          <w:tcPr>
            <w:tcW w:w="2096" w:type="pct"/>
            <w:tcBorders>
              <w:bottom w:val="single" w:sz="12" w:space="0" w:color="auto"/>
            </w:tcBorders>
          </w:tcPr>
          <w:p w14:paraId="58C0A7D9"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GGCCTTGCAAAATGATCAAGC</w:t>
            </w:r>
          </w:p>
          <w:p w14:paraId="71F41FD9"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GCTCCAGAAAATTCACCCACC</w:t>
            </w:r>
          </w:p>
        </w:tc>
        <w:tc>
          <w:tcPr>
            <w:tcW w:w="1069" w:type="pct"/>
            <w:tcBorders>
              <w:bottom w:val="single" w:sz="12" w:space="0" w:color="auto"/>
            </w:tcBorders>
          </w:tcPr>
          <w:p w14:paraId="3D76B6E0"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NM_214313.2</w:t>
            </w:r>
          </w:p>
        </w:tc>
        <w:tc>
          <w:tcPr>
            <w:tcW w:w="919" w:type="pct"/>
            <w:tcBorders>
              <w:bottom w:val="single" w:sz="12" w:space="0" w:color="auto"/>
            </w:tcBorders>
          </w:tcPr>
          <w:p w14:paraId="0E5290B6" w14:textId="77777777" w:rsidR="00E0371E" w:rsidRPr="00DC4F91" w:rsidRDefault="00E0371E" w:rsidP="00754767">
            <w:pPr>
              <w:spacing w:line="360" w:lineRule="auto"/>
              <w:rPr>
                <w:rFonts w:ascii="Times New Roman" w:hAnsi="Times New Roman" w:cs="Times New Roman"/>
                <w:color w:val="000000" w:themeColor="text1"/>
                <w:szCs w:val="21"/>
              </w:rPr>
            </w:pPr>
            <w:r w:rsidRPr="00DC4F91">
              <w:rPr>
                <w:rFonts w:ascii="Times New Roman" w:hAnsi="Times New Roman" w:cs="Times New Roman"/>
                <w:color w:val="000000" w:themeColor="text1"/>
                <w:szCs w:val="21"/>
              </w:rPr>
              <w:t>178</w:t>
            </w:r>
          </w:p>
        </w:tc>
      </w:tr>
    </w:tbl>
    <w:p w14:paraId="0A7A4121" w14:textId="77777777" w:rsidR="00E0371E" w:rsidRPr="00FA2FC8" w:rsidRDefault="00E0371E" w:rsidP="00E0371E">
      <w:pPr>
        <w:spacing w:line="360" w:lineRule="auto"/>
        <w:rPr>
          <w:rFonts w:ascii="Times New Roman" w:hAnsi="Times New Roman" w:cs="Times New Roman"/>
          <w:color w:val="000000" w:themeColor="text1"/>
          <w:sz w:val="24"/>
          <w:szCs w:val="24"/>
        </w:rPr>
      </w:pPr>
      <w:r w:rsidRPr="00FA2FC8">
        <w:rPr>
          <w:rFonts w:ascii="Times New Roman" w:hAnsi="Times New Roman" w:cs="Times New Roman"/>
          <w:color w:val="000000" w:themeColor="text1"/>
          <w:sz w:val="24"/>
          <w:szCs w:val="24"/>
        </w:rPr>
        <w:br w:type="page"/>
      </w:r>
    </w:p>
    <w:p w14:paraId="0F2135F4" w14:textId="77777777" w:rsidR="00E0371E" w:rsidRPr="00FA2FC8" w:rsidRDefault="00E0371E" w:rsidP="00E0371E">
      <w:pPr>
        <w:rPr>
          <w:rFonts w:ascii="Times New Roman" w:hAnsi="Times New Roman" w:cs="Times New Roman"/>
          <w:sz w:val="24"/>
          <w:szCs w:val="24"/>
        </w:rPr>
        <w:sectPr w:rsidR="00E0371E" w:rsidRPr="00FA2FC8" w:rsidSect="00206154">
          <w:footerReference w:type="default" r:id="rId10"/>
          <w:pgSz w:w="11906" w:h="16838"/>
          <w:pgMar w:top="1418" w:right="1418" w:bottom="1418" w:left="1418" w:header="851" w:footer="992" w:gutter="0"/>
          <w:cols w:space="425"/>
          <w:docGrid w:type="lines" w:linePitch="312"/>
        </w:sectPr>
      </w:pPr>
    </w:p>
    <w:p w14:paraId="081F9681" w14:textId="365BFDE3" w:rsidR="00E0371E" w:rsidRPr="00FA2FC8" w:rsidRDefault="00E0371E" w:rsidP="00DC4F91">
      <w:pPr>
        <w:spacing w:line="600" w:lineRule="auto"/>
        <w:ind w:leftChars="-135" w:left="-283" w:firstLineChars="117" w:firstLine="282"/>
        <w:jc w:val="left"/>
        <w:rPr>
          <w:rFonts w:ascii="Times New Roman" w:hAnsi="Times New Roman" w:cs="Times New Roman"/>
          <w:b/>
          <w:bCs/>
          <w:sz w:val="24"/>
          <w:szCs w:val="24"/>
        </w:rPr>
      </w:pPr>
      <w:r w:rsidRPr="00FA2FC8">
        <w:rPr>
          <w:rFonts w:ascii="Times New Roman" w:hAnsi="Times New Roman" w:cs="Times New Roman"/>
          <w:b/>
          <w:bCs/>
          <w:sz w:val="24"/>
          <w:szCs w:val="24"/>
        </w:rPr>
        <w:lastRenderedPageBreak/>
        <w:t xml:space="preserve">Table S2 </w:t>
      </w:r>
      <w:bookmarkStart w:id="1" w:name="_Hlk211544751"/>
      <w:r w:rsidRPr="00346BDD">
        <w:rPr>
          <w:rFonts w:ascii="Times New Roman" w:hAnsi="Times New Roman" w:cs="Times New Roman"/>
          <w:sz w:val="24"/>
          <w:szCs w:val="24"/>
        </w:rPr>
        <w:t>Binding energy</w:t>
      </w:r>
      <w:bookmarkEnd w:id="1"/>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5"/>
        <w:gridCol w:w="1299"/>
        <w:gridCol w:w="1108"/>
        <w:gridCol w:w="1246"/>
        <w:gridCol w:w="1246"/>
        <w:gridCol w:w="831"/>
        <w:gridCol w:w="931"/>
      </w:tblGrid>
      <w:tr w:rsidR="00E0371E" w:rsidRPr="00DC4F91" w14:paraId="1F201307" w14:textId="77777777" w:rsidTr="00754767">
        <w:trPr>
          <w:trHeight w:val="464"/>
          <w:jc w:val="center"/>
        </w:trPr>
        <w:tc>
          <w:tcPr>
            <w:tcW w:w="625" w:type="pct"/>
            <w:tcBorders>
              <w:top w:val="single" w:sz="12" w:space="0" w:color="auto"/>
              <w:bottom w:val="single" w:sz="12" w:space="0" w:color="auto"/>
            </w:tcBorders>
          </w:tcPr>
          <w:p w14:paraId="3EDD8391" w14:textId="77777777" w:rsidR="00E0371E" w:rsidRPr="00DC4F91" w:rsidRDefault="00E0371E" w:rsidP="00754767">
            <w:pPr>
              <w:rPr>
                <w:rFonts w:ascii="Times New Roman" w:hAnsi="Times New Roman" w:cs="Times New Roman"/>
                <w:b/>
                <w:bCs/>
                <w:szCs w:val="21"/>
              </w:rPr>
            </w:pPr>
            <w:r w:rsidRPr="00DC4F91">
              <w:rPr>
                <w:rFonts w:ascii="Times New Roman" w:hAnsi="Times New Roman" w:cs="Times New Roman"/>
                <w:b/>
                <w:bCs/>
                <w:szCs w:val="21"/>
              </w:rPr>
              <w:t>Complex</w:t>
            </w:r>
          </w:p>
        </w:tc>
        <w:tc>
          <w:tcPr>
            <w:tcW w:w="703" w:type="pct"/>
            <w:tcBorders>
              <w:top w:val="single" w:sz="12" w:space="0" w:color="auto"/>
              <w:bottom w:val="single" w:sz="12" w:space="0" w:color="auto"/>
            </w:tcBorders>
          </w:tcPr>
          <w:p w14:paraId="530D2E10" w14:textId="77777777" w:rsidR="00E0371E" w:rsidRPr="00DC4F91" w:rsidRDefault="00E0371E" w:rsidP="00754767">
            <w:pPr>
              <w:rPr>
                <w:rFonts w:ascii="Times New Roman" w:hAnsi="Times New Roman" w:cs="Times New Roman"/>
                <w:b/>
                <w:bCs/>
                <w:szCs w:val="21"/>
              </w:rPr>
            </w:pPr>
            <w:proofErr w:type="spellStart"/>
            <w:r w:rsidRPr="00DC4F91">
              <w:rPr>
                <w:rFonts w:ascii="Times New Roman" w:hAnsi="Times New Roman" w:cs="Times New Roman"/>
                <w:b/>
                <w:bCs/>
                <w:szCs w:val="21"/>
              </w:rPr>
              <w:t>ΔEvdw</w:t>
            </w:r>
            <w:proofErr w:type="spellEnd"/>
          </w:p>
        </w:tc>
        <w:tc>
          <w:tcPr>
            <w:tcW w:w="716" w:type="pct"/>
            <w:tcBorders>
              <w:top w:val="single" w:sz="12" w:space="0" w:color="auto"/>
              <w:bottom w:val="single" w:sz="12" w:space="0" w:color="auto"/>
            </w:tcBorders>
          </w:tcPr>
          <w:p w14:paraId="3BACF43A" w14:textId="77777777" w:rsidR="00E0371E" w:rsidRPr="00DC4F91" w:rsidRDefault="00E0371E" w:rsidP="00754767">
            <w:pPr>
              <w:rPr>
                <w:rFonts w:ascii="Times New Roman" w:hAnsi="Times New Roman" w:cs="Times New Roman"/>
                <w:b/>
                <w:bCs/>
                <w:szCs w:val="21"/>
              </w:rPr>
            </w:pPr>
            <w:proofErr w:type="spellStart"/>
            <w:r w:rsidRPr="00DC4F91">
              <w:rPr>
                <w:rFonts w:ascii="Times New Roman" w:hAnsi="Times New Roman" w:cs="Times New Roman"/>
                <w:b/>
                <w:bCs/>
                <w:szCs w:val="21"/>
              </w:rPr>
              <w:t>ΔEele</w:t>
            </w:r>
            <w:proofErr w:type="spellEnd"/>
          </w:p>
        </w:tc>
        <w:tc>
          <w:tcPr>
            <w:tcW w:w="611" w:type="pct"/>
            <w:tcBorders>
              <w:top w:val="single" w:sz="12" w:space="0" w:color="auto"/>
              <w:bottom w:val="single" w:sz="12" w:space="0" w:color="auto"/>
            </w:tcBorders>
          </w:tcPr>
          <w:p w14:paraId="75223BCB" w14:textId="77777777" w:rsidR="00E0371E" w:rsidRPr="00DC4F91" w:rsidRDefault="00E0371E" w:rsidP="00754767">
            <w:pPr>
              <w:rPr>
                <w:rFonts w:ascii="Times New Roman" w:hAnsi="Times New Roman" w:cs="Times New Roman"/>
                <w:b/>
                <w:bCs/>
                <w:szCs w:val="21"/>
              </w:rPr>
            </w:pPr>
            <w:proofErr w:type="spellStart"/>
            <w:r w:rsidRPr="00DC4F91">
              <w:rPr>
                <w:rFonts w:ascii="Times New Roman" w:hAnsi="Times New Roman" w:cs="Times New Roman"/>
                <w:b/>
                <w:bCs/>
                <w:szCs w:val="21"/>
              </w:rPr>
              <w:t>ΔEpol</w:t>
            </w:r>
            <w:proofErr w:type="spellEnd"/>
          </w:p>
        </w:tc>
        <w:tc>
          <w:tcPr>
            <w:tcW w:w="687" w:type="pct"/>
            <w:tcBorders>
              <w:top w:val="single" w:sz="12" w:space="0" w:color="auto"/>
              <w:bottom w:val="single" w:sz="12" w:space="0" w:color="auto"/>
            </w:tcBorders>
          </w:tcPr>
          <w:p w14:paraId="3D5CDC13" w14:textId="77777777" w:rsidR="00E0371E" w:rsidRPr="00DC4F91" w:rsidRDefault="00E0371E" w:rsidP="00754767">
            <w:pPr>
              <w:rPr>
                <w:rFonts w:ascii="Times New Roman" w:hAnsi="Times New Roman" w:cs="Times New Roman"/>
                <w:b/>
                <w:bCs/>
                <w:szCs w:val="21"/>
              </w:rPr>
            </w:pPr>
            <w:proofErr w:type="spellStart"/>
            <w:r w:rsidRPr="00DC4F91">
              <w:rPr>
                <w:rFonts w:ascii="Times New Roman" w:hAnsi="Times New Roman" w:cs="Times New Roman"/>
                <w:b/>
                <w:bCs/>
                <w:szCs w:val="21"/>
              </w:rPr>
              <w:t>ΔEnonpol</w:t>
            </w:r>
            <w:proofErr w:type="spellEnd"/>
          </w:p>
        </w:tc>
        <w:tc>
          <w:tcPr>
            <w:tcW w:w="687" w:type="pct"/>
            <w:tcBorders>
              <w:top w:val="single" w:sz="12" w:space="0" w:color="auto"/>
              <w:bottom w:val="single" w:sz="12" w:space="0" w:color="auto"/>
            </w:tcBorders>
          </w:tcPr>
          <w:p w14:paraId="2E738C29" w14:textId="77777777" w:rsidR="00E0371E" w:rsidRPr="00DC4F91" w:rsidRDefault="00E0371E" w:rsidP="00754767">
            <w:pPr>
              <w:rPr>
                <w:rFonts w:ascii="Times New Roman" w:hAnsi="Times New Roman" w:cs="Times New Roman"/>
                <w:b/>
                <w:bCs/>
                <w:szCs w:val="21"/>
              </w:rPr>
            </w:pPr>
            <w:r w:rsidRPr="00DC4F91">
              <w:rPr>
                <w:rFonts w:ascii="Times New Roman" w:hAnsi="Times New Roman" w:cs="Times New Roman"/>
                <w:b/>
                <w:bCs/>
                <w:szCs w:val="21"/>
              </w:rPr>
              <w:t>ΔEMMPBA</w:t>
            </w:r>
          </w:p>
        </w:tc>
        <w:tc>
          <w:tcPr>
            <w:tcW w:w="458" w:type="pct"/>
            <w:tcBorders>
              <w:top w:val="single" w:sz="12" w:space="0" w:color="auto"/>
              <w:bottom w:val="single" w:sz="12" w:space="0" w:color="auto"/>
            </w:tcBorders>
          </w:tcPr>
          <w:p w14:paraId="21D4D0C5" w14:textId="77777777" w:rsidR="00E0371E" w:rsidRPr="00DC4F91" w:rsidRDefault="00E0371E" w:rsidP="00754767">
            <w:pPr>
              <w:rPr>
                <w:rFonts w:ascii="Times New Roman" w:hAnsi="Times New Roman" w:cs="Times New Roman"/>
                <w:b/>
                <w:bCs/>
                <w:szCs w:val="21"/>
              </w:rPr>
            </w:pPr>
            <w:r w:rsidRPr="00DC4F91">
              <w:rPr>
                <w:rFonts w:ascii="Times New Roman" w:hAnsi="Times New Roman" w:cs="Times New Roman"/>
                <w:b/>
                <w:bCs/>
                <w:szCs w:val="21"/>
              </w:rPr>
              <w:t>-TΔS</w:t>
            </w:r>
          </w:p>
        </w:tc>
        <w:tc>
          <w:tcPr>
            <w:tcW w:w="513" w:type="pct"/>
            <w:tcBorders>
              <w:top w:val="single" w:sz="12" w:space="0" w:color="auto"/>
              <w:bottom w:val="single" w:sz="12" w:space="0" w:color="auto"/>
            </w:tcBorders>
          </w:tcPr>
          <w:p w14:paraId="7C59E12A" w14:textId="77777777" w:rsidR="00E0371E" w:rsidRPr="00DC4F91" w:rsidRDefault="00E0371E" w:rsidP="00754767">
            <w:pPr>
              <w:rPr>
                <w:rFonts w:ascii="Times New Roman" w:hAnsi="Times New Roman" w:cs="Times New Roman"/>
                <w:b/>
                <w:bCs/>
                <w:szCs w:val="21"/>
              </w:rPr>
            </w:pPr>
            <w:proofErr w:type="spellStart"/>
            <w:r w:rsidRPr="00DC4F91">
              <w:rPr>
                <w:rFonts w:ascii="Times New Roman" w:hAnsi="Times New Roman" w:cs="Times New Roman"/>
                <w:b/>
                <w:bCs/>
                <w:szCs w:val="21"/>
              </w:rPr>
              <w:t>ΔGbin</w:t>
            </w:r>
            <w:proofErr w:type="spellEnd"/>
            <w:r w:rsidRPr="00346BDD">
              <w:rPr>
                <w:rFonts w:ascii="Times New Roman" w:hAnsi="Times New Roman" w:cs="Times New Roman"/>
                <w:b/>
                <w:bCs/>
                <w:szCs w:val="21"/>
                <w:vertAlign w:val="superscript"/>
              </w:rPr>
              <w:t>*</w:t>
            </w:r>
          </w:p>
        </w:tc>
      </w:tr>
      <w:tr w:rsidR="00E0371E" w:rsidRPr="00DC4F91" w14:paraId="6BDA30DC" w14:textId="77777777" w:rsidTr="00754767">
        <w:trPr>
          <w:trHeight w:val="493"/>
          <w:jc w:val="center"/>
        </w:trPr>
        <w:tc>
          <w:tcPr>
            <w:tcW w:w="625" w:type="pct"/>
            <w:tcBorders>
              <w:bottom w:val="single" w:sz="12" w:space="0" w:color="auto"/>
            </w:tcBorders>
          </w:tcPr>
          <w:p w14:paraId="2C86B64E" w14:textId="77777777" w:rsidR="00E0371E" w:rsidRPr="00DC4F91" w:rsidRDefault="00E0371E" w:rsidP="00754767">
            <w:pPr>
              <w:rPr>
                <w:rFonts w:ascii="Times New Roman" w:hAnsi="Times New Roman" w:cs="Times New Roman"/>
                <w:szCs w:val="21"/>
              </w:rPr>
            </w:pPr>
            <w:r w:rsidRPr="00DC4F91">
              <w:rPr>
                <w:rFonts w:ascii="Times New Roman" w:hAnsi="Times New Roman" w:cs="Times New Roman"/>
                <w:szCs w:val="21"/>
              </w:rPr>
              <w:t>AMBRA1-ZEA</w:t>
            </w:r>
          </w:p>
        </w:tc>
        <w:tc>
          <w:tcPr>
            <w:tcW w:w="703" w:type="pct"/>
            <w:tcBorders>
              <w:bottom w:val="single" w:sz="12" w:space="0" w:color="auto"/>
            </w:tcBorders>
          </w:tcPr>
          <w:p w14:paraId="470CA21B" w14:textId="229FE062" w:rsidR="00E0371E" w:rsidRPr="00DC4F91" w:rsidRDefault="00346BDD" w:rsidP="00754767">
            <w:pPr>
              <w:widowControl/>
              <w:rPr>
                <w:rFonts w:ascii="Times New Roman" w:hAnsi="Times New Roman" w:cs="Times New Roman"/>
                <w:szCs w:val="21"/>
              </w:rPr>
            </w:pPr>
            <w:r w:rsidRPr="0098670C">
              <w:rPr>
                <w:rFonts w:ascii="Times New Roman" w:eastAsia="MyriadPro-Semibold" w:hAnsi="Times New Roman" w:cs="Times New Roman"/>
                <w:kern w:val="0"/>
                <w:szCs w:val="21"/>
              </w:rPr>
              <w:t>−</w:t>
            </w:r>
            <w:r w:rsidR="00E0371E" w:rsidRPr="00DC4F91">
              <w:rPr>
                <w:rFonts w:ascii="Times New Roman" w:hAnsi="Times New Roman" w:cs="Times New Roman"/>
                <w:szCs w:val="21"/>
              </w:rPr>
              <w:t>150.668</w:t>
            </w:r>
          </w:p>
          <w:p w14:paraId="4AB3C27F"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±0.818</w:t>
            </w:r>
          </w:p>
        </w:tc>
        <w:tc>
          <w:tcPr>
            <w:tcW w:w="716" w:type="pct"/>
            <w:tcBorders>
              <w:bottom w:val="single" w:sz="12" w:space="0" w:color="auto"/>
            </w:tcBorders>
          </w:tcPr>
          <w:p w14:paraId="6D39500F" w14:textId="71A159C5" w:rsidR="00E0371E" w:rsidRPr="00DC4F91" w:rsidRDefault="00346BDD" w:rsidP="00754767">
            <w:pPr>
              <w:widowControl/>
              <w:rPr>
                <w:rFonts w:ascii="Times New Roman" w:hAnsi="Times New Roman" w:cs="Times New Roman"/>
                <w:szCs w:val="21"/>
              </w:rPr>
            </w:pPr>
            <w:r w:rsidRPr="0098670C">
              <w:rPr>
                <w:rFonts w:ascii="Times New Roman" w:eastAsia="MyriadPro-Semibold" w:hAnsi="Times New Roman" w:cs="Times New Roman"/>
                <w:kern w:val="0"/>
                <w:szCs w:val="21"/>
              </w:rPr>
              <w:t>−</w:t>
            </w:r>
            <w:r w:rsidR="00E0371E" w:rsidRPr="00DC4F91">
              <w:rPr>
                <w:rFonts w:ascii="Times New Roman" w:hAnsi="Times New Roman" w:cs="Times New Roman"/>
                <w:szCs w:val="21"/>
              </w:rPr>
              <w:t>149.295</w:t>
            </w:r>
          </w:p>
          <w:p w14:paraId="748F919F" w14:textId="3C6E4C71"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±4.667</w:t>
            </w:r>
          </w:p>
        </w:tc>
        <w:tc>
          <w:tcPr>
            <w:tcW w:w="611" w:type="pct"/>
            <w:tcBorders>
              <w:bottom w:val="single" w:sz="12" w:space="0" w:color="auto"/>
            </w:tcBorders>
          </w:tcPr>
          <w:p w14:paraId="42D2671D"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285.068</w:t>
            </w:r>
          </w:p>
          <w:p w14:paraId="1CCAA22C"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 xml:space="preserve">±5.827 </w:t>
            </w:r>
          </w:p>
        </w:tc>
        <w:tc>
          <w:tcPr>
            <w:tcW w:w="687" w:type="pct"/>
            <w:tcBorders>
              <w:bottom w:val="single" w:sz="12" w:space="0" w:color="auto"/>
            </w:tcBorders>
          </w:tcPr>
          <w:p w14:paraId="24BC3546" w14:textId="75373693" w:rsidR="00E0371E" w:rsidRPr="00DC4F91" w:rsidRDefault="00346BDD" w:rsidP="00754767">
            <w:pPr>
              <w:widowControl/>
              <w:rPr>
                <w:rFonts w:ascii="Times New Roman" w:hAnsi="Times New Roman" w:cs="Times New Roman"/>
                <w:szCs w:val="21"/>
              </w:rPr>
            </w:pPr>
            <w:r w:rsidRPr="0098670C">
              <w:rPr>
                <w:rFonts w:ascii="Times New Roman" w:eastAsia="MyriadPro-Semibold" w:hAnsi="Times New Roman" w:cs="Times New Roman"/>
                <w:kern w:val="0"/>
                <w:szCs w:val="21"/>
              </w:rPr>
              <w:t>−</w:t>
            </w:r>
            <w:r w:rsidR="00E0371E" w:rsidRPr="00DC4F91">
              <w:rPr>
                <w:rFonts w:ascii="Times New Roman" w:hAnsi="Times New Roman" w:cs="Times New Roman"/>
                <w:szCs w:val="21"/>
              </w:rPr>
              <w:t>19.619</w:t>
            </w:r>
          </w:p>
          <w:p w14:paraId="63547640"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 xml:space="preserve">±0.079 </w:t>
            </w:r>
          </w:p>
        </w:tc>
        <w:tc>
          <w:tcPr>
            <w:tcW w:w="687" w:type="pct"/>
            <w:tcBorders>
              <w:bottom w:val="single" w:sz="12" w:space="0" w:color="auto"/>
            </w:tcBorders>
          </w:tcPr>
          <w:p w14:paraId="3A495B74" w14:textId="7B8BD8C6" w:rsidR="00E0371E" w:rsidRPr="00DC4F91" w:rsidRDefault="00346BDD" w:rsidP="00754767">
            <w:pPr>
              <w:widowControl/>
              <w:rPr>
                <w:rFonts w:ascii="Times New Roman" w:hAnsi="Times New Roman" w:cs="Times New Roman"/>
                <w:szCs w:val="21"/>
              </w:rPr>
            </w:pPr>
            <w:r w:rsidRPr="0098670C">
              <w:rPr>
                <w:rFonts w:ascii="Times New Roman" w:eastAsia="MyriadPro-Semibold" w:hAnsi="Times New Roman" w:cs="Times New Roman"/>
                <w:kern w:val="0"/>
                <w:szCs w:val="21"/>
              </w:rPr>
              <w:t>−</w:t>
            </w:r>
            <w:r w:rsidR="00E0371E" w:rsidRPr="00DC4F91">
              <w:rPr>
                <w:rFonts w:ascii="Times New Roman" w:hAnsi="Times New Roman" w:cs="Times New Roman"/>
                <w:szCs w:val="21"/>
              </w:rPr>
              <w:t>34.515</w:t>
            </w:r>
          </w:p>
          <w:p w14:paraId="2B4641B1"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±1.791</w:t>
            </w:r>
          </w:p>
        </w:tc>
        <w:tc>
          <w:tcPr>
            <w:tcW w:w="458" w:type="pct"/>
            <w:tcBorders>
              <w:bottom w:val="single" w:sz="12" w:space="0" w:color="auto"/>
            </w:tcBorders>
          </w:tcPr>
          <w:p w14:paraId="4152E0E4"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 xml:space="preserve">18.565±1.773 </w:t>
            </w:r>
          </w:p>
        </w:tc>
        <w:tc>
          <w:tcPr>
            <w:tcW w:w="513" w:type="pct"/>
            <w:tcBorders>
              <w:bottom w:val="single" w:sz="12" w:space="0" w:color="auto"/>
            </w:tcBorders>
          </w:tcPr>
          <w:p w14:paraId="238A7082" w14:textId="66849045" w:rsidR="00E0371E" w:rsidRPr="00DC4F91" w:rsidRDefault="00346BDD" w:rsidP="00754767">
            <w:pPr>
              <w:widowControl/>
              <w:rPr>
                <w:rFonts w:ascii="Times New Roman" w:hAnsi="Times New Roman" w:cs="Times New Roman"/>
                <w:szCs w:val="21"/>
              </w:rPr>
            </w:pPr>
            <w:r w:rsidRPr="0098670C">
              <w:rPr>
                <w:rFonts w:ascii="Times New Roman" w:eastAsia="MyriadPro-Semibold" w:hAnsi="Times New Roman" w:cs="Times New Roman"/>
                <w:kern w:val="0"/>
                <w:szCs w:val="21"/>
              </w:rPr>
              <w:t>−</w:t>
            </w:r>
            <w:r w:rsidR="00E0371E" w:rsidRPr="00DC4F91">
              <w:rPr>
                <w:rFonts w:ascii="Times New Roman" w:hAnsi="Times New Roman" w:cs="Times New Roman"/>
                <w:szCs w:val="21"/>
              </w:rPr>
              <w:t>15.95</w:t>
            </w:r>
          </w:p>
          <w:p w14:paraId="110AF15D" w14:textId="77777777" w:rsidR="00E0371E" w:rsidRPr="00DC4F91" w:rsidRDefault="00E0371E" w:rsidP="00754767">
            <w:pPr>
              <w:widowControl/>
              <w:rPr>
                <w:rFonts w:ascii="Times New Roman" w:hAnsi="Times New Roman" w:cs="Times New Roman"/>
                <w:szCs w:val="21"/>
              </w:rPr>
            </w:pPr>
            <w:r w:rsidRPr="00DC4F91">
              <w:rPr>
                <w:rFonts w:ascii="Times New Roman" w:hAnsi="Times New Roman" w:cs="Times New Roman"/>
                <w:szCs w:val="21"/>
              </w:rPr>
              <w:t>±3.515</w:t>
            </w:r>
          </w:p>
        </w:tc>
      </w:tr>
    </w:tbl>
    <w:p w14:paraId="2C914AFB" w14:textId="5520A6FC" w:rsidR="00E0371E" w:rsidRPr="00346BDD" w:rsidRDefault="00E0371E" w:rsidP="00E0371E">
      <w:pPr>
        <w:rPr>
          <w:rFonts w:ascii="Times New Roman" w:hAnsi="Times New Roman" w:cs="Times New Roman"/>
          <w:sz w:val="20"/>
          <w:szCs w:val="20"/>
        </w:rPr>
      </w:pPr>
      <w:r w:rsidRPr="00346BDD">
        <w:rPr>
          <w:rFonts w:ascii="Times New Roman" w:hAnsi="Times New Roman" w:cs="Times New Roman"/>
          <w:sz w:val="20"/>
          <w:szCs w:val="20"/>
          <w:vertAlign w:val="superscript"/>
        </w:rPr>
        <w:t>*</w:t>
      </w:r>
      <w:proofErr w:type="spellStart"/>
      <w:r w:rsidRPr="00346BDD">
        <w:rPr>
          <w:rFonts w:ascii="Times New Roman" w:hAnsi="Times New Roman" w:cs="Times New Roman"/>
          <w:sz w:val="20"/>
          <w:szCs w:val="20"/>
        </w:rPr>
        <w:t>ΔGbind</w:t>
      </w:r>
      <w:proofErr w:type="spellEnd"/>
      <w:r w:rsidR="00DC4F91" w:rsidRPr="00346BDD">
        <w:rPr>
          <w:rFonts w:ascii="Times New Roman" w:hAnsi="Times New Roman" w:cs="Times New Roman"/>
          <w:sz w:val="20"/>
          <w:szCs w:val="20"/>
        </w:rPr>
        <w:t xml:space="preserve"> </w:t>
      </w:r>
      <w:r w:rsidRPr="00346BDD">
        <w:rPr>
          <w:rFonts w:ascii="Times New Roman" w:hAnsi="Times New Roman" w:cs="Times New Roman"/>
          <w:sz w:val="20"/>
          <w:szCs w:val="20"/>
        </w:rPr>
        <w:t>=</w:t>
      </w:r>
      <w:r w:rsidR="00DC4F91" w:rsidRPr="00346BDD">
        <w:rPr>
          <w:rFonts w:ascii="Times New Roman" w:hAnsi="Times New Roman" w:cs="Times New Roman"/>
          <w:sz w:val="20"/>
          <w:szCs w:val="20"/>
        </w:rPr>
        <w:t xml:space="preserve"> </w:t>
      </w:r>
      <w:proofErr w:type="spellStart"/>
      <w:r w:rsidRPr="00346BDD">
        <w:rPr>
          <w:rFonts w:ascii="Times New Roman" w:hAnsi="Times New Roman" w:cs="Times New Roman"/>
          <w:sz w:val="20"/>
          <w:szCs w:val="20"/>
        </w:rPr>
        <w:t>ΔEvdw</w:t>
      </w:r>
      <w:proofErr w:type="spellEnd"/>
      <w:r w:rsidR="00DC4F91" w:rsidRPr="00346BDD">
        <w:rPr>
          <w:rFonts w:ascii="Times New Roman" w:hAnsi="Times New Roman" w:cs="Times New Roman"/>
          <w:sz w:val="20"/>
          <w:szCs w:val="20"/>
        </w:rPr>
        <w:t xml:space="preserve"> </w:t>
      </w:r>
      <w:r w:rsidRPr="00346BDD">
        <w:rPr>
          <w:rFonts w:ascii="Times New Roman" w:hAnsi="Times New Roman" w:cs="Times New Roman"/>
          <w:sz w:val="20"/>
          <w:szCs w:val="20"/>
        </w:rPr>
        <w:t>+</w:t>
      </w:r>
      <w:r w:rsidR="00DC4F91" w:rsidRPr="00346BDD">
        <w:rPr>
          <w:rFonts w:ascii="Times New Roman" w:hAnsi="Times New Roman" w:cs="Times New Roman"/>
          <w:sz w:val="20"/>
          <w:szCs w:val="20"/>
        </w:rPr>
        <w:t xml:space="preserve"> </w:t>
      </w:r>
      <w:proofErr w:type="spellStart"/>
      <w:r w:rsidRPr="00346BDD">
        <w:rPr>
          <w:rFonts w:ascii="Times New Roman" w:hAnsi="Times New Roman" w:cs="Times New Roman"/>
          <w:sz w:val="20"/>
          <w:szCs w:val="20"/>
        </w:rPr>
        <w:t>ΔEele</w:t>
      </w:r>
      <w:proofErr w:type="spellEnd"/>
      <w:r w:rsidR="00DC4F91" w:rsidRPr="00346BDD">
        <w:rPr>
          <w:rFonts w:ascii="Times New Roman" w:hAnsi="Times New Roman" w:cs="Times New Roman"/>
          <w:sz w:val="20"/>
          <w:szCs w:val="20"/>
        </w:rPr>
        <w:t xml:space="preserve"> </w:t>
      </w:r>
      <w:r w:rsidRPr="00346BDD">
        <w:rPr>
          <w:rFonts w:ascii="Times New Roman" w:hAnsi="Times New Roman" w:cs="Times New Roman"/>
          <w:sz w:val="20"/>
          <w:szCs w:val="20"/>
        </w:rPr>
        <w:t>+</w:t>
      </w:r>
      <w:r w:rsidR="00DC4F91" w:rsidRPr="00346BDD">
        <w:rPr>
          <w:rFonts w:ascii="Times New Roman" w:hAnsi="Times New Roman" w:cs="Times New Roman"/>
          <w:sz w:val="20"/>
          <w:szCs w:val="20"/>
        </w:rPr>
        <w:t xml:space="preserve"> </w:t>
      </w:r>
      <w:proofErr w:type="spellStart"/>
      <w:r w:rsidRPr="00346BDD">
        <w:rPr>
          <w:rFonts w:ascii="Times New Roman" w:hAnsi="Times New Roman" w:cs="Times New Roman"/>
          <w:sz w:val="20"/>
          <w:szCs w:val="20"/>
        </w:rPr>
        <w:t>ΔEpol</w:t>
      </w:r>
      <w:proofErr w:type="spellEnd"/>
      <w:r w:rsidR="00DC4F91" w:rsidRPr="00346BDD">
        <w:rPr>
          <w:rFonts w:ascii="Times New Roman" w:hAnsi="Times New Roman" w:cs="Times New Roman"/>
          <w:sz w:val="20"/>
          <w:szCs w:val="20"/>
        </w:rPr>
        <w:t xml:space="preserve"> </w:t>
      </w:r>
      <w:r w:rsidRPr="00346BDD">
        <w:rPr>
          <w:rFonts w:ascii="Times New Roman" w:hAnsi="Times New Roman" w:cs="Times New Roman"/>
          <w:sz w:val="20"/>
          <w:szCs w:val="20"/>
        </w:rPr>
        <w:t>+</w:t>
      </w:r>
      <w:r w:rsidR="00DC4F91" w:rsidRPr="00346BDD">
        <w:rPr>
          <w:rFonts w:ascii="Times New Roman" w:hAnsi="Times New Roman" w:cs="Times New Roman"/>
          <w:sz w:val="20"/>
          <w:szCs w:val="20"/>
        </w:rPr>
        <w:t xml:space="preserve"> </w:t>
      </w:r>
      <w:proofErr w:type="spellStart"/>
      <w:r w:rsidRPr="00346BDD">
        <w:rPr>
          <w:rFonts w:ascii="Times New Roman" w:hAnsi="Times New Roman" w:cs="Times New Roman"/>
          <w:sz w:val="20"/>
          <w:szCs w:val="20"/>
        </w:rPr>
        <w:t>ΔEnonpol</w:t>
      </w:r>
      <w:proofErr w:type="spellEnd"/>
      <w:r w:rsidR="00346BDD" w:rsidRPr="00346BDD">
        <w:rPr>
          <w:rFonts w:ascii="Times New Roman" w:hAnsi="Times New Roman" w:cs="Times New Roman"/>
          <w:sz w:val="20"/>
          <w:szCs w:val="20"/>
        </w:rPr>
        <w:t xml:space="preserve"> </w:t>
      </w:r>
      <w:r w:rsidR="00346BDD" w:rsidRPr="00346BDD">
        <w:rPr>
          <w:rFonts w:ascii="Times New Roman" w:eastAsia="MyriadPro-Semibold" w:hAnsi="Times New Roman" w:cs="Times New Roman"/>
          <w:kern w:val="0"/>
          <w:szCs w:val="21"/>
        </w:rPr>
        <w:t xml:space="preserve">− </w:t>
      </w:r>
      <w:r w:rsidRPr="00346BDD">
        <w:rPr>
          <w:rFonts w:ascii="Times New Roman" w:hAnsi="Times New Roman" w:cs="Times New Roman"/>
          <w:sz w:val="20"/>
          <w:szCs w:val="20"/>
        </w:rPr>
        <w:t>TΔS</w:t>
      </w:r>
    </w:p>
    <w:p w14:paraId="5CF637C1" w14:textId="77777777" w:rsidR="00E0371E" w:rsidRDefault="00E0371E" w:rsidP="00E0371E">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8213ED0" w14:textId="44021B52" w:rsidR="00DD5BAF" w:rsidRPr="00FA2FC8" w:rsidRDefault="004B6F67">
      <w:pPr>
        <w:adjustRightInd w:val="0"/>
        <w:snapToGrid w:val="0"/>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FDEEA9D" wp14:editId="18B19C45">
            <wp:extent cx="5759450" cy="5347335"/>
            <wp:effectExtent l="0" t="0" r="0" b="5715"/>
            <wp:docPr id="536454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54842" name="图片 5364548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5347335"/>
                    </a:xfrm>
                    <a:prstGeom prst="rect">
                      <a:avLst/>
                    </a:prstGeom>
                  </pic:spPr>
                </pic:pic>
              </a:graphicData>
            </a:graphic>
          </wp:inline>
        </w:drawing>
      </w:r>
    </w:p>
    <w:p w14:paraId="7E7375BE" w14:textId="49D3DB7E" w:rsidR="00DD5BAF" w:rsidRPr="00FA2FC8" w:rsidRDefault="00000000">
      <w:pPr>
        <w:adjustRightInd w:val="0"/>
        <w:snapToGrid w:val="0"/>
        <w:spacing w:line="480" w:lineRule="auto"/>
        <w:rPr>
          <w:rFonts w:ascii="Times New Roman" w:hAnsi="Times New Roman" w:cs="Times New Roman"/>
          <w:b/>
          <w:bCs/>
          <w:sz w:val="24"/>
          <w:szCs w:val="24"/>
        </w:rPr>
      </w:pPr>
      <w:r w:rsidRPr="00FA2FC8">
        <w:rPr>
          <w:rFonts w:ascii="Times New Roman" w:hAnsi="Times New Roman" w:cs="Times New Roman"/>
          <w:b/>
          <w:bCs/>
          <w:sz w:val="24"/>
          <w:szCs w:val="24"/>
        </w:rPr>
        <w:t>Fig. S1</w:t>
      </w:r>
      <w:r w:rsidRPr="00DF0AF7">
        <w:rPr>
          <w:rFonts w:ascii="Times New Roman" w:eastAsia="宋体" w:hAnsi="Times New Roman" w:cs="Times New Roman"/>
          <w:sz w:val="24"/>
          <w:szCs w:val="24"/>
        </w:rPr>
        <w:t xml:space="preserve"> </w:t>
      </w:r>
      <w:bookmarkStart w:id="2" w:name="_Hlk211544772"/>
      <w:r w:rsidRPr="00DF0AF7">
        <w:rPr>
          <w:rFonts w:ascii="Times New Roman" w:eastAsia="宋体" w:hAnsi="Times New Roman" w:cs="Times New Roman"/>
          <w:sz w:val="24"/>
          <w:szCs w:val="24"/>
        </w:rPr>
        <w:t xml:space="preserve">ZEA induced ferroptosis in ST cells. Relative mRNA </w:t>
      </w:r>
      <w:r w:rsidRPr="00FA2FC8">
        <w:rPr>
          <w:rFonts w:ascii="Times New Roman" w:eastAsia="宋体" w:hAnsi="Times New Roman" w:cs="Times New Roman"/>
          <w:sz w:val="24"/>
          <w:szCs w:val="24"/>
        </w:rPr>
        <w:t>levels of ferroptosis genes.</w:t>
      </w:r>
      <w:bookmarkEnd w:id="2"/>
      <w:r w:rsidRPr="00FA2FC8">
        <w:rPr>
          <w:rFonts w:ascii="Times New Roman" w:eastAsia="宋体" w:hAnsi="Times New Roman" w:cs="Times New Roman"/>
          <w:sz w:val="24"/>
          <w:szCs w:val="24"/>
        </w:rPr>
        <w:t xml:space="preserve"> Data are presented as the mean ± SD. Symbol for the significance of differences between the CON group and ZEA group: </w:t>
      </w:r>
      <w:r w:rsidRPr="00DC4F91">
        <w:rPr>
          <w:rFonts w:ascii="Times New Roman" w:eastAsia="宋体" w:hAnsi="Times New Roman" w:cs="Times New Roman"/>
          <w:i/>
          <w:iCs/>
          <w:sz w:val="24"/>
          <w:szCs w:val="24"/>
          <w:vertAlign w:val="superscript"/>
        </w:rPr>
        <w:t>**</w:t>
      </w:r>
      <w:r w:rsidRPr="00FA2FC8">
        <w:rPr>
          <w:rFonts w:ascii="Times New Roman" w:eastAsia="宋体" w:hAnsi="Times New Roman" w:cs="Times New Roman"/>
          <w:i/>
          <w:iCs/>
          <w:sz w:val="24"/>
          <w:szCs w:val="24"/>
        </w:rPr>
        <w:t>P</w:t>
      </w:r>
      <w:r w:rsidRPr="00FA2FC8">
        <w:rPr>
          <w:rFonts w:ascii="Times New Roman" w:eastAsia="宋体" w:hAnsi="Times New Roman" w:cs="Times New Roman"/>
          <w:sz w:val="24"/>
          <w:szCs w:val="24"/>
        </w:rPr>
        <w:t xml:space="preserve"> &lt; 0.01, </w:t>
      </w:r>
      <w:r w:rsidRPr="00DC4F91">
        <w:rPr>
          <w:rFonts w:ascii="Times New Roman" w:eastAsia="宋体" w:hAnsi="Times New Roman" w:cs="Times New Roman"/>
          <w:i/>
          <w:iCs/>
          <w:sz w:val="24"/>
          <w:szCs w:val="24"/>
          <w:vertAlign w:val="superscript"/>
        </w:rPr>
        <w:t>***</w:t>
      </w:r>
      <w:r w:rsidRPr="00FA2FC8">
        <w:rPr>
          <w:rFonts w:ascii="Times New Roman" w:eastAsia="宋体" w:hAnsi="Times New Roman" w:cs="Times New Roman"/>
          <w:i/>
          <w:iCs/>
          <w:sz w:val="24"/>
          <w:szCs w:val="24"/>
        </w:rPr>
        <w:t>P</w:t>
      </w:r>
      <w:r w:rsidRPr="00FA2FC8">
        <w:rPr>
          <w:rFonts w:ascii="Times New Roman" w:eastAsia="宋体" w:hAnsi="Times New Roman" w:cs="Times New Roman"/>
          <w:sz w:val="24"/>
          <w:szCs w:val="24"/>
        </w:rPr>
        <w:t xml:space="preserve"> &lt; 0.001</w:t>
      </w:r>
      <w:r w:rsidRPr="00FA2FC8">
        <w:rPr>
          <w:rFonts w:ascii="Times New Roman" w:hAnsi="Times New Roman" w:cs="Times New Roman"/>
          <w:sz w:val="24"/>
          <w:szCs w:val="24"/>
        </w:rPr>
        <w:br w:type="page"/>
      </w:r>
    </w:p>
    <w:p w14:paraId="2E790577" w14:textId="554D97BB" w:rsidR="00DD5BAF" w:rsidRPr="00FA2FC8" w:rsidRDefault="004B6F67">
      <w:pPr>
        <w:adjustRightInd w:val="0"/>
        <w:snapToGrid w:val="0"/>
        <w:spacing w:line="360" w:lineRule="auto"/>
        <w:ind w:leftChars="-135" w:left="-283" w:firstLineChars="117" w:firstLine="282"/>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CC2BFCC" wp14:editId="24DBA0B9">
            <wp:extent cx="5759450" cy="2146300"/>
            <wp:effectExtent l="0" t="0" r="0" b="6350"/>
            <wp:docPr id="18987744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74424" name="图片 18987744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2146300"/>
                    </a:xfrm>
                    <a:prstGeom prst="rect">
                      <a:avLst/>
                    </a:prstGeom>
                  </pic:spPr>
                </pic:pic>
              </a:graphicData>
            </a:graphic>
          </wp:inline>
        </w:drawing>
      </w:r>
    </w:p>
    <w:p w14:paraId="73D3816A" w14:textId="7090106A" w:rsidR="00DD5BAF" w:rsidRPr="00FA2FC8" w:rsidRDefault="00000000">
      <w:pPr>
        <w:adjustRightInd w:val="0"/>
        <w:snapToGrid w:val="0"/>
        <w:spacing w:line="480" w:lineRule="auto"/>
        <w:rPr>
          <w:rFonts w:ascii="Times New Roman" w:eastAsia="宋体" w:hAnsi="Times New Roman" w:cs="Times New Roman"/>
          <w:bCs/>
          <w:sz w:val="24"/>
          <w:szCs w:val="24"/>
        </w:rPr>
      </w:pPr>
      <w:r w:rsidRPr="00FA2FC8">
        <w:rPr>
          <w:rFonts w:ascii="Times New Roman" w:hAnsi="Times New Roman" w:cs="Times New Roman"/>
          <w:b/>
          <w:bCs/>
          <w:sz w:val="24"/>
          <w:szCs w:val="24"/>
        </w:rPr>
        <w:t>Fig. S2</w:t>
      </w:r>
      <w:r w:rsidRPr="00DF0AF7">
        <w:rPr>
          <w:rFonts w:ascii="Times New Roman" w:hAnsi="Times New Roman" w:cs="Times New Roman"/>
          <w:bCs/>
          <w:sz w:val="24"/>
          <w:szCs w:val="24"/>
        </w:rPr>
        <w:t xml:space="preserve"> </w:t>
      </w:r>
      <w:bookmarkStart w:id="3" w:name="_Hlk211544786"/>
      <w:r w:rsidRPr="00DF0AF7">
        <w:rPr>
          <w:rFonts w:ascii="Times New Roman" w:eastAsia="宋体" w:hAnsi="Times New Roman" w:cs="Times New Roman"/>
          <w:bCs/>
          <w:sz w:val="24"/>
          <w:szCs w:val="24"/>
        </w:rPr>
        <w:t>ZEA caused autophagy inhibition in ST cells.</w:t>
      </w:r>
      <w:r w:rsidRPr="00FA2FC8">
        <w:rPr>
          <w:rFonts w:ascii="Times New Roman" w:eastAsia="宋体" w:hAnsi="Times New Roman" w:cs="Times New Roman"/>
          <w:b/>
          <w:sz w:val="24"/>
          <w:szCs w:val="24"/>
        </w:rPr>
        <w:t xml:space="preserve"> </w:t>
      </w:r>
      <w:r w:rsidRPr="00FA2FC8">
        <w:rPr>
          <w:rFonts w:ascii="Times New Roman" w:eastAsia="宋体" w:hAnsi="Times New Roman" w:cs="Times New Roman"/>
          <w:bCs/>
          <w:sz w:val="24"/>
          <w:szCs w:val="24"/>
        </w:rPr>
        <w:t xml:space="preserve">Relative mRNA levels of autophagy genes. </w:t>
      </w:r>
      <w:bookmarkEnd w:id="3"/>
      <w:r w:rsidRPr="00FA2FC8">
        <w:rPr>
          <w:rFonts w:ascii="Times New Roman" w:eastAsia="宋体" w:hAnsi="Times New Roman" w:cs="Times New Roman"/>
          <w:bCs/>
          <w:sz w:val="24"/>
          <w:szCs w:val="24"/>
        </w:rPr>
        <w:t xml:space="preserve">Data are presented as the mean ± SD. Symbol for the significance of differences between the CON group and ZEA group: </w:t>
      </w:r>
      <w:r w:rsidRPr="00DC4F91">
        <w:rPr>
          <w:rFonts w:ascii="Times New Roman" w:eastAsia="宋体" w:hAnsi="Times New Roman" w:cs="Times New Roman"/>
          <w:bCs/>
          <w:i/>
          <w:iCs/>
          <w:sz w:val="24"/>
          <w:szCs w:val="24"/>
          <w:vertAlign w:val="superscript"/>
        </w:rPr>
        <w:t>**</w:t>
      </w:r>
      <w:r w:rsidRPr="00FA2FC8">
        <w:rPr>
          <w:rFonts w:ascii="Times New Roman" w:eastAsia="宋体" w:hAnsi="Times New Roman" w:cs="Times New Roman"/>
          <w:bCs/>
          <w:i/>
          <w:iCs/>
          <w:sz w:val="24"/>
          <w:szCs w:val="24"/>
        </w:rPr>
        <w:t>P</w:t>
      </w:r>
      <w:r w:rsidRPr="00FA2FC8">
        <w:rPr>
          <w:rFonts w:ascii="Times New Roman" w:eastAsia="宋体" w:hAnsi="Times New Roman" w:cs="Times New Roman"/>
          <w:bCs/>
          <w:sz w:val="24"/>
          <w:szCs w:val="24"/>
        </w:rPr>
        <w:t xml:space="preserve"> &lt; 0.01, </w:t>
      </w:r>
      <w:r w:rsidRPr="00DC4F91">
        <w:rPr>
          <w:rFonts w:ascii="Times New Roman" w:eastAsia="宋体" w:hAnsi="Times New Roman" w:cs="Times New Roman"/>
          <w:bCs/>
          <w:i/>
          <w:iCs/>
          <w:sz w:val="24"/>
          <w:szCs w:val="24"/>
          <w:vertAlign w:val="superscript"/>
        </w:rPr>
        <w:t>***</w:t>
      </w:r>
      <w:r w:rsidRPr="00FA2FC8">
        <w:rPr>
          <w:rFonts w:ascii="Times New Roman" w:eastAsia="宋体" w:hAnsi="Times New Roman" w:cs="Times New Roman"/>
          <w:bCs/>
          <w:i/>
          <w:iCs/>
          <w:sz w:val="24"/>
          <w:szCs w:val="24"/>
        </w:rPr>
        <w:t>P</w:t>
      </w:r>
      <w:r w:rsidRPr="00FA2FC8">
        <w:rPr>
          <w:rFonts w:ascii="Times New Roman" w:eastAsia="宋体" w:hAnsi="Times New Roman" w:cs="Times New Roman"/>
          <w:bCs/>
          <w:sz w:val="24"/>
          <w:szCs w:val="24"/>
        </w:rPr>
        <w:t xml:space="preserve"> &lt; 0.001</w:t>
      </w:r>
    </w:p>
    <w:p w14:paraId="1418C1E3" w14:textId="77777777" w:rsidR="00DD5BAF" w:rsidRPr="00FA2FC8" w:rsidRDefault="00000000">
      <w:pPr>
        <w:widowControl/>
        <w:spacing w:line="480" w:lineRule="auto"/>
        <w:rPr>
          <w:rFonts w:ascii="Times New Roman" w:hAnsi="Times New Roman" w:cs="Times New Roman"/>
          <w:b/>
          <w:bCs/>
          <w:sz w:val="24"/>
          <w:szCs w:val="24"/>
        </w:rPr>
      </w:pPr>
      <w:r w:rsidRPr="00FA2FC8">
        <w:rPr>
          <w:rFonts w:ascii="Times New Roman" w:hAnsi="Times New Roman" w:cs="Times New Roman"/>
          <w:b/>
          <w:bCs/>
          <w:sz w:val="24"/>
          <w:szCs w:val="24"/>
        </w:rPr>
        <w:br w:type="page"/>
      </w:r>
    </w:p>
    <w:p w14:paraId="14D2D70B" w14:textId="1FE1B5E3" w:rsidR="00DD5BAF" w:rsidRPr="00FA2FC8" w:rsidRDefault="00CF754B">
      <w:pPr>
        <w:adjustRightInd w:val="0"/>
        <w:snapToGrid w:val="0"/>
        <w:spacing w:line="360" w:lineRule="auto"/>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310B969D" wp14:editId="17F2F5BA">
            <wp:extent cx="5759450" cy="2583180"/>
            <wp:effectExtent l="0" t="0" r="0" b="7620"/>
            <wp:docPr id="8213044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04488" name="图片 82130448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2583180"/>
                    </a:xfrm>
                    <a:prstGeom prst="rect">
                      <a:avLst/>
                    </a:prstGeom>
                  </pic:spPr>
                </pic:pic>
              </a:graphicData>
            </a:graphic>
          </wp:inline>
        </w:drawing>
      </w:r>
    </w:p>
    <w:p w14:paraId="77906F99" w14:textId="0DF25D3C" w:rsidR="00DD5BAF" w:rsidRPr="00FA2FC8" w:rsidRDefault="00000000">
      <w:pPr>
        <w:adjustRightInd w:val="0"/>
        <w:snapToGrid w:val="0"/>
        <w:spacing w:line="480" w:lineRule="auto"/>
        <w:rPr>
          <w:rFonts w:ascii="Times New Roman" w:hAnsi="Times New Roman" w:cs="Times New Roman"/>
          <w:i/>
          <w:iCs/>
          <w:sz w:val="24"/>
          <w:szCs w:val="24"/>
        </w:rPr>
      </w:pPr>
      <w:r w:rsidRPr="00FA2FC8">
        <w:rPr>
          <w:rFonts w:ascii="Times New Roman" w:hAnsi="Times New Roman" w:cs="Times New Roman"/>
          <w:b/>
          <w:bCs/>
          <w:sz w:val="24"/>
          <w:szCs w:val="24"/>
        </w:rPr>
        <w:t>Fig. S3</w:t>
      </w:r>
      <w:r w:rsidRPr="00DF0AF7">
        <w:rPr>
          <w:rFonts w:ascii="Times New Roman" w:eastAsia="宋体" w:hAnsi="Times New Roman" w:cs="Times New Roman"/>
          <w:bCs/>
          <w:sz w:val="24"/>
          <w:szCs w:val="24"/>
        </w:rPr>
        <w:t xml:space="preserve"> </w:t>
      </w:r>
      <w:bookmarkStart w:id="4" w:name="_Hlk211544811"/>
      <w:r w:rsidRPr="00DF0AF7">
        <w:rPr>
          <w:rFonts w:ascii="Times New Roman" w:eastAsia="宋体" w:hAnsi="Times New Roman" w:cs="Times New Roman"/>
          <w:bCs/>
          <w:sz w:val="24"/>
          <w:szCs w:val="24"/>
        </w:rPr>
        <w:t>AMBRA1 overexpression alleviated ZEA-induced ferroptosis of ST cells.</w:t>
      </w:r>
      <w:r w:rsidRPr="00FA2FC8">
        <w:rPr>
          <w:rFonts w:ascii="Times New Roman" w:eastAsia="宋体" w:hAnsi="Times New Roman" w:cs="Times New Roman"/>
          <w:b/>
          <w:sz w:val="24"/>
          <w:szCs w:val="24"/>
        </w:rPr>
        <w:t xml:space="preserve"> </w:t>
      </w:r>
      <w:bookmarkEnd w:id="4"/>
      <w:r w:rsidRPr="00FA2FC8">
        <w:rPr>
          <w:rFonts w:ascii="Times New Roman" w:eastAsia="宋体" w:hAnsi="Times New Roman" w:cs="Times New Roman"/>
          <w:bCs/>
          <w:sz w:val="24"/>
          <w:szCs w:val="24"/>
        </w:rPr>
        <w:t>Representative IF images of TFRC, p53 and SLC7A11</w:t>
      </w:r>
      <w:r w:rsidRPr="00FA2FC8">
        <w:rPr>
          <w:rFonts w:ascii="Times New Roman" w:hAnsi="Times New Roman" w:cs="Times New Roman"/>
          <w:b/>
          <w:bCs/>
          <w:sz w:val="24"/>
          <w:szCs w:val="24"/>
        </w:rPr>
        <w:br w:type="page"/>
      </w:r>
      <w:r w:rsidRPr="00FA2FC8">
        <w:rPr>
          <w:rFonts w:ascii="Times New Roman" w:hAnsi="Times New Roman" w:cs="Times New Roman"/>
          <w:i/>
          <w:iCs/>
          <w:noProof/>
          <w:sz w:val="24"/>
          <w:szCs w:val="24"/>
        </w:rPr>
        <w:lastRenderedPageBreak/>
        <w:drawing>
          <wp:inline distT="0" distB="0" distL="0" distR="0" wp14:anchorId="3CCFB66B" wp14:editId="0795EC2F">
            <wp:extent cx="5760720" cy="5901055"/>
            <wp:effectExtent l="0" t="0" r="0" b="4445"/>
            <wp:docPr id="12243344" name="图片 3" descr="背景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344" name="图片 3" descr="背景图案&#10;&#10;AI 生成的内容可能不正确。"/>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901055"/>
                    </a:xfrm>
                    <a:prstGeom prst="rect">
                      <a:avLst/>
                    </a:prstGeom>
                  </pic:spPr>
                </pic:pic>
              </a:graphicData>
            </a:graphic>
          </wp:inline>
        </w:drawing>
      </w:r>
    </w:p>
    <w:p w14:paraId="7B164008" w14:textId="7613E772" w:rsidR="00040D01" w:rsidRDefault="00000000">
      <w:pPr>
        <w:adjustRightInd w:val="0"/>
        <w:snapToGrid w:val="0"/>
        <w:spacing w:line="480" w:lineRule="auto"/>
        <w:rPr>
          <w:rFonts w:ascii="Times New Roman" w:hAnsi="Times New Roman" w:cs="Times New Roman"/>
          <w:sz w:val="24"/>
          <w:szCs w:val="24"/>
        </w:rPr>
      </w:pPr>
      <w:r w:rsidRPr="00FA2FC8">
        <w:rPr>
          <w:rFonts w:ascii="Times New Roman" w:hAnsi="Times New Roman" w:cs="Times New Roman"/>
          <w:b/>
          <w:bCs/>
          <w:sz w:val="24"/>
          <w:szCs w:val="24"/>
        </w:rPr>
        <w:t xml:space="preserve">Fig. S4 </w:t>
      </w:r>
      <w:bookmarkStart w:id="5" w:name="_Hlk211544821"/>
      <w:r w:rsidRPr="00DF0AF7">
        <w:rPr>
          <w:rFonts w:ascii="Times New Roman" w:hAnsi="Times New Roman" w:cs="Times New Roman"/>
          <w:sz w:val="24"/>
          <w:szCs w:val="24"/>
        </w:rPr>
        <w:t>AMBRA1 overexpression alleviated ZEA-induced decline in MMP level of ST cell damage</w:t>
      </w:r>
      <w:bookmarkEnd w:id="5"/>
    </w:p>
    <w:p w14:paraId="42923D87" w14:textId="77777777" w:rsidR="00040D01" w:rsidRDefault="00040D0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43EF74F" w14:textId="5FD4BB83" w:rsidR="00DD5BAF" w:rsidRDefault="00040D01" w:rsidP="00040D01">
      <w:pPr>
        <w:adjustRightInd w:val="0"/>
        <w:snapToGrid w:val="0"/>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F2A67A7" wp14:editId="32132575">
            <wp:extent cx="3157728" cy="3218688"/>
            <wp:effectExtent l="0" t="0" r="5080" b="1270"/>
            <wp:docPr id="1425624121" name="图片 1"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624121" name="图片 1" descr="图表, 直方图&#10;&#10;AI 生成的内容可能不正确。"/>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7728" cy="3218688"/>
                    </a:xfrm>
                    <a:prstGeom prst="rect">
                      <a:avLst/>
                    </a:prstGeom>
                  </pic:spPr>
                </pic:pic>
              </a:graphicData>
            </a:graphic>
          </wp:inline>
        </w:drawing>
      </w:r>
    </w:p>
    <w:p w14:paraId="042A63EE" w14:textId="282572A9" w:rsidR="00040D01" w:rsidRPr="00FA2FC8" w:rsidRDefault="00040D01" w:rsidP="00040D01">
      <w:pPr>
        <w:adjustRightInd w:val="0"/>
        <w:snapToGrid w:val="0"/>
        <w:spacing w:line="480" w:lineRule="auto"/>
        <w:rPr>
          <w:rFonts w:ascii="Times New Roman" w:hAnsi="Times New Roman" w:cs="Times New Roman"/>
          <w:sz w:val="24"/>
          <w:szCs w:val="24"/>
        </w:rPr>
      </w:pPr>
      <w:r w:rsidRPr="00FA2FC8">
        <w:rPr>
          <w:rFonts w:ascii="Times New Roman" w:hAnsi="Times New Roman" w:cs="Times New Roman"/>
          <w:b/>
          <w:bCs/>
          <w:sz w:val="24"/>
          <w:szCs w:val="24"/>
        </w:rPr>
        <w:t>Fig. S</w:t>
      </w:r>
      <w:r>
        <w:rPr>
          <w:rFonts w:ascii="Times New Roman" w:hAnsi="Times New Roman" w:cs="Times New Roman" w:hint="eastAsia"/>
          <w:b/>
          <w:bCs/>
          <w:sz w:val="24"/>
          <w:szCs w:val="24"/>
        </w:rPr>
        <w:t>5</w:t>
      </w:r>
      <w:r w:rsidRPr="00FA2FC8">
        <w:rPr>
          <w:rFonts w:ascii="Times New Roman" w:hAnsi="Times New Roman" w:cs="Times New Roman"/>
          <w:b/>
          <w:bCs/>
          <w:sz w:val="24"/>
          <w:szCs w:val="24"/>
        </w:rPr>
        <w:t xml:space="preserve"> </w:t>
      </w:r>
      <w:r w:rsidRPr="00040D01">
        <w:rPr>
          <w:rFonts w:ascii="Times New Roman" w:hAnsi="Times New Roman" w:cs="Times New Roman" w:hint="eastAsia"/>
          <w:sz w:val="24"/>
          <w:szCs w:val="24"/>
        </w:rPr>
        <w:t xml:space="preserve">The </w:t>
      </w:r>
      <w:r w:rsidRPr="00040D01">
        <w:rPr>
          <w:rFonts w:ascii="Times New Roman" w:hAnsi="Times New Roman" w:cs="Times New Roman"/>
          <w:sz w:val="24"/>
          <w:szCs w:val="24"/>
        </w:rPr>
        <w:t>quantitative analysis of autophagosomes and autolysosome</w:t>
      </w:r>
    </w:p>
    <w:p w14:paraId="1FA37210" w14:textId="77777777" w:rsidR="00DD5BAF" w:rsidRPr="00FA2FC8" w:rsidRDefault="00000000">
      <w:pPr>
        <w:adjustRightInd w:val="0"/>
        <w:snapToGrid w:val="0"/>
        <w:spacing w:line="480" w:lineRule="auto"/>
        <w:rPr>
          <w:rFonts w:ascii="Times New Roman" w:hAnsi="Times New Roman" w:cs="Times New Roman"/>
          <w:kern w:val="0"/>
          <w:sz w:val="24"/>
          <w:szCs w:val="24"/>
        </w:rPr>
      </w:pPr>
      <w:r w:rsidRPr="00FA2FC8">
        <w:rPr>
          <w:rFonts w:ascii="Times New Roman" w:hAnsi="Times New Roman" w:cs="Times New Roman"/>
          <w:b/>
          <w:bCs/>
          <w:sz w:val="24"/>
          <w:szCs w:val="24"/>
        </w:rPr>
        <w:br w:type="page"/>
      </w:r>
    </w:p>
    <w:bookmarkEnd w:id="0"/>
    <w:p w14:paraId="4380FDAE" w14:textId="77777777" w:rsidR="00FA2FC8" w:rsidRPr="00FA2FC8" w:rsidRDefault="00FA2FC8" w:rsidP="00FA2FC8">
      <w:pPr>
        <w:adjustRightInd w:val="0"/>
        <w:snapToGrid w:val="0"/>
        <w:spacing w:line="480" w:lineRule="auto"/>
        <w:rPr>
          <w:rFonts w:ascii="Times New Roman" w:eastAsia="宋体" w:hAnsi="Times New Roman" w:cs="Times New Roman"/>
          <w:b/>
          <w:sz w:val="24"/>
          <w:szCs w:val="24"/>
        </w:rPr>
      </w:pPr>
      <w:r w:rsidRPr="00FA2FC8">
        <w:rPr>
          <w:rFonts w:ascii="Times New Roman" w:eastAsia="宋体" w:hAnsi="Times New Roman" w:cs="Times New Roman"/>
          <w:b/>
          <w:sz w:val="24"/>
          <w:szCs w:val="24"/>
        </w:rPr>
        <w:lastRenderedPageBreak/>
        <w:t>Supplemental Methods</w:t>
      </w:r>
    </w:p>
    <w:p w14:paraId="4690C9D6" w14:textId="77777777" w:rsidR="00FA2FC8" w:rsidRPr="00FA2FC8" w:rsidRDefault="00FA2FC8" w:rsidP="00FA2FC8">
      <w:pPr>
        <w:widowControl/>
        <w:spacing w:line="480" w:lineRule="auto"/>
        <w:jc w:val="left"/>
        <w:rPr>
          <w:rFonts w:ascii="Times New Roman" w:hAnsi="Times New Roman" w:cs="Times New Roman"/>
          <w:b/>
          <w:bCs/>
          <w:sz w:val="24"/>
          <w:szCs w:val="24"/>
        </w:rPr>
      </w:pPr>
      <w:r w:rsidRPr="00FA2FC8">
        <w:rPr>
          <w:rFonts w:ascii="Times New Roman" w:hAnsi="Times New Roman" w:cs="Times New Roman"/>
          <w:b/>
          <w:bCs/>
          <w:sz w:val="24"/>
          <w:szCs w:val="24"/>
        </w:rPr>
        <w:t>Supplementary Methods 1.1. RNA-seq analysis</w:t>
      </w:r>
    </w:p>
    <w:p w14:paraId="3B9BF77A" w14:textId="74A2F320" w:rsidR="00FA2FC8" w:rsidRPr="00FA2FC8" w:rsidRDefault="00FA2FC8" w:rsidP="00FA2FC8">
      <w:pPr>
        <w:widowControl/>
        <w:spacing w:line="480" w:lineRule="auto"/>
        <w:rPr>
          <w:rFonts w:ascii="Times New Roman" w:hAnsi="Times New Roman" w:cs="Times New Roman"/>
          <w:sz w:val="24"/>
          <w:szCs w:val="24"/>
        </w:rPr>
      </w:pPr>
      <w:r w:rsidRPr="00FA2FC8">
        <w:rPr>
          <w:rFonts w:ascii="Times New Roman" w:hAnsi="Times New Roman" w:cs="Times New Roman"/>
          <w:sz w:val="24"/>
          <w:szCs w:val="24"/>
        </w:rPr>
        <w:t xml:space="preserve">Total RNA was isolated using a </w:t>
      </w:r>
      <w:proofErr w:type="spellStart"/>
      <w:r w:rsidRPr="00FA2FC8">
        <w:rPr>
          <w:rFonts w:ascii="Times New Roman" w:hAnsi="Times New Roman" w:cs="Times New Roman"/>
          <w:sz w:val="24"/>
          <w:szCs w:val="24"/>
        </w:rPr>
        <w:t>TRIzol</w:t>
      </w:r>
      <w:proofErr w:type="spellEnd"/>
      <w:r w:rsidRPr="00FA2FC8">
        <w:rPr>
          <w:rFonts w:ascii="Times New Roman" w:hAnsi="Times New Roman" w:cs="Times New Roman"/>
          <w:sz w:val="24"/>
          <w:szCs w:val="24"/>
        </w:rPr>
        <w:t xml:space="preserve"> total RNA </w:t>
      </w:r>
      <w:proofErr w:type="spellStart"/>
      <w:r w:rsidRPr="00FA2FC8">
        <w:rPr>
          <w:rFonts w:ascii="Times New Roman" w:hAnsi="Times New Roman" w:cs="Times New Roman"/>
          <w:sz w:val="24"/>
          <w:szCs w:val="24"/>
        </w:rPr>
        <w:t>extractibn</w:t>
      </w:r>
      <w:proofErr w:type="spellEnd"/>
      <w:r w:rsidRPr="00FA2FC8">
        <w:rPr>
          <w:rFonts w:ascii="Times New Roman" w:hAnsi="Times New Roman" w:cs="Times New Roman"/>
          <w:sz w:val="24"/>
          <w:szCs w:val="24"/>
        </w:rPr>
        <w:t xml:space="preserve"> kit (TIANGEN, Cat. No. DP424), which yielded &gt; 2 μg of total RNA per sample. RNA quality was examined by 0.8% agarose gel electrophoresis and spectrophotometry. High-quality RNA with a 260/280 absorbance ratio of 1.8-2.2 was used for library construction and sequencing. Illumina </w:t>
      </w:r>
      <w:proofErr w:type="spellStart"/>
      <w:r w:rsidRPr="00FA2FC8">
        <w:rPr>
          <w:rFonts w:ascii="Times New Roman" w:hAnsi="Times New Roman" w:cs="Times New Roman"/>
          <w:sz w:val="24"/>
          <w:szCs w:val="24"/>
        </w:rPr>
        <w:t>HiSeq</w:t>
      </w:r>
      <w:proofErr w:type="spellEnd"/>
      <w:r w:rsidRPr="00FA2FC8">
        <w:rPr>
          <w:rFonts w:ascii="Times New Roman" w:hAnsi="Times New Roman" w:cs="Times New Roman"/>
          <w:sz w:val="24"/>
          <w:szCs w:val="24"/>
        </w:rPr>
        <w:t xml:space="preserve"> library construction was performed according to the manufacturer's instructions (Illumina,</w:t>
      </w:r>
      <w:r w:rsidR="005F0EE1">
        <w:rPr>
          <w:rFonts w:ascii="Times New Roman" w:hAnsi="Times New Roman" w:cs="Times New Roman" w:hint="eastAsia"/>
          <w:sz w:val="24"/>
          <w:szCs w:val="24"/>
        </w:rPr>
        <w:t xml:space="preserve"> </w:t>
      </w:r>
      <w:r w:rsidRPr="00FA2FC8">
        <w:rPr>
          <w:rFonts w:ascii="Times New Roman" w:hAnsi="Times New Roman" w:cs="Times New Roman"/>
          <w:sz w:val="24"/>
          <w:szCs w:val="24"/>
        </w:rPr>
        <w:t xml:space="preserve">USA). Oligo-dT primers are used to transverse mRNA to obtain cDNA (APExBIO, Cat. No. K1159). Amplify cDNA for the synthesis of the second chain of cDNA. Purify cDNA products by magnetic beads. After library construction, library fragments were enriched by PCR amplification and selected according to a fragment size of 350-550 bp. The library was quality-assessed using an Agilent 2100 Bioanalyzer (Agilent, USA). The library was sequenced using the Illumina </w:t>
      </w:r>
      <w:proofErr w:type="spellStart"/>
      <w:r w:rsidRPr="00FA2FC8">
        <w:rPr>
          <w:rFonts w:ascii="Times New Roman" w:hAnsi="Times New Roman" w:cs="Times New Roman"/>
          <w:sz w:val="24"/>
          <w:szCs w:val="24"/>
        </w:rPr>
        <w:t>NovaSeq</w:t>
      </w:r>
      <w:proofErr w:type="spellEnd"/>
      <w:r w:rsidRPr="00FA2FC8">
        <w:rPr>
          <w:rFonts w:ascii="Times New Roman" w:hAnsi="Times New Roman" w:cs="Times New Roman"/>
          <w:sz w:val="24"/>
          <w:szCs w:val="24"/>
        </w:rPr>
        <w:t xml:space="preserve"> 6000 sequencing platform (Paired end150) to generate raw reads. Raw paired-end </w:t>
      </w:r>
      <w:proofErr w:type="spellStart"/>
      <w:r w:rsidRPr="00FA2FC8">
        <w:rPr>
          <w:rFonts w:ascii="Times New Roman" w:hAnsi="Times New Roman" w:cs="Times New Roman"/>
          <w:sz w:val="24"/>
          <w:szCs w:val="24"/>
        </w:rPr>
        <w:t>fastq</w:t>
      </w:r>
      <w:proofErr w:type="spellEnd"/>
      <w:r w:rsidRPr="00FA2FC8">
        <w:rPr>
          <w:rFonts w:ascii="Times New Roman" w:hAnsi="Times New Roman" w:cs="Times New Roman"/>
          <w:sz w:val="24"/>
          <w:szCs w:val="24"/>
        </w:rPr>
        <w:t xml:space="preserve"> reads were filtered by </w:t>
      </w:r>
      <w:proofErr w:type="spellStart"/>
      <w:r w:rsidRPr="00FA2FC8">
        <w:rPr>
          <w:rFonts w:ascii="Times New Roman" w:hAnsi="Times New Roman" w:cs="Times New Roman"/>
          <w:sz w:val="24"/>
          <w:szCs w:val="24"/>
        </w:rPr>
        <w:t>TrimGaloreto</w:t>
      </w:r>
      <w:proofErr w:type="spellEnd"/>
      <w:r w:rsidRPr="00FA2FC8">
        <w:rPr>
          <w:rFonts w:ascii="Times New Roman" w:hAnsi="Times New Roman" w:cs="Times New Roman"/>
          <w:sz w:val="24"/>
          <w:szCs w:val="24"/>
        </w:rPr>
        <w:t xml:space="preserve"> discard the adapters and low-quality bases via calling the Cutadapt tool. The clean reads obtained were then aligned to the mm10 mouse genome using HISAT2, followed by reference genome-guided transcriptome assembly and gene expression quantification using </w:t>
      </w:r>
      <w:proofErr w:type="spellStart"/>
      <w:r w:rsidRPr="00FA2FC8">
        <w:rPr>
          <w:rFonts w:ascii="Times New Roman" w:hAnsi="Times New Roman" w:cs="Times New Roman"/>
          <w:sz w:val="24"/>
          <w:szCs w:val="24"/>
        </w:rPr>
        <w:t>StringTie</w:t>
      </w:r>
      <w:proofErr w:type="spellEnd"/>
      <w:r w:rsidRPr="00FA2FC8">
        <w:rPr>
          <w:rFonts w:ascii="Times New Roman" w:hAnsi="Times New Roman" w:cs="Times New Roman"/>
          <w:sz w:val="24"/>
          <w:szCs w:val="24"/>
        </w:rPr>
        <w:t xml:space="preserve">. Differentially expressed genes (DEGs) were identified by DEseq2 (for sample with replications) or </w:t>
      </w:r>
      <w:proofErr w:type="spellStart"/>
      <w:r w:rsidRPr="00FA2FC8">
        <w:rPr>
          <w:rFonts w:ascii="Times New Roman" w:hAnsi="Times New Roman" w:cs="Times New Roman"/>
          <w:sz w:val="24"/>
          <w:szCs w:val="24"/>
        </w:rPr>
        <w:t>edgeR</w:t>
      </w:r>
      <w:proofErr w:type="spellEnd"/>
      <w:r w:rsidRPr="00FA2FC8">
        <w:rPr>
          <w:rFonts w:ascii="Times New Roman" w:hAnsi="Times New Roman" w:cs="Times New Roman"/>
          <w:sz w:val="24"/>
          <w:szCs w:val="24"/>
        </w:rPr>
        <w:t xml:space="preserve"> (for sample with no replication) with a cut-off value of log</w:t>
      </w:r>
      <w:r w:rsidRPr="00DC4F91">
        <w:rPr>
          <w:rFonts w:ascii="Times New Roman" w:hAnsi="Times New Roman" w:cs="Times New Roman"/>
          <w:sz w:val="24"/>
          <w:szCs w:val="24"/>
          <w:vertAlign w:val="subscript"/>
        </w:rPr>
        <w:t>2</w:t>
      </w:r>
      <w:r w:rsidRPr="00FA2FC8">
        <w:rPr>
          <w:rFonts w:ascii="Times New Roman" w:hAnsi="Times New Roman" w:cs="Times New Roman"/>
          <w:sz w:val="24"/>
          <w:szCs w:val="24"/>
        </w:rPr>
        <w:t>|fold-change|</w:t>
      </w:r>
      <w:r w:rsidR="00DC4F91">
        <w:rPr>
          <w:rFonts w:ascii="Times New Roman" w:hAnsi="Times New Roman" w:cs="Times New Roman" w:hint="eastAsia"/>
          <w:sz w:val="24"/>
          <w:szCs w:val="24"/>
        </w:rPr>
        <w:t xml:space="preserve"> </w:t>
      </w:r>
      <w:r w:rsidRPr="00FA2FC8">
        <w:rPr>
          <w:rFonts w:ascii="Times New Roman" w:hAnsi="Times New Roman" w:cs="Times New Roman"/>
          <w:sz w:val="24"/>
          <w:szCs w:val="24"/>
        </w:rPr>
        <w:t xml:space="preserve">&gt;1 and </w:t>
      </w:r>
      <w:r w:rsidR="00DC4F91" w:rsidRPr="00DC4F91">
        <w:rPr>
          <w:rFonts w:ascii="Times New Roman" w:hAnsi="Times New Roman" w:cs="Times New Roman" w:hint="eastAsia"/>
          <w:i/>
          <w:iCs/>
          <w:sz w:val="24"/>
          <w:szCs w:val="24"/>
        </w:rPr>
        <w:t>P</w:t>
      </w:r>
      <w:r w:rsidRPr="00FA2FC8">
        <w:rPr>
          <w:rFonts w:ascii="Times New Roman" w:hAnsi="Times New Roman" w:cs="Times New Roman"/>
          <w:sz w:val="24"/>
          <w:szCs w:val="24"/>
        </w:rPr>
        <w:t xml:space="preserve">-adjust &lt;0.05. The cluster Profiler was used to perform functional enrichment analysis for the annotated significant KEGG pathway categories. Terms with </w:t>
      </w:r>
      <w:r w:rsidR="00DC4F91">
        <w:rPr>
          <w:rFonts w:ascii="Times New Roman" w:hAnsi="Times New Roman" w:cs="Times New Roman" w:hint="eastAsia"/>
          <w:i/>
          <w:iCs/>
          <w:sz w:val="24"/>
          <w:szCs w:val="24"/>
        </w:rPr>
        <w:t xml:space="preserve">P </w:t>
      </w:r>
      <w:r w:rsidRPr="00FA2FC8">
        <w:rPr>
          <w:rFonts w:ascii="Times New Roman" w:hAnsi="Times New Roman" w:cs="Times New Roman"/>
          <w:sz w:val="24"/>
          <w:szCs w:val="24"/>
        </w:rPr>
        <w:t>&lt;</w:t>
      </w:r>
      <w:r w:rsidR="00DC4F91">
        <w:rPr>
          <w:rFonts w:ascii="Times New Roman" w:hAnsi="Times New Roman" w:cs="Times New Roman" w:hint="eastAsia"/>
          <w:sz w:val="24"/>
          <w:szCs w:val="24"/>
        </w:rPr>
        <w:t xml:space="preserve"> </w:t>
      </w:r>
      <w:r w:rsidRPr="00FA2FC8">
        <w:rPr>
          <w:rFonts w:ascii="Times New Roman" w:hAnsi="Times New Roman" w:cs="Times New Roman"/>
          <w:sz w:val="24"/>
          <w:szCs w:val="24"/>
        </w:rPr>
        <w:t>0.05 were considered significant.</w:t>
      </w:r>
    </w:p>
    <w:p w14:paraId="6971C9E7" w14:textId="77777777" w:rsidR="00FA2FC8" w:rsidRPr="00FA2FC8" w:rsidRDefault="00FA2FC8" w:rsidP="00FA2FC8">
      <w:pPr>
        <w:widowControl/>
        <w:spacing w:line="480" w:lineRule="auto"/>
        <w:jc w:val="left"/>
        <w:rPr>
          <w:rFonts w:ascii="Times New Roman" w:hAnsi="Times New Roman" w:cs="Times New Roman"/>
          <w:b/>
          <w:bCs/>
          <w:sz w:val="24"/>
          <w:szCs w:val="24"/>
        </w:rPr>
      </w:pPr>
      <w:r w:rsidRPr="00FA2FC8">
        <w:rPr>
          <w:rFonts w:ascii="Times New Roman" w:hAnsi="Times New Roman" w:cs="Times New Roman"/>
          <w:b/>
          <w:bCs/>
          <w:sz w:val="24"/>
          <w:szCs w:val="24"/>
        </w:rPr>
        <w:t>Supplementary Methods 1.2. Molecular docking and Molecular Dynamics Simulations</w:t>
      </w:r>
    </w:p>
    <w:p w14:paraId="4D5B80CD" w14:textId="758248BD" w:rsidR="00FA2FC8" w:rsidRPr="00FA2FC8" w:rsidRDefault="00FA2FC8" w:rsidP="00FA2FC8">
      <w:pPr>
        <w:widowControl/>
        <w:spacing w:line="480" w:lineRule="auto"/>
        <w:rPr>
          <w:rFonts w:ascii="Times New Roman" w:hAnsi="Times New Roman" w:cs="Times New Roman"/>
          <w:sz w:val="24"/>
          <w:szCs w:val="24"/>
        </w:rPr>
      </w:pPr>
      <w:r w:rsidRPr="00FA2FC8">
        <w:rPr>
          <w:rFonts w:ascii="Times New Roman" w:hAnsi="Times New Roman" w:cs="Times New Roman"/>
          <w:sz w:val="24"/>
          <w:szCs w:val="24"/>
        </w:rPr>
        <w:lastRenderedPageBreak/>
        <w:t>PubChem and PDB were used to find the chemical and conformational information of the relevant proteins</w:t>
      </w:r>
      <w:r w:rsidRPr="005F0EE1">
        <w:rPr>
          <w:rFonts w:ascii="Times New Roman" w:hAnsi="Times New Roman" w:cs="Times New Roman"/>
          <w:sz w:val="24"/>
          <w:szCs w:val="24"/>
        </w:rPr>
        <w:t xml:space="preserve"> (</w:t>
      </w:r>
      <w:r w:rsidR="00E16E78" w:rsidRPr="005F0EE1">
        <w:rPr>
          <w:rFonts w:ascii="Times New Roman" w:hAnsi="Times New Roman" w:cs="Times New Roman" w:hint="eastAsia"/>
          <w:sz w:val="24"/>
          <w:szCs w:val="24"/>
        </w:rPr>
        <w:t>AMBRA1</w:t>
      </w:r>
      <w:r w:rsidRPr="005F0EE1">
        <w:rPr>
          <w:rFonts w:ascii="Times New Roman" w:hAnsi="Times New Roman" w:cs="Times New Roman"/>
          <w:sz w:val="24"/>
          <w:szCs w:val="24"/>
        </w:rPr>
        <w:t>) a</w:t>
      </w:r>
      <w:r w:rsidRPr="00FA2FC8">
        <w:rPr>
          <w:rFonts w:ascii="Times New Roman" w:hAnsi="Times New Roman" w:cs="Times New Roman"/>
          <w:sz w:val="24"/>
          <w:szCs w:val="24"/>
        </w:rPr>
        <w:t>nd small-molecule compound</w:t>
      </w:r>
      <w:r w:rsidRPr="005F0EE1">
        <w:rPr>
          <w:rFonts w:ascii="Times New Roman" w:hAnsi="Times New Roman" w:cs="Times New Roman"/>
          <w:sz w:val="24"/>
          <w:szCs w:val="24"/>
        </w:rPr>
        <w:t>s (</w:t>
      </w:r>
      <w:r w:rsidR="00E16E78" w:rsidRPr="005F0EE1">
        <w:rPr>
          <w:rFonts w:ascii="Times New Roman" w:hAnsi="Times New Roman" w:cs="Times New Roman" w:hint="eastAsia"/>
          <w:sz w:val="24"/>
          <w:szCs w:val="24"/>
        </w:rPr>
        <w:t>ZEA</w:t>
      </w:r>
      <w:r w:rsidRPr="005F0EE1">
        <w:rPr>
          <w:rFonts w:ascii="Times New Roman" w:hAnsi="Times New Roman" w:cs="Times New Roman"/>
          <w:sz w:val="24"/>
          <w:szCs w:val="24"/>
        </w:rPr>
        <w:t xml:space="preserve">). </w:t>
      </w:r>
      <w:r w:rsidRPr="00FA2FC8">
        <w:rPr>
          <w:rFonts w:ascii="Times New Roman" w:hAnsi="Times New Roman" w:cs="Times New Roman"/>
          <w:sz w:val="24"/>
          <w:szCs w:val="24"/>
        </w:rPr>
        <w:t xml:space="preserve">The </w:t>
      </w:r>
      <w:proofErr w:type="spellStart"/>
      <w:r w:rsidRPr="00FA2FC8">
        <w:rPr>
          <w:rFonts w:ascii="Times New Roman" w:hAnsi="Times New Roman" w:cs="Times New Roman"/>
          <w:sz w:val="24"/>
          <w:szCs w:val="24"/>
        </w:rPr>
        <w:t>AutoTools</w:t>
      </w:r>
      <w:proofErr w:type="spellEnd"/>
      <w:r w:rsidRPr="00FA2FC8">
        <w:rPr>
          <w:rFonts w:ascii="Times New Roman" w:hAnsi="Times New Roman" w:cs="Times New Roman"/>
          <w:sz w:val="24"/>
          <w:szCs w:val="24"/>
        </w:rPr>
        <w:t xml:space="preserve"> software was used to remove the redundant protein chains, ligands and water molecules with hydrogenation before running docking experiments. The </w:t>
      </w:r>
      <w:proofErr w:type="spellStart"/>
      <w:r w:rsidRPr="00FA2FC8">
        <w:rPr>
          <w:rFonts w:ascii="Times New Roman" w:hAnsi="Times New Roman" w:cs="Times New Roman"/>
          <w:sz w:val="24"/>
          <w:szCs w:val="24"/>
        </w:rPr>
        <w:t>AutoGrid</w:t>
      </w:r>
      <w:proofErr w:type="spellEnd"/>
      <w:r w:rsidRPr="00FA2FC8">
        <w:rPr>
          <w:rFonts w:ascii="Times New Roman" w:hAnsi="Times New Roman" w:cs="Times New Roman"/>
          <w:sz w:val="24"/>
          <w:szCs w:val="24"/>
        </w:rPr>
        <w:t xml:space="preserve"> software was used to calculate the energy lattice points. AutoDock Vina was used to simulate the docking condition between proteins </w:t>
      </w:r>
      <w:r w:rsidRPr="005F0EE1">
        <w:rPr>
          <w:rFonts w:ascii="Times New Roman" w:hAnsi="Times New Roman" w:cs="Times New Roman"/>
          <w:sz w:val="24"/>
          <w:szCs w:val="24"/>
        </w:rPr>
        <w:t>(</w:t>
      </w:r>
      <w:r w:rsidR="00E16E78" w:rsidRPr="005F0EE1">
        <w:rPr>
          <w:rFonts w:ascii="Times New Roman" w:hAnsi="Times New Roman" w:cs="Times New Roman" w:hint="eastAsia"/>
          <w:sz w:val="24"/>
          <w:szCs w:val="24"/>
        </w:rPr>
        <w:t>AMBRA1</w:t>
      </w:r>
      <w:r w:rsidRPr="005F0EE1">
        <w:rPr>
          <w:rFonts w:ascii="Times New Roman" w:hAnsi="Times New Roman" w:cs="Times New Roman"/>
          <w:sz w:val="24"/>
          <w:szCs w:val="24"/>
        </w:rPr>
        <w:t>)</w:t>
      </w:r>
      <w:r w:rsidRPr="00FA2FC8">
        <w:rPr>
          <w:rFonts w:ascii="Times New Roman" w:hAnsi="Times New Roman" w:cs="Times New Roman"/>
          <w:sz w:val="24"/>
          <w:szCs w:val="24"/>
        </w:rPr>
        <w:t xml:space="preserve"> and small molecules</w:t>
      </w:r>
      <w:r w:rsidRPr="005F0EE1">
        <w:rPr>
          <w:rFonts w:ascii="Times New Roman" w:hAnsi="Times New Roman" w:cs="Times New Roman"/>
          <w:sz w:val="24"/>
          <w:szCs w:val="24"/>
        </w:rPr>
        <w:t xml:space="preserve"> (</w:t>
      </w:r>
      <w:r w:rsidR="00E16E78" w:rsidRPr="005F0EE1">
        <w:rPr>
          <w:rFonts w:ascii="Times New Roman" w:hAnsi="Times New Roman" w:cs="Times New Roman" w:hint="eastAsia"/>
          <w:sz w:val="24"/>
          <w:szCs w:val="24"/>
        </w:rPr>
        <w:t>ZEA</w:t>
      </w:r>
      <w:r w:rsidRPr="005F0EE1">
        <w:rPr>
          <w:rFonts w:ascii="Times New Roman" w:hAnsi="Times New Roman" w:cs="Times New Roman"/>
          <w:sz w:val="24"/>
          <w:szCs w:val="24"/>
        </w:rPr>
        <w:t xml:space="preserve">). </w:t>
      </w:r>
      <w:proofErr w:type="spellStart"/>
      <w:r w:rsidRPr="00FA2FC8">
        <w:rPr>
          <w:rFonts w:ascii="Times New Roman" w:hAnsi="Times New Roman" w:cs="Times New Roman"/>
          <w:sz w:val="24"/>
          <w:szCs w:val="24"/>
        </w:rPr>
        <w:t>Autogrid</w:t>
      </w:r>
      <w:proofErr w:type="spellEnd"/>
      <w:r w:rsidRPr="00FA2FC8">
        <w:rPr>
          <w:rFonts w:ascii="Times New Roman" w:hAnsi="Times New Roman" w:cs="Times New Roman"/>
          <w:sz w:val="24"/>
          <w:szCs w:val="24"/>
        </w:rPr>
        <w:t xml:space="preserve"> calculations were performed, selecting AutoDock Vina as the docking algorithm, and AutoDock was used for molecular docking. The binding energy results were visualized using </w:t>
      </w:r>
      <w:proofErr w:type="spellStart"/>
      <w:r w:rsidRPr="00FA2FC8">
        <w:rPr>
          <w:rFonts w:ascii="Times New Roman" w:hAnsi="Times New Roman" w:cs="Times New Roman"/>
          <w:sz w:val="24"/>
          <w:szCs w:val="24"/>
        </w:rPr>
        <w:t>PyMOL</w:t>
      </w:r>
      <w:proofErr w:type="spellEnd"/>
      <w:r w:rsidRPr="00FA2FC8">
        <w:rPr>
          <w:rFonts w:ascii="Times New Roman" w:hAnsi="Times New Roman" w:cs="Times New Roman"/>
          <w:sz w:val="24"/>
          <w:szCs w:val="24"/>
        </w:rPr>
        <w:t>.</w:t>
      </w:r>
    </w:p>
    <w:p w14:paraId="070D02FC" w14:textId="5419651F" w:rsidR="00653D2B" w:rsidRDefault="00FA2FC8" w:rsidP="00653D2B">
      <w:pPr>
        <w:widowControl/>
        <w:spacing w:line="480" w:lineRule="auto"/>
        <w:ind w:firstLineChars="200" w:firstLine="480"/>
        <w:rPr>
          <w:rFonts w:ascii="Times New Roman" w:hAnsi="Times New Roman" w:cs="Times New Roman"/>
          <w:sz w:val="24"/>
          <w:szCs w:val="24"/>
        </w:rPr>
      </w:pPr>
      <w:r w:rsidRPr="00FA2FC8">
        <w:rPr>
          <w:rFonts w:ascii="Times New Roman" w:hAnsi="Times New Roman" w:cs="Times New Roman"/>
          <w:sz w:val="24"/>
          <w:szCs w:val="24"/>
        </w:rPr>
        <w:t xml:space="preserve">The resulting proteins from docking were separated from the best small molecule ligands, and small molecule force field files were generated by the antechamber tool in </w:t>
      </w:r>
      <w:proofErr w:type="spellStart"/>
      <w:r w:rsidRPr="00FA2FC8">
        <w:rPr>
          <w:rFonts w:ascii="Times New Roman" w:hAnsi="Times New Roman" w:cs="Times New Roman"/>
          <w:sz w:val="24"/>
          <w:szCs w:val="24"/>
        </w:rPr>
        <w:t>Ambertools</w:t>
      </w:r>
      <w:proofErr w:type="spellEnd"/>
      <w:r w:rsidRPr="00FA2FC8">
        <w:rPr>
          <w:rFonts w:ascii="Times New Roman" w:hAnsi="Times New Roman" w:cs="Times New Roman"/>
          <w:sz w:val="24"/>
          <w:szCs w:val="24"/>
        </w:rPr>
        <w:t xml:space="preserve"> software, and the small molecule force field files were converted into </w:t>
      </w:r>
      <w:proofErr w:type="spellStart"/>
      <w:r w:rsidRPr="00FA2FC8">
        <w:rPr>
          <w:rFonts w:ascii="Times New Roman" w:hAnsi="Times New Roman" w:cs="Times New Roman"/>
          <w:sz w:val="24"/>
          <w:szCs w:val="24"/>
        </w:rPr>
        <w:t>gromacs</w:t>
      </w:r>
      <w:proofErr w:type="spellEnd"/>
      <w:r w:rsidRPr="00FA2FC8">
        <w:rPr>
          <w:rFonts w:ascii="Times New Roman" w:hAnsi="Times New Roman" w:cs="Times New Roman"/>
          <w:sz w:val="24"/>
          <w:szCs w:val="24"/>
        </w:rPr>
        <w:t xml:space="preserve"> force field files by the </w:t>
      </w:r>
      <w:proofErr w:type="spellStart"/>
      <w:r w:rsidRPr="00FA2FC8">
        <w:rPr>
          <w:rFonts w:ascii="Times New Roman" w:hAnsi="Times New Roman" w:cs="Times New Roman"/>
          <w:sz w:val="24"/>
          <w:szCs w:val="24"/>
        </w:rPr>
        <w:t>acpype</w:t>
      </w:r>
      <w:proofErr w:type="spellEnd"/>
      <w:r w:rsidRPr="00FA2FC8">
        <w:rPr>
          <w:rFonts w:ascii="Times New Roman" w:hAnsi="Times New Roman" w:cs="Times New Roman"/>
          <w:sz w:val="24"/>
          <w:szCs w:val="24"/>
        </w:rPr>
        <w:t xml:space="preserve"> software tool. GAFF force field was used for small molecules, while AMBER14SB force field and TIP3P water model were used, and the files of protein and small molecule ligand were combined to construct the simulation system of the complex. Molecular dynamics simulations (MD) using Gromacs2022 program under constant temperature and periodic boundary conditions. During the MD simulation, all involved hydrogen bonds were constrained using the LINCS algorithm with an integration step size of 2 fs. The electrostatic interactions were calculated by the (Particle-mesh Ewald) PME method and the cutoff value was set to 1.2 nm. The non-bonded interaction cutoff was set to 10 Å and updated every 10 steps. The simulation temperature was controlled at 298 K using the V-rescale temperature coupling method and the Berendsen method to control the pressure at 1 bar. At 298 K, 100 </w:t>
      </w:r>
      <w:proofErr w:type="spellStart"/>
      <w:r w:rsidRPr="00FA2FC8">
        <w:rPr>
          <w:rFonts w:ascii="Times New Roman" w:hAnsi="Times New Roman" w:cs="Times New Roman"/>
          <w:sz w:val="24"/>
          <w:szCs w:val="24"/>
        </w:rPr>
        <w:t>ps</w:t>
      </w:r>
      <w:proofErr w:type="spellEnd"/>
      <w:r w:rsidRPr="00FA2FC8">
        <w:rPr>
          <w:rFonts w:ascii="Times New Roman" w:hAnsi="Times New Roman" w:cs="Times New Roman"/>
          <w:sz w:val="24"/>
          <w:szCs w:val="24"/>
        </w:rPr>
        <w:t xml:space="preserve">, NVT, equilibration simulation with NPT, and 100 ns, MD simulation of the complex system, </w:t>
      </w:r>
      <w:r w:rsidRPr="00FA2FC8">
        <w:rPr>
          <w:rFonts w:ascii="Times New Roman" w:hAnsi="Times New Roman" w:cs="Times New Roman"/>
          <w:sz w:val="24"/>
          <w:szCs w:val="24"/>
        </w:rPr>
        <w:lastRenderedPageBreak/>
        <w:t xml:space="preserve">preserving the conformation every 10 ps. After the simulation, the simulated trajectories were analyzed using VMD and </w:t>
      </w:r>
      <w:proofErr w:type="spellStart"/>
      <w:r w:rsidRPr="00FA2FC8">
        <w:rPr>
          <w:rFonts w:ascii="Times New Roman" w:hAnsi="Times New Roman" w:cs="Times New Roman"/>
          <w:sz w:val="24"/>
          <w:szCs w:val="24"/>
        </w:rPr>
        <w:t>Pymol</w:t>
      </w:r>
      <w:proofErr w:type="spellEnd"/>
      <w:r w:rsidRPr="00FA2FC8">
        <w:rPr>
          <w:rFonts w:ascii="Times New Roman" w:hAnsi="Times New Roman" w:cs="Times New Roman"/>
          <w:sz w:val="24"/>
          <w:szCs w:val="24"/>
        </w:rPr>
        <w:t xml:space="preserve"> and MMPBSA binding free energy analysis between the protein and small molecule ligands using the </w:t>
      </w:r>
      <w:proofErr w:type="spellStart"/>
      <w:r w:rsidRPr="00FA2FC8">
        <w:rPr>
          <w:rFonts w:ascii="Times New Roman" w:hAnsi="Times New Roman" w:cs="Times New Roman"/>
          <w:sz w:val="24"/>
          <w:szCs w:val="24"/>
        </w:rPr>
        <w:t>g_mmpbsa</w:t>
      </w:r>
      <w:proofErr w:type="spellEnd"/>
      <w:r w:rsidRPr="00FA2FC8">
        <w:rPr>
          <w:rFonts w:ascii="Times New Roman" w:hAnsi="Times New Roman" w:cs="Times New Roman"/>
          <w:sz w:val="24"/>
          <w:szCs w:val="24"/>
        </w:rPr>
        <w:t xml:space="preserve"> program.</w:t>
      </w:r>
    </w:p>
    <w:p w14:paraId="591947F5" w14:textId="799F9DAE" w:rsidR="00653D2B" w:rsidRPr="004761D2" w:rsidRDefault="00653D2B" w:rsidP="004761D2">
      <w:pPr>
        <w:widowControl/>
        <w:spacing w:line="480" w:lineRule="auto"/>
        <w:jc w:val="left"/>
        <w:rPr>
          <w:rFonts w:ascii="Times New Roman" w:hAnsi="Times New Roman" w:cs="Times New Roman"/>
          <w:b/>
          <w:bCs/>
          <w:sz w:val="24"/>
          <w:szCs w:val="24"/>
        </w:rPr>
      </w:pPr>
      <w:r w:rsidRPr="004761D2">
        <w:rPr>
          <w:rFonts w:ascii="Times New Roman" w:hAnsi="Times New Roman" w:cs="Times New Roman"/>
          <w:b/>
          <w:bCs/>
          <w:sz w:val="24"/>
          <w:szCs w:val="24"/>
        </w:rPr>
        <w:t>Supplementary Methods 1.</w:t>
      </w:r>
      <w:r w:rsidRPr="004761D2">
        <w:rPr>
          <w:rFonts w:ascii="Times New Roman" w:hAnsi="Times New Roman" w:cs="Times New Roman" w:hint="eastAsia"/>
          <w:b/>
          <w:bCs/>
          <w:sz w:val="24"/>
          <w:szCs w:val="24"/>
        </w:rPr>
        <w:t>3</w:t>
      </w:r>
      <w:r w:rsidRPr="004761D2">
        <w:rPr>
          <w:rFonts w:ascii="Times New Roman" w:hAnsi="Times New Roman" w:cs="Times New Roman"/>
          <w:b/>
          <w:bCs/>
          <w:sz w:val="24"/>
          <w:szCs w:val="24"/>
        </w:rPr>
        <w:t>.</w:t>
      </w:r>
      <w:r w:rsidRPr="004761D2">
        <w:rPr>
          <w:rFonts w:ascii="Times New Roman" w:hAnsi="Times New Roman" w:cs="Times New Roman" w:hint="eastAsia"/>
          <w:b/>
          <w:bCs/>
          <w:sz w:val="24"/>
          <w:szCs w:val="24"/>
        </w:rPr>
        <w:t xml:space="preserve"> M</w:t>
      </w:r>
      <w:r w:rsidRPr="004761D2">
        <w:rPr>
          <w:rFonts w:ascii="Times New Roman" w:hAnsi="Times New Roman" w:cs="Times New Roman"/>
          <w:b/>
          <w:bCs/>
          <w:sz w:val="24"/>
          <w:szCs w:val="24"/>
        </w:rPr>
        <w:t>itochondrial volume density</w:t>
      </w:r>
    </w:p>
    <w:p w14:paraId="39EA5A58" w14:textId="2D3CFCDC" w:rsidR="00653D2B" w:rsidRPr="004761D2" w:rsidRDefault="00653D2B" w:rsidP="00653D2B">
      <w:pPr>
        <w:widowControl/>
        <w:spacing w:line="480" w:lineRule="auto"/>
        <w:rPr>
          <w:rFonts w:ascii="Times New Roman" w:hAnsi="Times New Roman" w:cs="Times New Roman"/>
          <w:sz w:val="24"/>
          <w:szCs w:val="24"/>
        </w:rPr>
      </w:pPr>
      <w:r w:rsidRPr="004761D2">
        <w:rPr>
          <w:rFonts w:ascii="Times New Roman" w:hAnsi="Times New Roman" w:cs="Times New Roman"/>
          <w:sz w:val="24"/>
          <w:szCs w:val="24"/>
        </w:rPr>
        <w:t>A method has used to quantify mitochondria consists of a method know</w:t>
      </w:r>
      <w:r w:rsidR="00DC4F91">
        <w:rPr>
          <w:rFonts w:ascii="Times New Roman" w:hAnsi="Times New Roman" w:cs="Times New Roman" w:hint="eastAsia"/>
          <w:sz w:val="24"/>
          <w:szCs w:val="24"/>
        </w:rPr>
        <w:t>n</w:t>
      </w:r>
      <w:r w:rsidRPr="004761D2">
        <w:rPr>
          <w:rFonts w:ascii="Times New Roman" w:hAnsi="Times New Roman" w:cs="Times New Roman"/>
          <w:sz w:val="24"/>
          <w:szCs w:val="24"/>
        </w:rPr>
        <w:t xml:space="preserve"> as “point counting grids”. Simply put, this is done by placing a transparent square lattice grid over the electron micrograph. The grids normally have lines that intersect one another at a 90° angle and are separated from each other by 1 cm. A lattice of 100 points is normally useful for micrograph. The number of times a mitochondrion located at a line intersect was recorded. By knowing the total amount of intersects that are possible with the lattice grid and the number of times a mitochondrion intersected a line intersect, this number </w:t>
      </w:r>
      <w:r w:rsidRPr="004761D2">
        <w:rPr>
          <w:rFonts w:ascii="Times New Roman" w:hAnsi="Times New Roman" w:cs="Times New Roman" w:hint="eastAsia"/>
          <w:sz w:val="24"/>
          <w:szCs w:val="24"/>
        </w:rPr>
        <w:t xml:space="preserve">is </w:t>
      </w:r>
      <w:r w:rsidRPr="004761D2">
        <w:rPr>
          <w:rFonts w:ascii="Times New Roman" w:hAnsi="Times New Roman" w:cs="Times New Roman"/>
          <w:sz w:val="24"/>
          <w:szCs w:val="24"/>
        </w:rPr>
        <w:t>divide</w:t>
      </w:r>
      <w:r w:rsidRPr="004761D2">
        <w:rPr>
          <w:rFonts w:ascii="Times New Roman" w:hAnsi="Times New Roman" w:cs="Times New Roman" w:hint="eastAsia"/>
          <w:sz w:val="24"/>
          <w:szCs w:val="24"/>
        </w:rPr>
        <w:t>d</w:t>
      </w:r>
      <w:r w:rsidRPr="004761D2">
        <w:rPr>
          <w:rFonts w:ascii="Times New Roman" w:hAnsi="Times New Roman" w:cs="Times New Roman"/>
          <w:sz w:val="24"/>
          <w:szCs w:val="24"/>
        </w:rPr>
        <w:t xml:space="preserve"> by the total</w:t>
      </w:r>
      <w:r w:rsidRPr="004761D2">
        <w:rPr>
          <w:rFonts w:ascii="Times New Roman" w:hAnsi="Times New Roman" w:cs="Times New Roman" w:hint="eastAsia"/>
          <w:sz w:val="24"/>
          <w:szCs w:val="24"/>
        </w:rPr>
        <w:t>.</w:t>
      </w:r>
    </w:p>
    <w:p w14:paraId="6E98C1B9" w14:textId="0C100A9B" w:rsidR="00653D2B" w:rsidRPr="004761D2" w:rsidRDefault="00653D2B" w:rsidP="004761D2">
      <w:pPr>
        <w:widowControl/>
        <w:spacing w:line="480" w:lineRule="auto"/>
        <w:jc w:val="left"/>
        <w:rPr>
          <w:rFonts w:ascii="Times New Roman" w:hAnsi="Times New Roman" w:cs="Times New Roman"/>
          <w:b/>
          <w:bCs/>
          <w:sz w:val="24"/>
          <w:szCs w:val="24"/>
        </w:rPr>
      </w:pPr>
      <w:r w:rsidRPr="004761D2">
        <w:rPr>
          <w:rFonts w:ascii="Times New Roman" w:hAnsi="Times New Roman" w:cs="Times New Roman"/>
          <w:b/>
          <w:bCs/>
          <w:sz w:val="24"/>
          <w:szCs w:val="24"/>
        </w:rPr>
        <w:t>Supplementary Methods 1.</w:t>
      </w:r>
      <w:r w:rsidRPr="004761D2">
        <w:rPr>
          <w:rFonts w:ascii="Times New Roman" w:hAnsi="Times New Roman" w:cs="Times New Roman" w:hint="eastAsia"/>
          <w:b/>
          <w:bCs/>
          <w:sz w:val="24"/>
          <w:szCs w:val="24"/>
        </w:rPr>
        <w:t>4</w:t>
      </w:r>
      <w:r w:rsidRPr="004761D2">
        <w:rPr>
          <w:rFonts w:ascii="Times New Roman" w:hAnsi="Times New Roman" w:cs="Times New Roman"/>
          <w:b/>
          <w:bCs/>
          <w:sz w:val="24"/>
          <w:szCs w:val="24"/>
        </w:rPr>
        <w:t>.</w:t>
      </w:r>
      <w:r w:rsidRPr="004761D2">
        <w:rPr>
          <w:rFonts w:ascii="Times New Roman" w:hAnsi="Times New Roman" w:cs="Times New Roman" w:hint="eastAsia"/>
          <w:b/>
          <w:bCs/>
          <w:sz w:val="24"/>
          <w:szCs w:val="24"/>
        </w:rPr>
        <w:t xml:space="preserve"> </w:t>
      </w:r>
      <w:r w:rsidRPr="004761D2">
        <w:rPr>
          <w:rFonts w:ascii="Times New Roman" w:hAnsi="Times New Roman" w:cs="Times New Roman"/>
          <w:b/>
          <w:bCs/>
          <w:sz w:val="24"/>
          <w:szCs w:val="24"/>
        </w:rPr>
        <w:t>Flameng score</w:t>
      </w:r>
    </w:p>
    <w:p w14:paraId="754CDBA7" w14:textId="6CDD53F1" w:rsidR="004761D2" w:rsidRDefault="00653D2B" w:rsidP="00653D2B">
      <w:pPr>
        <w:widowControl/>
        <w:spacing w:line="480" w:lineRule="auto"/>
        <w:rPr>
          <w:rFonts w:ascii="Times New Roman" w:hAnsi="Times New Roman" w:cs="Times New Roman"/>
          <w:sz w:val="24"/>
          <w:szCs w:val="24"/>
        </w:rPr>
      </w:pPr>
      <w:r w:rsidRPr="004761D2">
        <w:rPr>
          <w:rFonts w:ascii="Times New Roman" w:hAnsi="Times New Roman" w:cs="Times New Roman"/>
          <w:sz w:val="24"/>
          <w:szCs w:val="24"/>
        </w:rPr>
        <w:t>Flameng score is a scoring standard used to analyze the degree of mitochondrial damage.</w:t>
      </w:r>
      <w:r w:rsidRPr="004761D2">
        <w:rPr>
          <w:rFonts w:ascii="Times New Roman" w:hAnsi="Times New Roman" w:cs="Times New Roman" w:hint="eastAsia"/>
          <w:sz w:val="24"/>
          <w:szCs w:val="24"/>
        </w:rPr>
        <w:t xml:space="preserve"> </w:t>
      </w:r>
      <w:r w:rsidRPr="004761D2">
        <w:rPr>
          <w:rFonts w:ascii="Times New Roman" w:hAnsi="Times New Roman" w:cs="Times New Roman"/>
          <w:sz w:val="24"/>
          <w:szCs w:val="24"/>
        </w:rPr>
        <w:t>The increase of the Flameng score showed the mitochondrial damage. The mitochondrial Flameng score criteria under transmission electron microscope is as follows. The greater the IPEC-J2 cells mitochondria damage, the higher the score and injury is scored as 0-4 points: 0, the structure of mitochondria is normal and they are full of particles; 1, the structure of mitochondria is essentially normal, but the matrix particles are lost; 2, mitochondrial swelling and matrix transparency are apparent; 3, rupture of mitochondrial cristae with matrix transparency and concentration; 4, the mitochondrial cristae are split, the integrity of the mitochondria inside and outside the membrane has been lost, and they appear vacuolated.</w:t>
      </w:r>
    </w:p>
    <w:p w14:paraId="3AEEEA60" w14:textId="70FAB441" w:rsidR="00DD5BAF" w:rsidRPr="00A26D92" w:rsidRDefault="00DD5BAF" w:rsidP="00A26D92">
      <w:pPr>
        <w:widowControl/>
        <w:jc w:val="left"/>
        <w:rPr>
          <w:rFonts w:ascii="Times New Roman" w:hAnsi="Times New Roman" w:cs="Times New Roman"/>
          <w:sz w:val="24"/>
          <w:szCs w:val="24"/>
        </w:rPr>
      </w:pPr>
    </w:p>
    <w:sectPr w:rsidR="00DD5BAF" w:rsidRPr="00A26D92" w:rsidSect="00917BBE">
      <w:footerReference w:type="default" r:id="rId16"/>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409A" w14:textId="77777777" w:rsidR="00FB6AB3" w:rsidRDefault="00FB6AB3">
      <w:r>
        <w:separator/>
      </w:r>
    </w:p>
  </w:endnote>
  <w:endnote w:type="continuationSeparator" w:id="0">
    <w:p w14:paraId="62D5A2D6" w14:textId="77777777" w:rsidR="00FB6AB3" w:rsidRDefault="00FB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dvTTa9c1b374">
    <w:altName w:val="Times New Roman"/>
    <w:charset w:val="00"/>
    <w:family w:val="roman"/>
    <w:pitch w:val="default"/>
  </w:font>
  <w:font w:name="AdvP80675">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yriadPro-Semibold">
    <w:altName w:val="微软雅黑"/>
    <w:panose1 w:val="00000000000000000000"/>
    <w:charset w:val="86"/>
    <w:family w:val="swiss"/>
    <w:notTrueType/>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912305"/>
    </w:sdtPr>
    <w:sdtContent>
      <w:p w14:paraId="207F027C" w14:textId="77777777" w:rsidR="00E0371E" w:rsidRDefault="00E0371E">
        <w:pPr>
          <w:pStyle w:val="a6"/>
          <w:jc w:val="center"/>
        </w:pPr>
        <w:r>
          <w:t>S</w:t>
        </w:r>
        <w:r>
          <w:fldChar w:fldCharType="begin"/>
        </w:r>
        <w:r>
          <w:instrText>PAGE   \* MERGEFORMAT</w:instrText>
        </w:r>
        <w:r>
          <w:fldChar w:fldCharType="separate"/>
        </w:r>
        <w:r>
          <w:rPr>
            <w:lang w:val="zh-CN"/>
          </w:rPr>
          <w:t>2</w:t>
        </w:r>
        <w:r>
          <w:fldChar w:fldCharType="end"/>
        </w:r>
      </w:p>
    </w:sdtContent>
  </w:sdt>
  <w:p w14:paraId="438F1FF8" w14:textId="77777777" w:rsidR="00E0371E" w:rsidRDefault="00E0371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182304"/>
    </w:sdtPr>
    <w:sdtContent>
      <w:p w14:paraId="6C7370E3" w14:textId="77777777" w:rsidR="00DD5BAF" w:rsidRDefault="00000000">
        <w:pPr>
          <w:pStyle w:val="a6"/>
          <w:jc w:val="center"/>
        </w:pPr>
        <w:r>
          <w:t>S</w:t>
        </w:r>
        <w:r>
          <w:fldChar w:fldCharType="begin"/>
        </w:r>
        <w:r>
          <w:instrText>PAGE   \* MERGEFORMAT</w:instrText>
        </w:r>
        <w:r>
          <w:fldChar w:fldCharType="separate"/>
        </w:r>
        <w:r>
          <w:rPr>
            <w:lang w:val="zh-CN"/>
          </w:rPr>
          <w:t>2</w:t>
        </w:r>
        <w:r>
          <w:fldChar w:fldCharType="end"/>
        </w:r>
      </w:p>
    </w:sdtContent>
  </w:sdt>
  <w:p w14:paraId="23BEB56B" w14:textId="77777777" w:rsidR="00DD5BAF" w:rsidRDefault="00DD5BA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EEF5" w14:textId="77777777" w:rsidR="00FB6AB3" w:rsidRDefault="00FB6AB3">
      <w:r>
        <w:separator/>
      </w:r>
    </w:p>
  </w:footnote>
  <w:footnote w:type="continuationSeparator" w:id="0">
    <w:p w14:paraId="2E735AFB" w14:textId="77777777" w:rsidR="00FB6AB3" w:rsidRDefault="00FB6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0131"/>
    <w:multiLevelType w:val="hybridMultilevel"/>
    <w:tmpl w:val="CF5A2F6A"/>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06603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yNGY3N2ZhNWViMGRiNDU0ZTY0YjRiYzQ5MzExNmMifQ=="/>
  </w:docVars>
  <w:rsids>
    <w:rsidRoot w:val="00A931AB"/>
    <w:rsid w:val="00000363"/>
    <w:rsid w:val="000177E9"/>
    <w:rsid w:val="000228F0"/>
    <w:rsid w:val="000240B2"/>
    <w:rsid w:val="0002421A"/>
    <w:rsid w:val="000338FD"/>
    <w:rsid w:val="00037652"/>
    <w:rsid w:val="00037D51"/>
    <w:rsid w:val="00040D01"/>
    <w:rsid w:val="00057A3C"/>
    <w:rsid w:val="00061B5D"/>
    <w:rsid w:val="0006504C"/>
    <w:rsid w:val="00067A03"/>
    <w:rsid w:val="000738B6"/>
    <w:rsid w:val="00075EB5"/>
    <w:rsid w:val="000768DD"/>
    <w:rsid w:val="00076BEB"/>
    <w:rsid w:val="000821E4"/>
    <w:rsid w:val="00084DD9"/>
    <w:rsid w:val="00090793"/>
    <w:rsid w:val="00091554"/>
    <w:rsid w:val="00091B5D"/>
    <w:rsid w:val="00093755"/>
    <w:rsid w:val="00097C2B"/>
    <w:rsid w:val="000A1FE7"/>
    <w:rsid w:val="000A66B0"/>
    <w:rsid w:val="000B2B23"/>
    <w:rsid w:val="000B5ABE"/>
    <w:rsid w:val="000C21B5"/>
    <w:rsid w:val="000C2E19"/>
    <w:rsid w:val="000C4AB5"/>
    <w:rsid w:val="000C7361"/>
    <w:rsid w:val="000C7866"/>
    <w:rsid w:val="000D0AB5"/>
    <w:rsid w:val="000E021A"/>
    <w:rsid w:val="000E0AE0"/>
    <w:rsid w:val="000E4FCC"/>
    <w:rsid w:val="000F2182"/>
    <w:rsid w:val="000F4611"/>
    <w:rsid w:val="000F6F8A"/>
    <w:rsid w:val="000F7DB1"/>
    <w:rsid w:val="00101F3D"/>
    <w:rsid w:val="00102A19"/>
    <w:rsid w:val="00103944"/>
    <w:rsid w:val="00117A37"/>
    <w:rsid w:val="00117BE6"/>
    <w:rsid w:val="00124372"/>
    <w:rsid w:val="00127394"/>
    <w:rsid w:val="00127667"/>
    <w:rsid w:val="0014026F"/>
    <w:rsid w:val="001418A5"/>
    <w:rsid w:val="00141AD2"/>
    <w:rsid w:val="00141DF5"/>
    <w:rsid w:val="00142A90"/>
    <w:rsid w:val="00160170"/>
    <w:rsid w:val="00163C54"/>
    <w:rsid w:val="00171526"/>
    <w:rsid w:val="00174120"/>
    <w:rsid w:val="001756AD"/>
    <w:rsid w:val="001775E9"/>
    <w:rsid w:val="00181AC0"/>
    <w:rsid w:val="00181E10"/>
    <w:rsid w:val="001867FD"/>
    <w:rsid w:val="00194B96"/>
    <w:rsid w:val="0019680B"/>
    <w:rsid w:val="001971BC"/>
    <w:rsid w:val="0019758D"/>
    <w:rsid w:val="001A1E86"/>
    <w:rsid w:val="001A2751"/>
    <w:rsid w:val="001A3408"/>
    <w:rsid w:val="001A58FE"/>
    <w:rsid w:val="001B5070"/>
    <w:rsid w:val="001C4D8D"/>
    <w:rsid w:val="001C77E1"/>
    <w:rsid w:val="001D54CB"/>
    <w:rsid w:val="001E720F"/>
    <w:rsid w:val="001E7A62"/>
    <w:rsid w:val="001F2C38"/>
    <w:rsid w:val="001F6D3B"/>
    <w:rsid w:val="002006E7"/>
    <w:rsid w:val="00205CAF"/>
    <w:rsid w:val="00206154"/>
    <w:rsid w:val="00206873"/>
    <w:rsid w:val="00210570"/>
    <w:rsid w:val="00213258"/>
    <w:rsid w:val="00214663"/>
    <w:rsid w:val="00215FD7"/>
    <w:rsid w:val="00220D68"/>
    <w:rsid w:val="00221CFB"/>
    <w:rsid w:val="00223053"/>
    <w:rsid w:val="00225A01"/>
    <w:rsid w:val="002306C1"/>
    <w:rsid w:val="00233E31"/>
    <w:rsid w:val="002402F2"/>
    <w:rsid w:val="002450F4"/>
    <w:rsid w:val="00247783"/>
    <w:rsid w:val="0025199D"/>
    <w:rsid w:val="002520FE"/>
    <w:rsid w:val="002553FE"/>
    <w:rsid w:val="00256689"/>
    <w:rsid w:val="0026193D"/>
    <w:rsid w:val="00262E60"/>
    <w:rsid w:val="00263386"/>
    <w:rsid w:val="00273D4C"/>
    <w:rsid w:val="00274674"/>
    <w:rsid w:val="00282285"/>
    <w:rsid w:val="00282493"/>
    <w:rsid w:val="00287412"/>
    <w:rsid w:val="00290574"/>
    <w:rsid w:val="002923C2"/>
    <w:rsid w:val="002A308B"/>
    <w:rsid w:val="002A41DA"/>
    <w:rsid w:val="002A48EB"/>
    <w:rsid w:val="002C54E9"/>
    <w:rsid w:val="002D08A5"/>
    <w:rsid w:val="002D5703"/>
    <w:rsid w:val="002E3795"/>
    <w:rsid w:val="002F1127"/>
    <w:rsid w:val="002F53F0"/>
    <w:rsid w:val="00302521"/>
    <w:rsid w:val="003025D7"/>
    <w:rsid w:val="00310E82"/>
    <w:rsid w:val="003126BC"/>
    <w:rsid w:val="0033397D"/>
    <w:rsid w:val="00335769"/>
    <w:rsid w:val="00340B5E"/>
    <w:rsid w:val="00343AC1"/>
    <w:rsid w:val="003445C9"/>
    <w:rsid w:val="00346BDD"/>
    <w:rsid w:val="00351792"/>
    <w:rsid w:val="00353251"/>
    <w:rsid w:val="00355CF4"/>
    <w:rsid w:val="00361475"/>
    <w:rsid w:val="00362EE3"/>
    <w:rsid w:val="00367AC7"/>
    <w:rsid w:val="003708C4"/>
    <w:rsid w:val="00370CF0"/>
    <w:rsid w:val="003756CA"/>
    <w:rsid w:val="00377D95"/>
    <w:rsid w:val="00386100"/>
    <w:rsid w:val="00394E9B"/>
    <w:rsid w:val="003A5680"/>
    <w:rsid w:val="003B051C"/>
    <w:rsid w:val="003B12B7"/>
    <w:rsid w:val="003B3045"/>
    <w:rsid w:val="003B3072"/>
    <w:rsid w:val="003B58FD"/>
    <w:rsid w:val="003B59D2"/>
    <w:rsid w:val="003C1CDB"/>
    <w:rsid w:val="003C1DFD"/>
    <w:rsid w:val="003C3CC0"/>
    <w:rsid w:val="003D2433"/>
    <w:rsid w:val="003D3171"/>
    <w:rsid w:val="003D42E2"/>
    <w:rsid w:val="003D6521"/>
    <w:rsid w:val="003E321F"/>
    <w:rsid w:val="003E472B"/>
    <w:rsid w:val="003E6CD3"/>
    <w:rsid w:val="003F37BF"/>
    <w:rsid w:val="003F4BAC"/>
    <w:rsid w:val="003F5732"/>
    <w:rsid w:val="004012B7"/>
    <w:rsid w:val="004024FD"/>
    <w:rsid w:val="00402F79"/>
    <w:rsid w:val="00404109"/>
    <w:rsid w:val="004124B2"/>
    <w:rsid w:val="00413306"/>
    <w:rsid w:val="00423C63"/>
    <w:rsid w:val="004307F7"/>
    <w:rsid w:val="00441FF1"/>
    <w:rsid w:val="004453D7"/>
    <w:rsid w:val="00451BA7"/>
    <w:rsid w:val="0045391F"/>
    <w:rsid w:val="00454C35"/>
    <w:rsid w:val="00455462"/>
    <w:rsid w:val="0046475A"/>
    <w:rsid w:val="00472A86"/>
    <w:rsid w:val="004732B4"/>
    <w:rsid w:val="00475D80"/>
    <w:rsid w:val="004761D2"/>
    <w:rsid w:val="0048474F"/>
    <w:rsid w:val="0049319D"/>
    <w:rsid w:val="004959AD"/>
    <w:rsid w:val="00496235"/>
    <w:rsid w:val="00497820"/>
    <w:rsid w:val="004A1789"/>
    <w:rsid w:val="004B4D98"/>
    <w:rsid w:val="004B5B66"/>
    <w:rsid w:val="004B6F67"/>
    <w:rsid w:val="004C50AB"/>
    <w:rsid w:val="004D39EB"/>
    <w:rsid w:val="004E510E"/>
    <w:rsid w:val="004F0B45"/>
    <w:rsid w:val="004F3DFB"/>
    <w:rsid w:val="00504724"/>
    <w:rsid w:val="005053AB"/>
    <w:rsid w:val="0050759A"/>
    <w:rsid w:val="00513448"/>
    <w:rsid w:val="005254B8"/>
    <w:rsid w:val="00526B8C"/>
    <w:rsid w:val="0053612A"/>
    <w:rsid w:val="005520E8"/>
    <w:rsid w:val="00554D45"/>
    <w:rsid w:val="00557206"/>
    <w:rsid w:val="005603B6"/>
    <w:rsid w:val="005662D7"/>
    <w:rsid w:val="00566DC8"/>
    <w:rsid w:val="00580D43"/>
    <w:rsid w:val="00587370"/>
    <w:rsid w:val="0059001D"/>
    <w:rsid w:val="00590A71"/>
    <w:rsid w:val="005A2054"/>
    <w:rsid w:val="005B0C9C"/>
    <w:rsid w:val="005B3BA8"/>
    <w:rsid w:val="005B7249"/>
    <w:rsid w:val="005E0F48"/>
    <w:rsid w:val="005E281B"/>
    <w:rsid w:val="005E3BB5"/>
    <w:rsid w:val="005E712C"/>
    <w:rsid w:val="005E7F2B"/>
    <w:rsid w:val="005F0EE1"/>
    <w:rsid w:val="005F2709"/>
    <w:rsid w:val="005F575C"/>
    <w:rsid w:val="00600348"/>
    <w:rsid w:val="006021B7"/>
    <w:rsid w:val="0061098A"/>
    <w:rsid w:val="006159C5"/>
    <w:rsid w:val="00622517"/>
    <w:rsid w:val="00623436"/>
    <w:rsid w:val="0062402E"/>
    <w:rsid w:val="00633A8E"/>
    <w:rsid w:val="0064199D"/>
    <w:rsid w:val="00651705"/>
    <w:rsid w:val="00653D2B"/>
    <w:rsid w:val="00656F3C"/>
    <w:rsid w:val="00662BEE"/>
    <w:rsid w:val="006635D0"/>
    <w:rsid w:val="006653EC"/>
    <w:rsid w:val="00672C9F"/>
    <w:rsid w:val="00677F28"/>
    <w:rsid w:val="0068193B"/>
    <w:rsid w:val="00682FEC"/>
    <w:rsid w:val="00684CDF"/>
    <w:rsid w:val="00685B9D"/>
    <w:rsid w:val="00690E21"/>
    <w:rsid w:val="006917DE"/>
    <w:rsid w:val="0069224B"/>
    <w:rsid w:val="00693D5D"/>
    <w:rsid w:val="006A2843"/>
    <w:rsid w:val="006A69CF"/>
    <w:rsid w:val="006B2B9F"/>
    <w:rsid w:val="006B67E3"/>
    <w:rsid w:val="006B7DFB"/>
    <w:rsid w:val="006C289A"/>
    <w:rsid w:val="006C412B"/>
    <w:rsid w:val="006C41A5"/>
    <w:rsid w:val="006C5995"/>
    <w:rsid w:val="006D5C01"/>
    <w:rsid w:val="006E1D28"/>
    <w:rsid w:val="006E346C"/>
    <w:rsid w:val="006F1502"/>
    <w:rsid w:val="00703F8E"/>
    <w:rsid w:val="00713E12"/>
    <w:rsid w:val="007144A0"/>
    <w:rsid w:val="00715279"/>
    <w:rsid w:val="007174C0"/>
    <w:rsid w:val="00721A24"/>
    <w:rsid w:val="00724C01"/>
    <w:rsid w:val="00725D15"/>
    <w:rsid w:val="0073305C"/>
    <w:rsid w:val="00740AB8"/>
    <w:rsid w:val="00745FAE"/>
    <w:rsid w:val="00755156"/>
    <w:rsid w:val="007617DE"/>
    <w:rsid w:val="00771A98"/>
    <w:rsid w:val="007735E5"/>
    <w:rsid w:val="007823EB"/>
    <w:rsid w:val="0078514A"/>
    <w:rsid w:val="007869C5"/>
    <w:rsid w:val="007A5FEC"/>
    <w:rsid w:val="007B068A"/>
    <w:rsid w:val="007B57DF"/>
    <w:rsid w:val="007B6F4B"/>
    <w:rsid w:val="007C3695"/>
    <w:rsid w:val="007C590C"/>
    <w:rsid w:val="007C6D8A"/>
    <w:rsid w:val="007D6758"/>
    <w:rsid w:val="008103E0"/>
    <w:rsid w:val="00811536"/>
    <w:rsid w:val="0081530F"/>
    <w:rsid w:val="00816137"/>
    <w:rsid w:val="008175ED"/>
    <w:rsid w:val="00822D71"/>
    <w:rsid w:val="008262C7"/>
    <w:rsid w:val="00827171"/>
    <w:rsid w:val="00834124"/>
    <w:rsid w:val="008376C4"/>
    <w:rsid w:val="008404D5"/>
    <w:rsid w:val="00840FCB"/>
    <w:rsid w:val="00844CD2"/>
    <w:rsid w:val="00846753"/>
    <w:rsid w:val="00852678"/>
    <w:rsid w:val="00856E36"/>
    <w:rsid w:val="008634D1"/>
    <w:rsid w:val="008645E5"/>
    <w:rsid w:val="00865974"/>
    <w:rsid w:val="00870515"/>
    <w:rsid w:val="00871CF2"/>
    <w:rsid w:val="008720FC"/>
    <w:rsid w:val="00876864"/>
    <w:rsid w:val="00883084"/>
    <w:rsid w:val="008870CB"/>
    <w:rsid w:val="00890137"/>
    <w:rsid w:val="00893464"/>
    <w:rsid w:val="008958E6"/>
    <w:rsid w:val="00895FD5"/>
    <w:rsid w:val="00897E37"/>
    <w:rsid w:val="008A11D7"/>
    <w:rsid w:val="008A1A6E"/>
    <w:rsid w:val="008A2B22"/>
    <w:rsid w:val="008A6635"/>
    <w:rsid w:val="008B1D9A"/>
    <w:rsid w:val="008B7284"/>
    <w:rsid w:val="008C2618"/>
    <w:rsid w:val="008C6079"/>
    <w:rsid w:val="008C6A34"/>
    <w:rsid w:val="008D0BE1"/>
    <w:rsid w:val="008D3759"/>
    <w:rsid w:val="008D6420"/>
    <w:rsid w:val="008D6EB5"/>
    <w:rsid w:val="008D7709"/>
    <w:rsid w:val="008E110A"/>
    <w:rsid w:val="008E5AE4"/>
    <w:rsid w:val="008E7F17"/>
    <w:rsid w:val="008F0D85"/>
    <w:rsid w:val="00900CFF"/>
    <w:rsid w:val="00903633"/>
    <w:rsid w:val="00903811"/>
    <w:rsid w:val="009046C3"/>
    <w:rsid w:val="00904C24"/>
    <w:rsid w:val="00906131"/>
    <w:rsid w:val="00917BBE"/>
    <w:rsid w:val="009270F6"/>
    <w:rsid w:val="009277E1"/>
    <w:rsid w:val="009304BB"/>
    <w:rsid w:val="00935E44"/>
    <w:rsid w:val="00937D94"/>
    <w:rsid w:val="00945B76"/>
    <w:rsid w:val="00947A5D"/>
    <w:rsid w:val="0095052D"/>
    <w:rsid w:val="009513C7"/>
    <w:rsid w:val="00953CC5"/>
    <w:rsid w:val="00953F09"/>
    <w:rsid w:val="009617F8"/>
    <w:rsid w:val="00966322"/>
    <w:rsid w:val="0097614F"/>
    <w:rsid w:val="00990440"/>
    <w:rsid w:val="00991005"/>
    <w:rsid w:val="00991462"/>
    <w:rsid w:val="009916E0"/>
    <w:rsid w:val="00992B84"/>
    <w:rsid w:val="009940BB"/>
    <w:rsid w:val="00994499"/>
    <w:rsid w:val="009947DF"/>
    <w:rsid w:val="00996C26"/>
    <w:rsid w:val="009B019F"/>
    <w:rsid w:val="009B18A0"/>
    <w:rsid w:val="009B57A6"/>
    <w:rsid w:val="009B6FDF"/>
    <w:rsid w:val="009C1336"/>
    <w:rsid w:val="009C2F04"/>
    <w:rsid w:val="009C4775"/>
    <w:rsid w:val="009D252F"/>
    <w:rsid w:val="009D2991"/>
    <w:rsid w:val="009D38CC"/>
    <w:rsid w:val="009E1AC2"/>
    <w:rsid w:val="009E5DF4"/>
    <w:rsid w:val="009F3F9F"/>
    <w:rsid w:val="00A06EE4"/>
    <w:rsid w:val="00A119BD"/>
    <w:rsid w:val="00A11BC1"/>
    <w:rsid w:val="00A16C96"/>
    <w:rsid w:val="00A21080"/>
    <w:rsid w:val="00A22DBB"/>
    <w:rsid w:val="00A24932"/>
    <w:rsid w:val="00A26D92"/>
    <w:rsid w:val="00A35FC7"/>
    <w:rsid w:val="00A36D59"/>
    <w:rsid w:val="00A374ED"/>
    <w:rsid w:val="00A46052"/>
    <w:rsid w:val="00A475CE"/>
    <w:rsid w:val="00A50AAE"/>
    <w:rsid w:val="00A51E91"/>
    <w:rsid w:val="00A53626"/>
    <w:rsid w:val="00A54B2B"/>
    <w:rsid w:val="00A54EE6"/>
    <w:rsid w:val="00A56548"/>
    <w:rsid w:val="00A63648"/>
    <w:rsid w:val="00A642C2"/>
    <w:rsid w:val="00A751C5"/>
    <w:rsid w:val="00A81444"/>
    <w:rsid w:val="00A81AF2"/>
    <w:rsid w:val="00A83D77"/>
    <w:rsid w:val="00A86633"/>
    <w:rsid w:val="00A86E6F"/>
    <w:rsid w:val="00A870A4"/>
    <w:rsid w:val="00A931AB"/>
    <w:rsid w:val="00A96BFD"/>
    <w:rsid w:val="00AA2B33"/>
    <w:rsid w:val="00AA4279"/>
    <w:rsid w:val="00AA52B5"/>
    <w:rsid w:val="00AA64D9"/>
    <w:rsid w:val="00AB0102"/>
    <w:rsid w:val="00AB0AEB"/>
    <w:rsid w:val="00AB0E30"/>
    <w:rsid w:val="00AB1DFC"/>
    <w:rsid w:val="00AB2FC3"/>
    <w:rsid w:val="00AB65E2"/>
    <w:rsid w:val="00AB6DC0"/>
    <w:rsid w:val="00AC333A"/>
    <w:rsid w:val="00AC7262"/>
    <w:rsid w:val="00AD007D"/>
    <w:rsid w:val="00AD03AD"/>
    <w:rsid w:val="00AD0F2B"/>
    <w:rsid w:val="00AD4B78"/>
    <w:rsid w:val="00AD6595"/>
    <w:rsid w:val="00AE0F0C"/>
    <w:rsid w:val="00AE19C1"/>
    <w:rsid w:val="00AE7712"/>
    <w:rsid w:val="00AF1C63"/>
    <w:rsid w:val="00B12C8E"/>
    <w:rsid w:val="00B12DA6"/>
    <w:rsid w:val="00B20583"/>
    <w:rsid w:val="00B23D75"/>
    <w:rsid w:val="00B242F3"/>
    <w:rsid w:val="00B25597"/>
    <w:rsid w:val="00B27E7A"/>
    <w:rsid w:val="00B34E5E"/>
    <w:rsid w:val="00B37C0E"/>
    <w:rsid w:val="00B4215F"/>
    <w:rsid w:val="00B4292B"/>
    <w:rsid w:val="00B52E22"/>
    <w:rsid w:val="00B53926"/>
    <w:rsid w:val="00B5507A"/>
    <w:rsid w:val="00B55971"/>
    <w:rsid w:val="00B61A8B"/>
    <w:rsid w:val="00B66A1F"/>
    <w:rsid w:val="00B67B56"/>
    <w:rsid w:val="00B713BD"/>
    <w:rsid w:val="00B74D06"/>
    <w:rsid w:val="00B75B0B"/>
    <w:rsid w:val="00B823D3"/>
    <w:rsid w:val="00B8305E"/>
    <w:rsid w:val="00B932DB"/>
    <w:rsid w:val="00B961AD"/>
    <w:rsid w:val="00B968F3"/>
    <w:rsid w:val="00B97DE2"/>
    <w:rsid w:val="00BA1DA4"/>
    <w:rsid w:val="00BA384E"/>
    <w:rsid w:val="00BB1C8F"/>
    <w:rsid w:val="00BB40C4"/>
    <w:rsid w:val="00BB6712"/>
    <w:rsid w:val="00BC2740"/>
    <w:rsid w:val="00BC3CDC"/>
    <w:rsid w:val="00BC5C51"/>
    <w:rsid w:val="00BC647F"/>
    <w:rsid w:val="00BD1030"/>
    <w:rsid w:val="00BD1C24"/>
    <w:rsid w:val="00BD79C7"/>
    <w:rsid w:val="00BE17D9"/>
    <w:rsid w:val="00BE1AA2"/>
    <w:rsid w:val="00BE292E"/>
    <w:rsid w:val="00BE4772"/>
    <w:rsid w:val="00C03DF7"/>
    <w:rsid w:val="00C10928"/>
    <w:rsid w:val="00C14430"/>
    <w:rsid w:val="00C22BA9"/>
    <w:rsid w:val="00C244FB"/>
    <w:rsid w:val="00C24DE0"/>
    <w:rsid w:val="00C27333"/>
    <w:rsid w:val="00C4119B"/>
    <w:rsid w:val="00C44BB8"/>
    <w:rsid w:val="00C63145"/>
    <w:rsid w:val="00C66FF4"/>
    <w:rsid w:val="00C6700E"/>
    <w:rsid w:val="00C8386B"/>
    <w:rsid w:val="00C8652A"/>
    <w:rsid w:val="00C87B7C"/>
    <w:rsid w:val="00C911E2"/>
    <w:rsid w:val="00C9354F"/>
    <w:rsid w:val="00C94CE5"/>
    <w:rsid w:val="00CA6068"/>
    <w:rsid w:val="00CB0B50"/>
    <w:rsid w:val="00CB586C"/>
    <w:rsid w:val="00CD1884"/>
    <w:rsid w:val="00CD4425"/>
    <w:rsid w:val="00CD5A8D"/>
    <w:rsid w:val="00CE13E3"/>
    <w:rsid w:val="00CE3B7B"/>
    <w:rsid w:val="00CE4F11"/>
    <w:rsid w:val="00CF05E5"/>
    <w:rsid w:val="00CF4608"/>
    <w:rsid w:val="00CF754B"/>
    <w:rsid w:val="00D027F8"/>
    <w:rsid w:val="00D11191"/>
    <w:rsid w:val="00D1291D"/>
    <w:rsid w:val="00D204C5"/>
    <w:rsid w:val="00D21311"/>
    <w:rsid w:val="00D32E86"/>
    <w:rsid w:val="00D36BBB"/>
    <w:rsid w:val="00D41B9E"/>
    <w:rsid w:val="00D4355A"/>
    <w:rsid w:val="00D44171"/>
    <w:rsid w:val="00D50955"/>
    <w:rsid w:val="00D52641"/>
    <w:rsid w:val="00D53CEF"/>
    <w:rsid w:val="00D56A25"/>
    <w:rsid w:val="00D60117"/>
    <w:rsid w:val="00D60FE3"/>
    <w:rsid w:val="00D63F75"/>
    <w:rsid w:val="00D721FD"/>
    <w:rsid w:val="00D75F9C"/>
    <w:rsid w:val="00D809C7"/>
    <w:rsid w:val="00D80D28"/>
    <w:rsid w:val="00D908D2"/>
    <w:rsid w:val="00D9098B"/>
    <w:rsid w:val="00D9714F"/>
    <w:rsid w:val="00DA2425"/>
    <w:rsid w:val="00DA5A8D"/>
    <w:rsid w:val="00DB3A7D"/>
    <w:rsid w:val="00DB5D3D"/>
    <w:rsid w:val="00DC064A"/>
    <w:rsid w:val="00DC1F40"/>
    <w:rsid w:val="00DC4760"/>
    <w:rsid w:val="00DC4F91"/>
    <w:rsid w:val="00DC6642"/>
    <w:rsid w:val="00DD5BAF"/>
    <w:rsid w:val="00DE1AE1"/>
    <w:rsid w:val="00DE448A"/>
    <w:rsid w:val="00DE4E39"/>
    <w:rsid w:val="00DF0AF7"/>
    <w:rsid w:val="00DF1893"/>
    <w:rsid w:val="00DF3F1C"/>
    <w:rsid w:val="00DF7E01"/>
    <w:rsid w:val="00E0371E"/>
    <w:rsid w:val="00E037F3"/>
    <w:rsid w:val="00E165CC"/>
    <w:rsid w:val="00E16E78"/>
    <w:rsid w:val="00E17BAF"/>
    <w:rsid w:val="00E24604"/>
    <w:rsid w:val="00E27141"/>
    <w:rsid w:val="00E3016B"/>
    <w:rsid w:val="00E30BB2"/>
    <w:rsid w:val="00E3762B"/>
    <w:rsid w:val="00E47A62"/>
    <w:rsid w:val="00E50E70"/>
    <w:rsid w:val="00E52E19"/>
    <w:rsid w:val="00E55F7C"/>
    <w:rsid w:val="00E575A3"/>
    <w:rsid w:val="00E70E4A"/>
    <w:rsid w:val="00E8150D"/>
    <w:rsid w:val="00E85215"/>
    <w:rsid w:val="00E90153"/>
    <w:rsid w:val="00E95457"/>
    <w:rsid w:val="00EA06F1"/>
    <w:rsid w:val="00EA6030"/>
    <w:rsid w:val="00EB5AC9"/>
    <w:rsid w:val="00EC21CB"/>
    <w:rsid w:val="00EC5B9F"/>
    <w:rsid w:val="00ED1579"/>
    <w:rsid w:val="00ED5820"/>
    <w:rsid w:val="00ED5E9C"/>
    <w:rsid w:val="00EE3EC8"/>
    <w:rsid w:val="00EE59CB"/>
    <w:rsid w:val="00EF1D47"/>
    <w:rsid w:val="00F00A4E"/>
    <w:rsid w:val="00F011E7"/>
    <w:rsid w:val="00F03367"/>
    <w:rsid w:val="00F06643"/>
    <w:rsid w:val="00F10AE2"/>
    <w:rsid w:val="00F137DC"/>
    <w:rsid w:val="00F25643"/>
    <w:rsid w:val="00F31A72"/>
    <w:rsid w:val="00F33A2E"/>
    <w:rsid w:val="00F35322"/>
    <w:rsid w:val="00F41B56"/>
    <w:rsid w:val="00F41C36"/>
    <w:rsid w:val="00F454CF"/>
    <w:rsid w:val="00F478A4"/>
    <w:rsid w:val="00F516C6"/>
    <w:rsid w:val="00F5577B"/>
    <w:rsid w:val="00F606F4"/>
    <w:rsid w:val="00F614E9"/>
    <w:rsid w:val="00F71ACE"/>
    <w:rsid w:val="00F7755D"/>
    <w:rsid w:val="00F81CCB"/>
    <w:rsid w:val="00F966A4"/>
    <w:rsid w:val="00F96C0B"/>
    <w:rsid w:val="00FA2D04"/>
    <w:rsid w:val="00FA2FB0"/>
    <w:rsid w:val="00FA2FC8"/>
    <w:rsid w:val="00FA5B59"/>
    <w:rsid w:val="00FA7069"/>
    <w:rsid w:val="00FB088D"/>
    <w:rsid w:val="00FB5442"/>
    <w:rsid w:val="00FB6AB3"/>
    <w:rsid w:val="00FB7C83"/>
    <w:rsid w:val="00FC0BA7"/>
    <w:rsid w:val="00FD4162"/>
    <w:rsid w:val="00FD5BA7"/>
    <w:rsid w:val="00FF20F0"/>
    <w:rsid w:val="00FF247E"/>
    <w:rsid w:val="02326579"/>
    <w:rsid w:val="02DF0F23"/>
    <w:rsid w:val="04DD1F49"/>
    <w:rsid w:val="0B2C0CCE"/>
    <w:rsid w:val="0B78652C"/>
    <w:rsid w:val="0E9F4DF0"/>
    <w:rsid w:val="16876EFC"/>
    <w:rsid w:val="1DE83A08"/>
    <w:rsid w:val="2391528B"/>
    <w:rsid w:val="2CD13423"/>
    <w:rsid w:val="33D45189"/>
    <w:rsid w:val="3E872422"/>
    <w:rsid w:val="4B8907FD"/>
    <w:rsid w:val="4D4C3E07"/>
    <w:rsid w:val="513C4997"/>
    <w:rsid w:val="52622155"/>
    <w:rsid w:val="57FE576E"/>
    <w:rsid w:val="624E4309"/>
    <w:rsid w:val="65B20CFC"/>
    <w:rsid w:val="70E734B5"/>
    <w:rsid w:val="7B275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A7866"/>
  <w15:docId w15:val="{F7329B22-2ABD-4BF9-BDA5-5439DE81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a">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Emphasis"/>
    <w:basedOn w:val="a0"/>
    <w:uiPriority w:val="20"/>
    <w:qFormat/>
    <w:rPr>
      <w:i/>
    </w:rPr>
  </w:style>
  <w:style w:type="character" w:styleId="ae">
    <w:name w:val="line number"/>
    <w:basedOn w:val="a0"/>
    <w:uiPriority w:val="99"/>
    <w:semiHidden/>
    <w:unhideWhenUsed/>
    <w:qFormat/>
  </w:style>
  <w:style w:type="character" w:styleId="af">
    <w:name w:val="Hyperlink"/>
    <w:basedOn w:val="a0"/>
    <w:uiPriority w:val="99"/>
    <w:unhideWhenUsed/>
    <w:qFormat/>
    <w:rPr>
      <w:color w:val="0563C1" w:themeColor="hyperlink"/>
      <w:u w:val="single"/>
    </w:rPr>
  </w:style>
  <w:style w:type="character" w:styleId="af0">
    <w:name w:val="annotation reference"/>
    <w:qFormat/>
    <w:rPr>
      <w:sz w:val="21"/>
      <w:szCs w:val="21"/>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a0"/>
    <w:qFormat/>
    <w:rPr>
      <w:rFonts w:ascii="AdvTTa9c1b374" w:hAnsi="AdvTTa9c1b374" w:hint="default"/>
      <w:color w:val="231F20"/>
      <w:sz w:val="10"/>
      <w:szCs w:val="10"/>
    </w:rPr>
  </w:style>
  <w:style w:type="character" w:customStyle="1" w:styleId="fontstyle21">
    <w:name w:val="fontstyle21"/>
    <w:basedOn w:val="a0"/>
    <w:qFormat/>
    <w:rPr>
      <w:rFonts w:ascii="AdvP80675" w:hAnsi="AdvP80675" w:hint="default"/>
      <w:color w:val="231F20"/>
      <w:sz w:val="16"/>
      <w:szCs w:val="16"/>
    </w:rPr>
  </w:style>
  <w:style w:type="character" w:customStyle="1" w:styleId="HTML0">
    <w:name w:val="HTML 预设格式 字符"/>
    <w:basedOn w:val="a0"/>
    <w:link w:val="HTML"/>
    <w:qFormat/>
    <w:rPr>
      <w:rFonts w:ascii="宋体" w:eastAsia="宋体" w:hAnsi="宋体" w:cs="宋体"/>
      <w:kern w:val="0"/>
      <w:sz w:val="24"/>
      <w:szCs w:val="24"/>
    </w:rPr>
  </w:style>
  <w:style w:type="character" w:customStyle="1" w:styleId="a5">
    <w:name w:val="批注框文本 字符"/>
    <w:basedOn w:val="a0"/>
    <w:link w:val="a4"/>
    <w:uiPriority w:val="99"/>
    <w:semiHidden/>
    <w:qFormat/>
    <w:rPr>
      <w:sz w:val="18"/>
      <w:szCs w:val="18"/>
    </w:rPr>
  </w:style>
  <w:style w:type="paragraph" w:styleId="af1">
    <w:name w:val="List Paragraph"/>
    <w:basedOn w:val="a"/>
    <w:uiPriority w:val="34"/>
    <w:qFormat/>
    <w:pPr>
      <w:ind w:firstLineChars="200" w:firstLine="420"/>
    </w:pPr>
  </w:style>
  <w:style w:type="paragraph" w:customStyle="1" w:styleId="BATitle">
    <w:name w:val="BA_Title"/>
    <w:basedOn w:val="a"/>
    <w:next w:val="a"/>
    <w:qFormat/>
    <w:pPr>
      <w:widowControl/>
      <w:spacing w:before="720" w:after="360" w:line="480" w:lineRule="auto"/>
      <w:jc w:val="center"/>
    </w:pPr>
    <w:rPr>
      <w:rFonts w:ascii="Times New Roman" w:hAnsi="Times New Roman" w:cs="Times New Roman"/>
      <w:kern w:val="0"/>
      <w:sz w:val="44"/>
      <w:szCs w:val="20"/>
      <w:lang w:eastAsia="en-US"/>
    </w:rPr>
  </w:style>
  <w:style w:type="character" w:customStyle="1" w:styleId="10">
    <w:name w:val="未处理的提及1"/>
    <w:basedOn w:val="a0"/>
    <w:uiPriority w:val="99"/>
    <w:semiHidden/>
    <w:unhideWhenUsed/>
    <w:rPr>
      <w:color w:val="605E5C"/>
      <w:shd w:val="clear" w:color="auto" w:fill="E1DFDD"/>
    </w:rPr>
  </w:style>
  <w:style w:type="paragraph" w:customStyle="1" w:styleId="11">
    <w:name w:val="修订1"/>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entrez/viewer.fcgi?db=nucleotide&amp;id=268607670" TargetMode="External"/><Relationship Id="rId13" Type="http://schemas.openxmlformats.org/officeDocument/2006/relationships/image" Target="media/image3.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bi.nlm.nih.gov/entrez/viewer.fcgi?db=nucleotide&amp;id=227430404" TargetMode="Externa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7AD4E-A248-43BA-A409-8D8F7073C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1122</Words>
  <Characters>6749</Characters>
  <Application>Microsoft Office Word</Application>
  <DocSecurity>0</DocSecurity>
  <Lines>198</Lines>
  <Paragraphs>131</Paragraphs>
  <ScaleCrop>false</ScaleCrop>
  <Company>Hewlett-Packard Company</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dc:creator>
  <cp:lastModifiedBy>8615622180179</cp:lastModifiedBy>
  <cp:revision>8</cp:revision>
  <cp:lastPrinted>2021-12-11T12:43:00Z</cp:lastPrinted>
  <dcterms:created xsi:type="dcterms:W3CDTF">2026-01-23T10:33:00Z</dcterms:created>
  <dcterms:modified xsi:type="dcterms:W3CDTF">2026-02-24T14:37:00Z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1B748FF0396940658A7F49D2B7316FC6_13</vt:lpwstr>
  </property>
  <property fmtid="{D5CDD505-2E9C-101B-9397-08002B2CF9AE}" pid="4" name="KSOTemplateDocerSaveRecord">
    <vt:lpwstr>eyJoZGlkIjoiYWE3ZDhlMWJlNTBmYjNjOWE3MzQwZDU2Nzc0NGMwOWIiLCJ1c2VySWQiOiIyMjU5Njk0NDQifQ==</vt:lpwstr>
  </property>
</Properties>
</file>