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844" w:rsidRDefault="00BE4844" w:rsidP="00BE4844">
      <w:pPr>
        <w:jc w:val="center"/>
        <w:rPr>
          <w:rFonts w:eastAsiaTheme="minorEastAsia"/>
          <w:b/>
          <w:lang w:eastAsia="zh"/>
        </w:rPr>
      </w:pPr>
      <w:r>
        <w:rPr>
          <w:rFonts w:eastAsiaTheme="minorEastAsia"/>
          <w:noProof/>
        </w:rPr>
        <w:drawing>
          <wp:inline distT="0" distB="0" distL="0" distR="0" wp14:anchorId="35E0ED8C" wp14:editId="1105EAB4">
            <wp:extent cx="4663440" cy="4663440"/>
            <wp:effectExtent l="0" t="0" r="381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3818" cy="466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40A" w:rsidRDefault="00BE4844" w:rsidP="00BE4844">
      <w:pPr>
        <w:jc w:val="center"/>
        <w:rPr>
          <w:rFonts w:eastAsiaTheme="minorEastAsia"/>
          <w:lang w:eastAsia="zh"/>
        </w:rPr>
      </w:pPr>
      <w:r w:rsidRPr="00BE4844">
        <w:rPr>
          <w:rFonts w:eastAsiaTheme="minorEastAsia"/>
          <w:b/>
          <w:lang w:eastAsia="zh"/>
        </w:rPr>
        <w:t>Fig. S1.</w:t>
      </w:r>
      <w:r>
        <w:rPr>
          <w:rFonts w:eastAsiaTheme="minorEastAsia"/>
          <w:lang w:eastAsia="zh"/>
        </w:rPr>
        <w:t xml:space="preserve"> </w:t>
      </w:r>
      <w:r w:rsidR="002A138D">
        <w:rPr>
          <w:rFonts w:eastAsiaTheme="minorEastAsia"/>
          <w:lang w:eastAsia="zh"/>
        </w:rPr>
        <w:t>T</w:t>
      </w:r>
      <w:r w:rsidR="002A138D">
        <w:rPr>
          <w:rFonts w:eastAsiaTheme="minorEastAsia" w:hint="eastAsia"/>
          <w:lang w:eastAsia="zh"/>
        </w:rPr>
        <w:t xml:space="preserve">he </w:t>
      </w:r>
      <w:r w:rsidR="002A138D">
        <w:rPr>
          <w:rFonts w:eastAsiaTheme="minorEastAsia"/>
          <w:lang w:eastAsia="zh"/>
        </w:rPr>
        <w:t>Person’s correlation of gene expression levels.</w:t>
      </w:r>
    </w:p>
    <w:p w:rsidR="00BE4844" w:rsidRDefault="00BE4844" w:rsidP="00BE4844">
      <w:pPr>
        <w:jc w:val="center"/>
        <w:rPr>
          <w:rFonts w:eastAsiaTheme="minorEastAsia"/>
          <w:lang w:eastAsia="zh"/>
        </w:rPr>
      </w:pPr>
    </w:p>
    <w:p w:rsidR="00B2740A" w:rsidRDefault="00B2740A">
      <w:pPr>
        <w:jc w:val="center"/>
        <w:rPr>
          <w:rFonts w:eastAsiaTheme="minorEastAsia"/>
          <w:lang w:eastAsia="zh"/>
        </w:rPr>
      </w:pPr>
    </w:p>
    <w:p w:rsidR="00B2740A" w:rsidRDefault="002A138D">
      <w:pPr>
        <w:autoSpaceDE w:val="0"/>
        <w:autoSpaceDN w:val="0"/>
        <w:adjustRightInd w:val="0"/>
        <w:spacing w:line="240" w:lineRule="auto"/>
        <w:jc w:val="left"/>
        <w:rPr>
          <w:rFonts w:eastAsiaTheme="minorEastAsia"/>
          <w:b/>
          <w:bCs/>
          <w:kern w:val="44"/>
          <w:szCs w:val="44"/>
        </w:rPr>
      </w:pPr>
      <w:bookmarkStart w:id="0" w:name="OLE_LINK14"/>
      <w:r>
        <w:rPr>
          <w:rFonts w:eastAsiaTheme="minorEastAsia"/>
          <w:noProof/>
        </w:rPr>
        <w:lastRenderedPageBreak/>
        <w:drawing>
          <wp:inline distT="0" distB="0" distL="0" distR="0">
            <wp:extent cx="6114415" cy="2981325"/>
            <wp:effectExtent l="0" t="0" r="635" b="952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7"/>
                    <a:srcRect t="21212" b="41957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9818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E4844" w:rsidRDefault="00BE4844" w:rsidP="00BE4844">
      <w:pPr>
        <w:rPr>
          <w:rFonts w:eastAsiaTheme="minorEastAsia"/>
        </w:rPr>
      </w:pPr>
      <w:r w:rsidRPr="00BE4844">
        <w:rPr>
          <w:rFonts w:eastAsiaTheme="minorEastAsia"/>
          <w:b/>
          <w:lang w:eastAsia="zh"/>
        </w:rPr>
        <w:t>Fig. S</w:t>
      </w:r>
      <w:r>
        <w:rPr>
          <w:rFonts w:eastAsiaTheme="minorEastAsia"/>
          <w:b/>
          <w:lang w:eastAsia="zh"/>
        </w:rPr>
        <w:t>2</w:t>
      </w:r>
      <w:r w:rsidRPr="00BE4844">
        <w:rPr>
          <w:rFonts w:eastAsiaTheme="minorEastAsia"/>
          <w:b/>
          <w:lang w:eastAsia="zh"/>
        </w:rPr>
        <w:t>.</w:t>
      </w:r>
      <w:r>
        <w:rPr>
          <w:rFonts w:eastAsiaTheme="minorEastAsia"/>
          <w:b/>
          <w:lang w:eastAsia="zh"/>
        </w:rPr>
        <w:t xml:space="preserve"> </w:t>
      </w:r>
      <w:r>
        <w:t xml:space="preserve">The fold change result of Landrace and Yorkshire eGenes. a. </w:t>
      </w:r>
      <w:r>
        <w:rPr>
          <w:rFonts w:eastAsiaTheme="minorEastAsia"/>
        </w:rPr>
        <w:t xml:space="preserve">The fold change result of Landrace-shared eGenes and </w:t>
      </w:r>
      <w:r w:rsidR="0099317E">
        <w:rPr>
          <w:rFonts w:eastAsiaTheme="minorEastAsia"/>
        </w:rPr>
        <w:t>L</w:t>
      </w:r>
      <w:r w:rsidR="0099317E">
        <w:rPr>
          <w:rFonts w:eastAsiaTheme="minorEastAsia" w:hint="eastAsia"/>
        </w:rPr>
        <w:t>andrace</w:t>
      </w:r>
      <w:r>
        <w:rPr>
          <w:rFonts w:eastAsiaTheme="minorEastAsia"/>
        </w:rPr>
        <w:t xml:space="preserve">-specific eGenes. </w:t>
      </w:r>
      <w:r>
        <w:rPr>
          <w:rFonts w:hint="eastAsia"/>
        </w:rPr>
        <w:t>b</w:t>
      </w:r>
      <w:r>
        <w:t xml:space="preserve">. </w:t>
      </w:r>
      <w:r>
        <w:rPr>
          <w:rFonts w:eastAsiaTheme="minorEastAsia"/>
        </w:rPr>
        <w:t xml:space="preserve">The fold change result of Yorkshire-shared eGenes and </w:t>
      </w:r>
      <w:r w:rsidR="0099317E">
        <w:rPr>
          <w:rFonts w:eastAsiaTheme="minorEastAsia"/>
        </w:rPr>
        <w:t>Yorkshire</w:t>
      </w:r>
      <w:r>
        <w:rPr>
          <w:rFonts w:eastAsiaTheme="minorEastAsia"/>
        </w:rPr>
        <w:t>-specific eGenes. (removed outliers, significance test was performed using Mann-Whitney-Wilcoxon te</w:t>
      </w:r>
      <w:bookmarkStart w:id="1" w:name="_GoBack"/>
      <w:bookmarkEnd w:id="1"/>
      <w:r>
        <w:rPr>
          <w:rFonts w:eastAsiaTheme="minorEastAsia"/>
        </w:rPr>
        <w:t>st,</w:t>
      </w:r>
      <w:r>
        <w:rPr>
          <w:rFonts w:eastAsiaTheme="minorEastAsia" w:cstheme="majorBidi"/>
        </w:rPr>
        <w:t xml:space="preserve"> </w:t>
      </w:r>
      <w:r>
        <w:t>“</w:t>
      </w:r>
      <w:r>
        <w:rPr>
          <w:rFonts w:ascii="Cambria Math" w:hAnsi="Cambria Math" w:cs="Cambria Math"/>
        </w:rPr>
        <w:t>∗</w:t>
      </w:r>
      <w:r>
        <w:t xml:space="preserve">” indicates </w:t>
      </w:r>
      <w:r>
        <w:rPr>
          <w:i/>
        </w:rPr>
        <w:t>P</w:t>
      </w:r>
      <w:r>
        <w:t>&lt; 0.05; “</w:t>
      </w:r>
      <w:r>
        <w:rPr>
          <w:rFonts w:ascii="Cambria Math" w:hAnsi="Cambria Math" w:cs="Cambria Math"/>
        </w:rPr>
        <w:t>∗∗</w:t>
      </w:r>
      <w:r>
        <w:t xml:space="preserve">” indicates </w:t>
      </w:r>
      <w:r>
        <w:rPr>
          <w:i/>
        </w:rPr>
        <w:t>P</w:t>
      </w:r>
      <w:r>
        <w:t>&lt; 0.01; and “</w:t>
      </w:r>
      <w:r>
        <w:rPr>
          <w:rFonts w:ascii="Cambria Math" w:hAnsi="Cambria Math" w:cs="Cambria Math"/>
        </w:rPr>
        <w:t>∗∗∗</w:t>
      </w:r>
      <w:r>
        <w:t xml:space="preserve">” indicates </w:t>
      </w:r>
      <w:r>
        <w:rPr>
          <w:i/>
        </w:rPr>
        <w:t>P</w:t>
      </w:r>
      <w:r>
        <w:t>&lt; 0.001</w:t>
      </w:r>
      <w:r>
        <w:rPr>
          <w:rFonts w:eastAsiaTheme="minorEastAsia"/>
        </w:rPr>
        <w:t xml:space="preserve">) </w:t>
      </w:r>
    </w:p>
    <w:p w:rsidR="00BE4844" w:rsidRDefault="00BE4844" w:rsidP="00BE4844">
      <w:pPr>
        <w:rPr>
          <w:rFonts w:eastAsiaTheme="minorEastAsia"/>
        </w:rPr>
      </w:pPr>
    </w:p>
    <w:p w:rsidR="00BE4844" w:rsidRDefault="00BE4844" w:rsidP="00BE4844">
      <w:pPr>
        <w:rPr>
          <w:rFonts w:eastAsiaTheme="minorEastAsia"/>
        </w:rPr>
      </w:pPr>
    </w:p>
    <w:p w:rsidR="00BE4844" w:rsidRPr="00BE4844" w:rsidRDefault="00BE4844" w:rsidP="00BE4844">
      <w:pPr>
        <w:rPr>
          <w:rFonts w:eastAsiaTheme="minorEastAsia"/>
        </w:rPr>
      </w:pPr>
    </w:p>
    <w:p w:rsidR="00B2740A" w:rsidRDefault="002A138D">
      <w:pPr>
        <w:pStyle w:val="2"/>
        <w:jc w:val="center"/>
        <w:rPr>
          <w:rFonts w:eastAsiaTheme="minorEastAsia"/>
          <w:b w:val="0"/>
        </w:rPr>
      </w:pPr>
      <w:r>
        <w:rPr>
          <w:rFonts w:eastAsiaTheme="minorEastAsia"/>
          <w:b w:val="0"/>
          <w:noProof/>
        </w:rPr>
        <w:lastRenderedPageBreak/>
        <w:drawing>
          <wp:inline distT="0" distB="0" distL="0" distR="0">
            <wp:extent cx="6118860" cy="2159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215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844" w:rsidRPr="00BE4844" w:rsidRDefault="00BE4844" w:rsidP="00BE4844">
      <w:pPr>
        <w:rPr>
          <w:rFonts w:eastAsiaTheme="minorEastAsia"/>
        </w:rPr>
      </w:pPr>
      <w:bookmarkStart w:id="2" w:name="_Hlk218430001"/>
      <w:r w:rsidRPr="00BE4844">
        <w:rPr>
          <w:rFonts w:eastAsiaTheme="minorEastAsia"/>
          <w:b/>
          <w:lang w:eastAsia="zh"/>
        </w:rPr>
        <w:t>Fig. S</w:t>
      </w:r>
      <w:r>
        <w:rPr>
          <w:rFonts w:eastAsiaTheme="minorEastAsia"/>
          <w:b/>
          <w:lang w:eastAsia="zh"/>
        </w:rPr>
        <w:t>3</w:t>
      </w:r>
      <w:r w:rsidRPr="00BE4844">
        <w:rPr>
          <w:rFonts w:eastAsiaTheme="minorEastAsia"/>
          <w:b/>
          <w:lang w:eastAsia="zh"/>
        </w:rPr>
        <w:t>.</w:t>
      </w:r>
      <w:r>
        <w:rPr>
          <w:rFonts w:eastAsiaTheme="minorEastAsia"/>
          <w:b/>
          <w:lang w:eastAsia="zh"/>
        </w:rPr>
        <w:t xml:space="preserve"> </w:t>
      </w:r>
      <w:r>
        <w:t xml:space="preserve">Pairwise sharing of </w:t>
      </w:r>
      <w:r>
        <w:rPr>
          <w:i/>
        </w:rPr>
        <w:t>cis</w:t>
      </w:r>
      <w:r>
        <w:t xml:space="preserve">-eQTL effects for breed-shared eGenes across three pig breeds. Sharing proportions were estimated using </w:t>
      </w:r>
      <w:r>
        <w:rPr>
          <w:rFonts w:hint="eastAsia"/>
        </w:rPr>
        <w:t>mashr</w:t>
      </w:r>
      <w:r>
        <w:t xml:space="preserve">. “Sign + magnitude (within 2×)” refers to effects with the same direction and effect sizes within a twofold difference. “Sign + magnitude (within 4×)” refers to effects with the same direction and effect sizes within a fourfold difference. “Sign-only” refers to the direction concordance alone. </w:t>
      </w:r>
      <w:bookmarkEnd w:id="2"/>
    </w:p>
    <w:p w:rsidR="00B2740A" w:rsidRDefault="002A138D">
      <w:pPr>
        <w:jc w:val="center"/>
        <w:rPr>
          <w:rFonts w:eastAsiaTheme="minorEastAsia"/>
        </w:rPr>
      </w:pPr>
      <w:bookmarkStart w:id="3" w:name="_Hlk218019267"/>
      <w:r>
        <w:rPr>
          <w:rFonts w:ascii="Helvetica" w:hAnsi="Helvetica" w:cs="Helvetica"/>
          <w:bCs/>
          <w:noProof/>
          <w:color w:val="222222"/>
          <w:spacing w:val="2"/>
        </w:rPr>
        <w:drawing>
          <wp:inline distT="0" distB="0" distL="0" distR="0">
            <wp:extent cx="2523490" cy="252349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3744" cy="252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 w:rsidR="00BE4844" w:rsidRDefault="00BE4844" w:rsidP="00BE4844">
      <w:r w:rsidRPr="00BE4844">
        <w:rPr>
          <w:rFonts w:eastAsiaTheme="minorEastAsia"/>
          <w:b/>
          <w:lang w:eastAsia="zh"/>
        </w:rPr>
        <w:t>Fig. S</w:t>
      </w:r>
      <w:r>
        <w:rPr>
          <w:rFonts w:eastAsiaTheme="minorEastAsia"/>
          <w:b/>
          <w:lang w:eastAsia="zh"/>
        </w:rPr>
        <w:t>4</w:t>
      </w:r>
      <w:r w:rsidRPr="00BE4844">
        <w:rPr>
          <w:rFonts w:eastAsiaTheme="minorEastAsia"/>
          <w:b/>
          <w:lang w:eastAsia="zh"/>
        </w:rPr>
        <w:t>.</w:t>
      </w:r>
      <w:r>
        <w:rPr>
          <w:rFonts w:eastAsiaTheme="minorEastAsia"/>
          <w:b/>
          <w:lang w:eastAsia="zh"/>
        </w:rPr>
        <w:t xml:space="preserve"> </w:t>
      </w:r>
      <w:r>
        <w:t>LD score distribution of the lead SNP</w:t>
      </w:r>
      <w:r>
        <w:rPr>
          <w:rFonts w:eastAsia="宋体" w:hint="eastAsia"/>
        </w:rPr>
        <w:t>s</w:t>
      </w:r>
      <w:r>
        <w:t xml:space="preserve"> of breed-specific eGenes. Violin plots show the distribution of LD scores calculated within the </w:t>
      </w:r>
      <w:r>
        <w:rPr>
          <w:i/>
          <w:iCs/>
        </w:rPr>
        <w:t>cis</w:t>
      </w:r>
      <w:r>
        <w:t>-regulatory regions of breed-specific eGenes for each pig breed. Statistical significance was assessed using the Wilcoxon test: “</w:t>
      </w:r>
      <w:r>
        <w:rPr>
          <w:rFonts w:ascii="Cambria Math" w:hAnsi="Cambria Math" w:cs="Cambria Math"/>
        </w:rPr>
        <w:t>∗∗∗∗</w:t>
      </w:r>
      <w:r>
        <w:t xml:space="preserve">” indicates </w:t>
      </w:r>
      <w:r>
        <w:rPr>
          <w:i/>
        </w:rPr>
        <w:t>P</w:t>
      </w:r>
      <w:r>
        <w:t>&lt; 0.0001.</w:t>
      </w:r>
    </w:p>
    <w:p w:rsidR="00BE4844" w:rsidRPr="00BE4844" w:rsidRDefault="00BE4844">
      <w:pPr>
        <w:jc w:val="center"/>
        <w:rPr>
          <w:rFonts w:eastAsiaTheme="minorEastAsia"/>
        </w:rPr>
      </w:pPr>
    </w:p>
    <w:p w:rsidR="00B2740A" w:rsidRDefault="002A138D">
      <w:pPr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lastRenderedPageBreak/>
        <w:drawing>
          <wp:inline distT="0" distB="0" distL="0" distR="0">
            <wp:extent cx="5039360" cy="2519045"/>
            <wp:effectExtent l="0" t="0" r="889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9868" cy="251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844" w:rsidRPr="00BE4844" w:rsidRDefault="00BE4844" w:rsidP="00BE4844">
      <w:pPr>
        <w:rPr>
          <w:rFonts w:eastAsiaTheme="minorEastAsia"/>
        </w:rPr>
      </w:pPr>
      <w:bookmarkStart w:id="4" w:name="_Hlk218019200"/>
      <w:r w:rsidRPr="00BE4844">
        <w:rPr>
          <w:rFonts w:eastAsiaTheme="minorEastAsia"/>
          <w:b/>
          <w:lang w:eastAsia="zh"/>
        </w:rPr>
        <w:t>Fig. S</w:t>
      </w:r>
      <w:r>
        <w:rPr>
          <w:rFonts w:eastAsiaTheme="minorEastAsia"/>
          <w:b/>
          <w:lang w:eastAsia="zh"/>
        </w:rPr>
        <w:t>5</w:t>
      </w:r>
      <w:r w:rsidRPr="00BE4844">
        <w:rPr>
          <w:rFonts w:eastAsiaTheme="minorEastAsia"/>
          <w:b/>
          <w:lang w:eastAsia="zh"/>
        </w:rPr>
        <w:t>.</w:t>
      </w:r>
      <w:r>
        <w:rPr>
          <w:rFonts w:eastAsiaTheme="minorEastAsia"/>
          <w:b/>
          <w:lang w:eastAsia="zh"/>
        </w:rPr>
        <w:t xml:space="preserve"> </w:t>
      </w:r>
      <w:r>
        <w:t xml:space="preserve">Comparison of MAF of lead SNPs for breed-specific eGenes across breeds. MAF distributions of lead SNPs for breed-specific eGenes. From left to right, panels correspond to Duroc-specific, Landrace-specific, and Yorkshire-specific eGenes. Red points indicate mean MAF values, which are also labeled below the x-axis. Statistical significance was assessed using the Wilcoxon test: “ns” indicates not significant; </w:t>
      </w:r>
      <w:bookmarkStart w:id="5" w:name="_Hlk217847666"/>
      <w:r>
        <w:t>“</w:t>
      </w:r>
      <w:r>
        <w:rPr>
          <w:rFonts w:ascii="Cambria Math" w:hAnsi="Cambria Math" w:cs="Cambria Math"/>
        </w:rPr>
        <w:t>∗</w:t>
      </w:r>
      <w:r>
        <w:t xml:space="preserve">” indicates </w:t>
      </w:r>
      <w:r>
        <w:rPr>
          <w:i/>
        </w:rPr>
        <w:t>P</w:t>
      </w:r>
      <w:r>
        <w:t>&lt; 0.05; “</w:t>
      </w:r>
      <w:r>
        <w:rPr>
          <w:rFonts w:ascii="Cambria Math" w:hAnsi="Cambria Math" w:cs="Cambria Math"/>
        </w:rPr>
        <w:t>∗∗</w:t>
      </w:r>
      <w:r>
        <w:t xml:space="preserve">” indicates </w:t>
      </w:r>
      <w:r>
        <w:rPr>
          <w:i/>
        </w:rPr>
        <w:t>P</w:t>
      </w:r>
      <w:r>
        <w:t>&lt; 0.01; and “</w:t>
      </w:r>
      <w:r>
        <w:rPr>
          <w:rFonts w:ascii="Cambria Math" w:hAnsi="Cambria Math" w:cs="Cambria Math"/>
        </w:rPr>
        <w:t>∗∗∗</w:t>
      </w:r>
      <w:r>
        <w:t xml:space="preserve">” indicates </w:t>
      </w:r>
      <w:r>
        <w:rPr>
          <w:i/>
        </w:rPr>
        <w:t>P</w:t>
      </w:r>
      <w:r>
        <w:t>&lt; 0.001.</w:t>
      </w:r>
      <w:bookmarkEnd w:id="4"/>
      <w:bookmarkEnd w:id="5"/>
    </w:p>
    <w:sectPr w:rsidR="00BE4844" w:rsidRPr="00BE4844" w:rsidSect="00BE4844">
      <w:pgSz w:w="11906" w:h="16838"/>
      <w:pgMar w:top="1440" w:right="1080" w:bottom="1440" w:left="1080" w:header="680" w:footer="68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070B" w:rsidRDefault="00C8070B">
      <w:pPr>
        <w:spacing w:line="240" w:lineRule="auto"/>
      </w:pPr>
      <w:r>
        <w:separator/>
      </w:r>
    </w:p>
  </w:endnote>
  <w:endnote w:type="continuationSeparator" w:id="0">
    <w:p w:rsidR="00C8070B" w:rsidRDefault="00C807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070B" w:rsidRDefault="00C8070B">
      <w:r>
        <w:separator/>
      </w:r>
    </w:p>
  </w:footnote>
  <w:footnote w:type="continuationSeparator" w:id="0">
    <w:p w:rsidR="00C8070B" w:rsidRDefault="00C807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grammar="clean"/>
  <w:defaultTabStop w:val="4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654"/>
    <w:rsid w:val="00055BD7"/>
    <w:rsid w:val="000B2D9C"/>
    <w:rsid w:val="000F2654"/>
    <w:rsid w:val="001957F1"/>
    <w:rsid w:val="002A138D"/>
    <w:rsid w:val="00314680"/>
    <w:rsid w:val="00447A0D"/>
    <w:rsid w:val="00492D13"/>
    <w:rsid w:val="004C7DB7"/>
    <w:rsid w:val="004F664F"/>
    <w:rsid w:val="005F67AF"/>
    <w:rsid w:val="00636701"/>
    <w:rsid w:val="00945358"/>
    <w:rsid w:val="00962A48"/>
    <w:rsid w:val="0099317E"/>
    <w:rsid w:val="00A27B27"/>
    <w:rsid w:val="00B2740A"/>
    <w:rsid w:val="00B90A0D"/>
    <w:rsid w:val="00BE4844"/>
    <w:rsid w:val="00C8070B"/>
    <w:rsid w:val="00C92717"/>
    <w:rsid w:val="00CD1EA7"/>
    <w:rsid w:val="00CF221C"/>
    <w:rsid w:val="00E31476"/>
    <w:rsid w:val="00F6362A"/>
    <w:rsid w:val="710B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285CC7"/>
  <w15:docId w15:val="{51029980-EAA5-45C9-81E9-D605E5B3C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line="480" w:lineRule="auto"/>
      <w:jc w:val="both"/>
    </w:pPr>
    <w:rPr>
      <w:rFonts w:ascii="Times New Roman" w:eastAsia="Times New Roman" w:hAnsi="Times New Roman"/>
      <w:kern w:val="2"/>
      <w:sz w:val="24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line number"/>
    <w:basedOn w:val="a0"/>
    <w:uiPriority w:val="99"/>
    <w:semiHidden/>
    <w:unhideWhenUsed/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Times New Roman" w:eastAsia="Times New Roman" w:hAnsi="Times New Roman" w:cstheme="majorBidi"/>
      <w:b/>
      <w:bCs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李晓静</dc:creator>
  <cp:lastModifiedBy>李晓静</cp:lastModifiedBy>
  <cp:revision>7</cp:revision>
  <dcterms:created xsi:type="dcterms:W3CDTF">2026-01-22T05:40:00Z</dcterms:created>
  <dcterms:modified xsi:type="dcterms:W3CDTF">2026-01-28T04:25:00Z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383d786a-5845-4e78-9c0b-e35a575341d4</vt:lpwstr>
  </property>
  <property fmtid="{D5CDD505-2E9C-101B-9397-08002B2CF9AE}" pid="3" name="KSOTemplateDocerSaveRecord">
    <vt:lpwstr>eyJoZGlkIjoiOGU4MmNiN2MyOGVjYTE5ZTVjYTY3YzQxNTZjMTVmNmMiLCJ1c2VySWQiOiIzMzcwOTAyNzcifQ==</vt:lpwstr>
  </property>
  <property fmtid="{D5CDD505-2E9C-101B-9397-08002B2CF9AE}" pid="4" name="KSOProductBuildVer">
    <vt:lpwstr>2052-12.1.0.23542</vt:lpwstr>
  </property>
  <property fmtid="{D5CDD505-2E9C-101B-9397-08002B2CF9AE}" pid="5" name="ICV">
    <vt:lpwstr>231C382FB1C5433A9FEEE696940B7603_12</vt:lpwstr>
  </property>
</Properties>
</file>