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BDB1B" w14:textId="15F043A6" w:rsidR="00E62112" w:rsidRPr="008B0646" w:rsidRDefault="00D62ACE" w:rsidP="00E62112">
      <w:pPr>
        <w:spacing w:before="163" w:after="163" w:line="480" w:lineRule="auto"/>
        <w:ind w:firstLineChars="0" w:firstLine="0"/>
        <w:jc w:val="center"/>
        <w:rPr>
          <w:rFonts w:cs="Times New Roman"/>
          <w:b/>
          <w:bCs/>
          <w:sz w:val="32"/>
          <w:szCs w:val="32"/>
        </w:rPr>
      </w:pPr>
      <w:bookmarkStart w:id="0" w:name="OLE_LINK54"/>
      <w:bookmarkStart w:id="1" w:name="OLE_LINK175"/>
      <w:r w:rsidRPr="00D62ACE">
        <w:rPr>
          <w:rFonts w:cs="Times New Roman"/>
          <w:b/>
          <w:bCs/>
          <w:sz w:val="32"/>
          <w:szCs w:val="32"/>
        </w:rPr>
        <w:t>RFLNA mitigates heat stress-impaired chondrocyte proliferation and vertebral development through cytoskeletal regulation in pigs</w:t>
      </w:r>
    </w:p>
    <w:bookmarkEnd w:id="0"/>
    <w:p w14:paraId="338181C3" w14:textId="2CE0C0C8" w:rsidR="00E62112" w:rsidRPr="008B0646" w:rsidRDefault="00E62112" w:rsidP="00E62112">
      <w:pPr>
        <w:spacing w:before="163" w:after="163" w:line="480" w:lineRule="auto"/>
        <w:ind w:firstLineChars="0" w:firstLine="0"/>
        <w:jc w:val="center"/>
        <w:rPr>
          <w:rFonts w:eastAsia="等线" w:cs="Times New Roman"/>
          <w:kern w:val="0"/>
          <w:szCs w:val="24"/>
          <w:vertAlign w:val="superscript"/>
        </w:rPr>
      </w:pPr>
      <w:r w:rsidRPr="008B0646">
        <w:rPr>
          <w:rFonts w:eastAsia="等线" w:cs="Times New Roman"/>
          <w:kern w:val="0"/>
          <w:szCs w:val="24"/>
        </w:rPr>
        <w:t>Xiaoyang Yang</w:t>
      </w:r>
      <w:r w:rsidRPr="008B0646">
        <w:rPr>
          <w:rFonts w:eastAsia="等线" w:cs="Times New Roman"/>
          <w:kern w:val="0"/>
          <w:szCs w:val="24"/>
          <w:vertAlign w:val="superscript"/>
        </w:rPr>
        <w:t xml:space="preserve"> </w:t>
      </w:r>
      <w:r w:rsidR="00A12DA8">
        <w:rPr>
          <w:rFonts w:eastAsia="等线" w:cs="Times New Roman" w:hint="eastAsia"/>
          <w:kern w:val="0"/>
          <w:szCs w:val="24"/>
          <w:vertAlign w:val="superscript"/>
        </w:rPr>
        <w:t>1</w:t>
      </w:r>
      <w:r w:rsidRPr="008B0646">
        <w:rPr>
          <w:rFonts w:eastAsia="等线" w:cs="Times New Roman"/>
          <w:kern w:val="0"/>
          <w:szCs w:val="24"/>
        </w:rPr>
        <w:t xml:space="preserve">, Yuxuan Xie </w:t>
      </w:r>
      <w:r w:rsidR="00A12DA8">
        <w:rPr>
          <w:rFonts w:eastAsia="等线" w:cs="Times New Roman" w:hint="eastAsia"/>
          <w:kern w:val="0"/>
          <w:szCs w:val="24"/>
          <w:vertAlign w:val="superscript"/>
        </w:rPr>
        <w:t>1</w:t>
      </w:r>
      <w:r w:rsidRPr="008B0646">
        <w:rPr>
          <w:rFonts w:eastAsia="等线" w:cs="Times New Roman"/>
          <w:kern w:val="0"/>
          <w:szCs w:val="24"/>
        </w:rPr>
        <w:t xml:space="preserve">, Yabiao Luo </w:t>
      </w:r>
      <w:r w:rsidR="00A12DA8">
        <w:rPr>
          <w:rFonts w:eastAsia="等线" w:cs="Times New Roman" w:hint="eastAsia"/>
          <w:kern w:val="0"/>
          <w:szCs w:val="24"/>
          <w:vertAlign w:val="superscript"/>
        </w:rPr>
        <w:t>1</w:t>
      </w:r>
      <w:r w:rsidRPr="008B0646">
        <w:rPr>
          <w:rFonts w:eastAsia="等线" w:cs="Times New Roman"/>
          <w:kern w:val="0"/>
          <w:szCs w:val="24"/>
        </w:rPr>
        <w:t>, Yubei Wang</w:t>
      </w:r>
      <w:r w:rsidRPr="008B0646">
        <w:rPr>
          <w:rFonts w:eastAsia="等线" w:cs="Times New Roman"/>
          <w:kern w:val="0"/>
          <w:szCs w:val="24"/>
          <w:vertAlign w:val="superscript"/>
        </w:rPr>
        <w:t xml:space="preserve"> </w:t>
      </w:r>
      <w:r w:rsidR="00A12DA8">
        <w:rPr>
          <w:rFonts w:eastAsia="等线" w:cs="Times New Roman" w:hint="eastAsia"/>
          <w:kern w:val="0"/>
          <w:szCs w:val="24"/>
          <w:vertAlign w:val="superscript"/>
        </w:rPr>
        <w:t>2</w:t>
      </w:r>
      <w:r w:rsidRPr="008B0646">
        <w:rPr>
          <w:rFonts w:eastAsia="等线" w:cs="Times New Roman"/>
          <w:kern w:val="0"/>
          <w:szCs w:val="24"/>
        </w:rPr>
        <w:t>, Lixian Yang</w:t>
      </w:r>
      <w:r w:rsidRPr="008B0646">
        <w:rPr>
          <w:rFonts w:eastAsia="等线" w:cs="Times New Roman"/>
          <w:kern w:val="0"/>
          <w:szCs w:val="24"/>
          <w:vertAlign w:val="superscript"/>
        </w:rPr>
        <w:t xml:space="preserve"> </w:t>
      </w:r>
      <w:r w:rsidR="00A12DA8">
        <w:rPr>
          <w:rFonts w:eastAsia="等线" w:cs="Times New Roman" w:hint="eastAsia"/>
          <w:kern w:val="0"/>
          <w:szCs w:val="24"/>
          <w:vertAlign w:val="superscript"/>
        </w:rPr>
        <w:t>1</w:t>
      </w:r>
      <w:r w:rsidRPr="008B0646">
        <w:rPr>
          <w:rFonts w:eastAsia="等线" w:cs="Times New Roman"/>
          <w:kern w:val="0"/>
          <w:szCs w:val="24"/>
        </w:rPr>
        <w:t xml:space="preserve">, Longmiao Zhang </w:t>
      </w:r>
      <w:r w:rsidR="00A12DA8">
        <w:rPr>
          <w:rFonts w:eastAsia="等线" w:cs="Times New Roman" w:hint="eastAsia"/>
          <w:kern w:val="0"/>
          <w:szCs w:val="24"/>
          <w:vertAlign w:val="superscript"/>
        </w:rPr>
        <w:t>2</w:t>
      </w:r>
      <w:r w:rsidRPr="008B0646">
        <w:rPr>
          <w:rFonts w:eastAsia="等线" w:cs="Times New Roman"/>
          <w:kern w:val="0"/>
          <w:szCs w:val="24"/>
        </w:rPr>
        <w:t>, Meiying Fang</w:t>
      </w:r>
      <w:r w:rsidRPr="008B0646">
        <w:rPr>
          <w:rFonts w:eastAsia="等线" w:cs="Times New Roman"/>
          <w:kern w:val="0"/>
          <w:szCs w:val="24"/>
          <w:vertAlign w:val="superscript"/>
        </w:rPr>
        <w:t xml:space="preserve"> </w:t>
      </w:r>
      <w:r w:rsidR="00A12DA8">
        <w:rPr>
          <w:rFonts w:eastAsia="等线" w:cs="Times New Roman" w:hint="eastAsia"/>
          <w:kern w:val="0"/>
          <w:szCs w:val="24"/>
          <w:vertAlign w:val="superscript"/>
        </w:rPr>
        <w:t>1</w:t>
      </w:r>
      <w:r w:rsidRPr="008B0646">
        <w:rPr>
          <w:rFonts w:eastAsia="等线" w:cs="Times New Roman"/>
          <w:kern w:val="0"/>
          <w:szCs w:val="24"/>
          <w:vertAlign w:val="superscript"/>
        </w:rPr>
        <w:t>,</w:t>
      </w:r>
      <w:r w:rsidR="00A12DA8">
        <w:rPr>
          <w:rFonts w:eastAsia="等线" w:cs="Times New Roman" w:hint="eastAsia"/>
          <w:kern w:val="0"/>
          <w:szCs w:val="24"/>
          <w:vertAlign w:val="superscript"/>
        </w:rPr>
        <w:t>2</w:t>
      </w:r>
      <w:r w:rsidRPr="008B0646">
        <w:rPr>
          <w:rFonts w:eastAsia="等线" w:cs="Times New Roman"/>
          <w:kern w:val="0"/>
          <w:szCs w:val="24"/>
          <w:vertAlign w:val="superscript"/>
        </w:rPr>
        <w:t>*</w:t>
      </w:r>
    </w:p>
    <w:p w14:paraId="0A5BDF59" w14:textId="77777777" w:rsidR="00E62112" w:rsidRPr="001D7B85" w:rsidRDefault="00E62112" w:rsidP="00E62112">
      <w:pPr>
        <w:autoSpaceDE w:val="0"/>
        <w:autoSpaceDN w:val="0"/>
        <w:adjustRightInd w:val="0"/>
        <w:spacing w:before="163" w:after="163"/>
        <w:ind w:firstLine="440"/>
        <w:jc w:val="center"/>
        <w:rPr>
          <w:rFonts w:cs="Times New Roman"/>
          <w:szCs w:val="24"/>
        </w:rPr>
      </w:pPr>
      <w:r w:rsidRPr="001D7B85">
        <w:rPr>
          <w:rFonts w:cs="Times New Roman"/>
          <w:sz w:val="22"/>
        </w:rPr>
        <w:t>First Author: Xiao</w:t>
      </w:r>
      <w:r>
        <w:rPr>
          <w:rFonts w:cs="Times New Roman" w:hint="eastAsia"/>
          <w:sz w:val="22"/>
        </w:rPr>
        <w:t>yang</w:t>
      </w:r>
      <w:r w:rsidRPr="001D7B85">
        <w:rPr>
          <w:rFonts w:cs="Times New Roman"/>
          <w:sz w:val="22"/>
        </w:rPr>
        <w:t xml:space="preserve"> Yang</w:t>
      </w:r>
    </w:p>
    <w:p w14:paraId="01941414" w14:textId="77777777" w:rsidR="00E62112" w:rsidRPr="001D7B85" w:rsidRDefault="00E62112" w:rsidP="00E62112">
      <w:pPr>
        <w:autoSpaceDE w:val="0"/>
        <w:autoSpaceDN w:val="0"/>
        <w:adjustRightInd w:val="0"/>
        <w:spacing w:before="163" w:after="163"/>
        <w:ind w:firstLine="480"/>
        <w:jc w:val="center"/>
        <w:rPr>
          <w:rFonts w:cs="Times New Roman"/>
          <w:szCs w:val="24"/>
        </w:rPr>
      </w:pPr>
      <w:r w:rsidRPr="001D7B85">
        <w:rPr>
          <w:rFonts w:cs="Times New Roman"/>
          <w:szCs w:val="24"/>
        </w:rPr>
        <w:t>*Corresponding Author:</w:t>
      </w:r>
      <w:r w:rsidRPr="001D7B85">
        <w:rPr>
          <w:rFonts w:cs="Times New Roman"/>
        </w:rPr>
        <w:t xml:space="preserve"> </w:t>
      </w:r>
      <w:r>
        <w:rPr>
          <w:rFonts w:cs="Times New Roman" w:hint="eastAsia"/>
          <w:szCs w:val="24"/>
        </w:rPr>
        <w:t>Meiying Fang</w:t>
      </w:r>
    </w:p>
    <w:p w14:paraId="28D30654" w14:textId="77777777" w:rsidR="00E62112" w:rsidRPr="004E1EB0" w:rsidRDefault="00E62112" w:rsidP="00E62112">
      <w:pPr>
        <w:spacing w:before="163" w:after="163"/>
        <w:ind w:firstLine="480"/>
        <w:jc w:val="center"/>
        <w:rPr>
          <w:rFonts w:cs="Times New Roman"/>
          <w:lang w:val="fr-BE"/>
        </w:rPr>
      </w:pPr>
      <w:r w:rsidRPr="004E1EB0">
        <w:rPr>
          <w:rFonts w:cs="Times New Roman"/>
          <w:lang w:val="fr-BE"/>
        </w:rPr>
        <w:t xml:space="preserve">E-mail: </w:t>
      </w:r>
      <w:r w:rsidRPr="00EC7BE6">
        <w:rPr>
          <w:rFonts w:cs="Times New Roman"/>
          <w:lang w:val="fr-BE"/>
        </w:rPr>
        <w:t>meiying@cau.edu.cn</w:t>
      </w:r>
    </w:p>
    <w:p w14:paraId="42A68DCC" w14:textId="77777777" w:rsidR="00E62112" w:rsidRPr="004E1EB0" w:rsidRDefault="00E62112" w:rsidP="00E62112">
      <w:pPr>
        <w:spacing w:before="163" w:after="163"/>
        <w:ind w:firstLine="480"/>
        <w:jc w:val="center"/>
        <w:rPr>
          <w:rFonts w:cs="Times New Roman"/>
          <w:lang w:val="fr-BE"/>
        </w:rPr>
      </w:pPr>
      <w:r w:rsidRPr="004E1EB0">
        <w:rPr>
          <w:rFonts w:cs="Times New Roman"/>
          <w:lang w:val="fr-BE"/>
        </w:rPr>
        <w:t>Tel: +86-</w:t>
      </w:r>
      <w:r w:rsidRPr="009247DD">
        <w:rPr>
          <w:rFonts w:cs="Times New Roman"/>
          <w:lang w:val="fr-BE"/>
        </w:rPr>
        <w:t>010-62734943</w:t>
      </w:r>
    </w:p>
    <w:p w14:paraId="0A9AA2D1" w14:textId="77777777" w:rsidR="00E62112" w:rsidRPr="00E62112" w:rsidRDefault="00E62112" w:rsidP="00E62112">
      <w:pPr>
        <w:spacing w:before="163" w:after="163"/>
        <w:ind w:firstLine="480"/>
        <w:jc w:val="center"/>
        <w:rPr>
          <w:rFonts w:cs="Times New Roman"/>
        </w:rPr>
      </w:pPr>
      <w:r w:rsidRPr="001D7B85">
        <w:rPr>
          <w:rFonts w:cs="Times New Roman"/>
        </w:rPr>
        <w:t>Fax: +86-</w:t>
      </w:r>
      <w:r w:rsidRPr="009247DD">
        <w:rPr>
          <w:rFonts w:cs="Times New Roman"/>
        </w:rPr>
        <w:t>010-62734943</w:t>
      </w:r>
    </w:p>
    <w:p w14:paraId="6964E3AC" w14:textId="77777777" w:rsidR="00203270" w:rsidRPr="00203270" w:rsidRDefault="00203270" w:rsidP="00E62112">
      <w:pPr>
        <w:keepNext/>
        <w:keepLines/>
        <w:spacing w:beforeLines="0" w:before="163" w:afterLines="0" w:after="163" w:line="240" w:lineRule="auto"/>
        <w:ind w:firstLineChars="0" w:firstLine="0"/>
        <w:jc w:val="left"/>
        <w:outlineLvl w:val="1"/>
        <w:rPr>
          <w:rFonts w:eastAsiaTheme="minorEastAsia" w:cs="Times New Roman"/>
          <w:b/>
          <w:bCs/>
          <w:sz w:val="28"/>
          <w:szCs w:val="32"/>
          <w:lang w:val="en-GB"/>
        </w:rPr>
      </w:pPr>
      <w:r w:rsidRPr="00203270">
        <w:rPr>
          <w:rFonts w:eastAsia="Times New Roman" w:cs="Times New Roman"/>
          <w:b/>
          <w:bCs/>
          <w:sz w:val="28"/>
          <w:szCs w:val="32"/>
          <w:lang w:val="en-GB"/>
        </w:rPr>
        <w:lastRenderedPageBreak/>
        <w:t>Supplementary information</w:t>
      </w:r>
      <w:bookmarkEnd w:id="1"/>
    </w:p>
    <w:p w14:paraId="5E7F1CB7" w14:textId="4807A297" w:rsidR="00203270" w:rsidRPr="008B0646" w:rsidRDefault="00EC7BE6" w:rsidP="00324C98">
      <w:pPr>
        <w:spacing w:before="163" w:after="163" w:line="480" w:lineRule="auto"/>
        <w:ind w:firstLineChars="0" w:firstLine="0"/>
        <w:rPr>
          <w:rFonts w:cs="Times New Roman"/>
        </w:rPr>
      </w:pPr>
      <w:r>
        <w:rPr>
          <w:noProof/>
        </w:rPr>
        <w:drawing>
          <wp:inline distT="0" distB="0" distL="0" distR="0" wp14:anchorId="6EB0F220" wp14:editId="3C67A032">
            <wp:extent cx="5721350" cy="6000750"/>
            <wp:effectExtent l="0" t="0" r="0" b="0"/>
            <wp:docPr id="2692408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D9383" w14:textId="5E92A32D" w:rsidR="00324C98" w:rsidRPr="008B0646" w:rsidRDefault="00324C98" w:rsidP="00324C98">
      <w:pPr>
        <w:spacing w:before="163" w:after="163" w:line="480" w:lineRule="auto"/>
        <w:ind w:firstLineChars="0" w:firstLine="0"/>
        <w:rPr>
          <w:rFonts w:cs="Times New Roman"/>
        </w:rPr>
      </w:pPr>
      <w:r w:rsidRPr="008B0646">
        <w:rPr>
          <w:rFonts w:cs="Times New Roman"/>
          <w:b/>
          <w:bCs/>
        </w:rPr>
        <w:t>Fig. S1</w:t>
      </w:r>
      <w:r w:rsidRPr="008B0646">
        <w:rPr>
          <w:rFonts w:cs="Times New Roman"/>
        </w:rPr>
        <w:t xml:space="preserve"> Functional enrichment analyses of DEGs at distinct stages under </w:t>
      </w:r>
      <w:r w:rsidR="00EC7BE6">
        <w:rPr>
          <w:rFonts w:cs="Times New Roman" w:hint="eastAsia"/>
        </w:rPr>
        <w:t>control-</w:t>
      </w:r>
      <w:r w:rsidRPr="008B0646">
        <w:rPr>
          <w:rFonts w:cs="Times New Roman"/>
        </w:rPr>
        <w:t xml:space="preserve">temperature. GO </w:t>
      </w:r>
      <w:r w:rsidRPr="008B0646">
        <w:rPr>
          <w:rFonts w:cs="Times New Roman"/>
          <w:b/>
          <w:bCs/>
        </w:rPr>
        <w:t>A</w:t>
      </w:r>
      <w:r w:rsidRPr="008B0646">
        <w:rPr>
          <w:rFonts w:cs="Times New Roman"/>
        </w:rPr>
        <w:t xml:space="preserve"> and KEGG pathway enrichment </w:t>
      </w:r>
      <w:r w:rsidRPr="008B0646">
        <w:rPr>
          <w:rFonts w:cs="Times New Roman"/>
          <w:b/>
          <w:bCs/>
        </w:rPr>
        <w:t>B</w:t>
      </w:r>
      <w:r w:rsidRPr="008B0646">
        <w:rPr>
          <w:rFonts w:cs="Times New Roman"/>
        </w:rPr>
        <w:t xml:space="preserve"> for DEGs in the C24 vs. C6 comparison group. GO </w:t>
      </w:r>
      <w:r w:rsidRPr="008B0646">
        <w:rPr>
          <w:rFonts w:cs="Times New Roman"/>
          <w:b/>
          <w:bCs/>
        </w:rPr>
        <w:t>C</w:t>
      </w:r>
      <w:r w:rsidRPr="008B0646">
        <w:rPr>
          <w:rFonts w:cs="Times New Roman"/>
        </w:rPr>
        <w:t xml:space="preserve"> and KEGG </w:t>
      </w:r>
      <w:r w:rsidRPr="008B0646">
        <w:rPr>
          <w:rFonts w:cs="Times New Roman"/>
          <w:b/>
          <w:bCs/>
        </w:rPr>
        <w:t>D</w:t>
      </w:r>
      <w:r w:rsidRPr="008B0646">
        <w:rPr>
          <w:rFonts w:cs="Times New Roman"/>
        </w:rPr>
        <w:t xml:space="preserve"> enrichment analyses for DEGs in the C48 vs. C24 group. GO </w:t>
      </w:r>
      <w:r w:rsidRPr="008B0646">
        <w:rPr>
          <w:rFonts w:cs="Times New Roman"/>
          <w:b/>
          <w:bCs/>
        </w:rPr>
        <w:t>E</w:t>
      </w:r>
      <w:r w:rsidRPr="008B0646">
        <w:rPr>
          <w:rFonts w:cs="Times New Roman"/>
        </w:rPr>
        <w:t xml:space="preserve"> and KEGG </w:t>
      </w:r>
      <w:r w:rsidRPr="008B0646">
        <w:rPr>
          <w:rFonts w:cs="Times New Roman"/>
          <w:b/>
          <w:bCs/>
        </w:rPr>
        <w:t>F</w:t>
      </w:r>
      <w:r w:rsidRPr="008B0646">
        <w:rPr>
          <w:rFonts w:cs="Times New Roman"/>
        </w:rPr>
        <w:t xml:space="preserve"> enrichment results for DEGs in the C96 vs. C48 group. GO </w:t>
      </w:r>
      <w:r w:rsidRPr="008B0646">
        <w:rPr>
          <w:rFonts w:cs="Times New Roman"/>
          <w:b/>
          <w:bCs/>
        </w:rPr>
        <w:t>G</w:t>
      </w:r>
      <w:r w:rsidRPr="008B0646">
        <w:rPr>
          <w:rFonts w:cs="Times New Roman"/>
        </w:rPr>
        <w:t xml:space="preserve"> and KEGG </w:t>
      </w:r>
      <w:r w:rsidRPr="008B0646">
        <w:rPr>
          <w:rFonts w:cs="Times New Roman"/>
          <w:b/>
          <w:bCs/>
        </w:rPr>
        <w:t>H</w:t>
      </w:r>
      <w:r w:rsidRPr="008B0646">
        <w:rPr>
          <w:rFonts w:cs="Times New Roman"/>
        </w:rPr>
        <w:t xml:space="preserve"> analyses for DEGs in the C144 vs. C96 group.</w:t>
      </w:r>
    </w:p>
    <w:p w14:paraId="6590EC2B" w14:textId="7A281272" w:rsidR="00324C98" w:rsidRPr="008B0646" w:rsidRDefault="00EC7BE6" w:rsidP="00324C98">
      <w:pPr>
        <w:spacing w:before="163" w:after="163" w:line="480" w:lineRule="auto"/>
        <w:ind w:firstLineChars="0" w:firstLine="0"/>
        <w:rPr>
          <w:rFonts w:cs="Times New Roman"/>
        </w:rPr>
      </w:pPr>
      <w:r>
        <w:rPr>
          <w:noProof/>
        </w:rPr>
        <w:lastRenderedPageBreak/>
        <w:drawing>
          <wp:inline distT="0" distB="0" distL="0" distR="0" wp14:anchorId="0E6B3728" wp14:editId="7CD6181A">
            <wp:extent cx="5721350" cy="6000750"/>
            <wp:effectExtent l="0" t="0" r="0" b="0"/>
            <wp:docPr id="15604370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116D3" w14:textId="77777777" w:rsidR="00324C98" w:rsidRPr="008B0646" w:rsidRDefault="00324C98" w:rsidP="00324C98">
      <w:pPr>
        <w:spacing w:before="163" w:after="163" w:line="480" w:lineRule="auto"/>
        <w:ind w:firstLineChars="0" w:firstLine="0"/>
        <w:rPr>
          <w:rFonts w:cs="Times New Roman"/>
        </w:rPr>
      </w:pPr>
      <w:r w:rsidRPr="008B0646">
        <w:rPr>
          <w:rFonts w:cs="Times New Roman"/>
          <w:b/>
          <w:bCs/>
        </w:rPr>
        <w:t>Fig. S2</w:t>
      </w:r>
      <w:r w:rsidRPr="008B0646">
        <w:rPr>
          <w:rFonts w:cs="Times New Roman"/>
        </w:rPr>
        <w:t xml:space="preserve"> Functional enrichment analyses of DEGs at distinct stages under high-temperature culture. GO </w:t>
      </w:r>
      <w:r w:rsidRPr="008B0646">
        <w:rPr>
          <w:rFonts w:cs="Times New Roman"/>
          <w:b/>
          <w:bCs/>
        </w:rPr>
        <w:t>A</w:t>
      </w:r>
      <w:r w:rsidRPr="008B0646">
        <w:rPr>
          <w:rFonts w:cs="Times New Roman"/>
        </w:rPr>
        <w:t xml:space="preserve"> and KEGG pathway enrichment </w:t>
      </w:r>
      <w:r w:rsidRPr="008B0646">
        <w:rPr>
          <w:rFonts w:cs="Times New Roman"/>
          <w:b/>
          <w:bCs/>
        </w:rPr>
        <w:t>B</w:t>
      </w:r>
      <w:r w:rsidRPr="008B0646">
        <w:rPr>
          <w:rFonts w:cs="Times New Roman"/>
        </w:rPr>
        <w:t xml:space="preserve"> for DEGs in the H24 vs. H6 group.</w:t>
      </w:r>
      <w:r w:rsidRPr="008B0646">
        <w:rPr>
          <w:rFonts w:cs="Times New Roman"/>
          <w:b/>
          <w:bCs/>
        </w:rPr>
        <w:t xml:space="preserve"> </w:t>
      </w:r>
      <w:r w:rsidRPr="008B0646">
        <w:rPr>
          <w:rFonts w:cs="Times New Roman"/>
        </w:rPr>
        <w:t xml:space="preserve">GO </w:t>
      </w:r>
      <w:r w:rsidRPr="008B0646">
        <w:rPr>
          <w:rFonts w:cs="Times New Roman"/>
          <w:b/>
          <w:bCs/>
        </w:rPr>
        <w:t>C</w:t>
      </w:r>
      <w:r w:rsidRPr="008B0646">
        <w:rPr>
          <w:rFonts w:cs="Times New Roman"/>
        </w:rPr>
        <w:t xml:space="preserve"> and KEGG </w:t>
      </w:r>
      <w:r w:rsidRPr="008B0646">
        <w:rPr>
          <w:rFonts w:cs="Times New Roman"/>
          <w:b/>
          <w:bCs/>
        </w:rPr>
        <w:t>D</w:t>
      </w:r>
      <w:r w:rsidRPr="008B0646">
        <w:rPr>
          <w:rFonts w:cs="Times New Roman"/>
        </w:rPr>
        <w:t xml:space="preserve"> enrichment results for DEGs in the H48 vs. H24 group.</w:t>
      </w:r>
      <w:r w:rsidRPr="008B0646">
        <w:rPr>
          <w:rFonts w:cs="Times New Roman"/>
          <w:b/>
          <w:bCs/>
        </w:rPr>
        <w:t xml:space="preserve"> </w:t>
      </w:r>
      <w:r w:rsidRPr="008B0646">
        <w:rPr>
          <w:rFonts w:cs="Times New Roman"/>
        </w:rPr>
        <w:t xml:space="preserve">GO </w:t>
      </w:r>
      <w:r w:rsidRPr="008B0646">
        <w:rPr>
          <w:rFonts w:cs="Times New Roman"/>
          <w:b/>
          <w:bCs/>
        </w:rPr>
        <w:t>E</w:t>
      </w:r>
      <w:r w:rsidRPr="008B0646">
        <w:rPr>
          <w:rFonts w:cs="Times New Roman"/>
        </w:rPr>
        <w:t xml:space="preserve"> and KEGG </w:t>
      </w:r>
      <w:r w:rsidRPr="008B0646">
        <w:rPr>
          <w:rFonts w:cs="Times New Roman"/>
          <w:b/>
          <w:bCs/>
        </w:rPr>
        <w:t>F</w:t>
      </w:r>
      <w:r w:rsidRPr="008B0646">
        <w:rPr>
          <w:rFonts w:cs="Times New Roman"/>
        </w:rPr>
        <w:t xml:space="preserve"> analyses for DEGs in the H96 vs. H48 group. GO </w:t>
      </w:r>
      <w:r w:rsidRPr="008B0646">
        <w:rPr>
          <w:rFonts w:cs="Times New Roman"/>
          <w:b/>
          <w:bCs/>
        </w:rPr>
        <w:t>G</w:t>
      </w:r>
      <w:r w:rsidRPr="008B0646">
        <w:rPr>
          <w:rFonts w:cs="Times New Roman"/>
        </w:rPr>
        <w:t xml:space="preserve"> and KEGG </w:t>
      </w:r>
      <w:r w:rsidRPr="008B0646">
        <w:rPr>
          <w:rFonts w:cs="Times New Roman"/>
          <w:b/>
          <w:bCs/>
        </w:rPr>
        <w:t>H</w:t>
      </w:r>
      <w:r w:rsidRPr="008B0646">
        <w:rPr>
          <w:rFonts w:cs="Times New Roman"/>
        </w:rPr>
        <w:t xml:space="preserve"> enrichment profiles for DEGs in the H144 vs. H96 group.</w:t>
      </w:r>
    </w:p>
    <w:p w14:paraId="21955108" w14:textId="77777777" w:rsidR="00324C98" w:rsidRPr="008B0646" w:rsidRDefault="00324C98" w:rsidP="00324C98">
      <w:pPr>
        <w:spacing w:before="163" w:after="163" w:line="480" w:lineRule="auto"/>
        <w:ind w:firstLineChars="0" w:firstLine="0"/>
        <w:rPr>
          <w:rFonts w:cs="Times New Roman"/>
        </w:rPr>
      </w:pPr>
      <w:r w:rsidRPr="008B0646">
        <w:rPr>
          <w:rFonts w:cs="Times New Roman"/>
          <w:noProof/>
        </w:rPr>
        <w:lastRenderedPageBreak/>
        <w:drawing>
          <wp:inline distT="0" distB="0" distL="0" distR="0" wp14:anchorId="4FC809BC" wp14:editId="482A4285">
            <wp:extent cx="5274310" cy="6248400"/>
            <wp:effectExtent l="0" t="0" r="2540" b="0"/>
            <wp:docPr id="13248469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2521B" w14:textId="1EEFB0F5" w:rsidR="00324C98" w:rsidRDefault="00324C98" w:rsidP="00324C98">
      <w:pPr>
        <w:spacing w:before="163" w:after="163" w:line="480" w:lineRule="auto"/>
        <w:ind w:firstLineChars="0" w:firstLine="0"/>
        <w:rPr>
          <w:rFonts w:cs="Times New Roman"/>
        </w:rPr>
      </w:pPr>
      <w:bookmarkStart w:id="2" w:name="OLE_LINK180"/>
      <w:r w:rsidRPr="008B0646">
        <w:rPr>
          <w:rFonts w:cs="Times New Roman"/>
          <w:b/>
          <w:bCs/>
        </w:rPr>
        <w:t xml:space="preserve">Fig. </w:t>
      </w:r>
      <w:r w:rsidR="00EC7BE6">
        <w:rPr>
          <w:rFonts w:cs="Times New Roman" w:hint="eastAsia"/>
          <w:b/>
          <w:bCs/>
        </w:rPr>
        <w:t>S</w:t>
      </w:r>
      <w:r w:rsidRPr="008B0646">
        <w:rPr>
          <w:rFonts w:cs="Times New Roman"/>
          <w:b/>
          <w:bCs/>
        </w:rPr>
        <w:t>3</w:t>
      </w:r>
      <w:r w:rsidRPr="008B0646">
        <w:rPr>
          <w:rFonts w:cs="Times New Roman"/>
        </w:rPr>
        <w:t xml:space="preserve"> Functional enrichment analyses of DEGs from 41</w:t>
      </w:r>
      <w:r w:rsidR="00EC7BE6">
        <w:rPr>
          <w:rFonts w:cs="Times New Roman"/>
        </w:rPr>
        <w:t xml:space="preserve"> °C</w:t>
      </w:r>
      <w:r w:rsidRPr="008B0646">
        <w:rPr>
          <w:rFonts w:cs="Times New Roman"/>
        </w:rPr>
        <w:t xml:space="preserve"> vs. 37</w:t>
      </w:r>
      <w:r w:rsidR="00EC7BE6">
        <w:rPr>
          <w:rFonts w:cs="Times New Roman"/>
        </w:rPr>
        <w:t xml:space="preserve"> °C</w:t>
      </w:r>
      <w:r w:rsidRPr="008B0646">
        <w:rPr>
          <w:rFonts w:cs="Times New Roman"/>
        </w:rPr>
        <w:t xml:space="preserve"> comparisons at corresponding time points. GO </w:t>
      </w:r>
      <w:r w:rsidRPr="008B0646">
        <w:rPr>
          <w:rFonts w:cs="Times New Roman"/>
          <w:b/>
          <w:bCs/>
        </w:rPr>
        <w:t>A</w:t>
      </w:r>
      <w:r w:rsidRPr="008B0646">
        <w:rPr>
          <w:rFonts w:cs="Times New Roman"/>
        </w:rPr>
        <w:t xml:space="preserve"> and KEGG pathway enrichment </w:t>
      </w:r>
      <w:r w:rsidRPr="008B0646">
        <w:rPr>
          <w:rFonts w:cs="Times New Roman"/>
          <w:b/>
          <w:bCs/>
        </w:rPr>
        <w:t>B</w:t>
      </w:r>
      <w:r w:rsidRPr="008B0646">
        <w:rPr>
          <w:rFonts w:cs="Times New Roman"/>
        </w:rPr>
        <w:t xml:space="preserve"> for DEGs in the H6 vs. C6 group. GO </w:t>
      </w:r>
      <w:r w:rsidRPr="008B0646">
        <w:rPr>
          <w:rFonts w:cs="Times New Roman"/>
          <w:b/>
          <w:bCs/>
        </w:rPr>
        <w:t>C</w:t>
      </w:r>
      <w:r w:rsidRPr="008B0646">
        <w:rPr>
          <w:rFonts w:cs="Times New Roman"/>
        </w:rPr>
        <w:t xml:space="preserve"> and KEGG </w:t>
      </w:r>
      <w:r w:rsidRPr="008B0646">
        <w:rPr>
          <w:rFonts w:cs="Times New Roman"/>
          <w:b/>
          <w:bCs/>
        </w:rPr>
        <w:t>D</w:t>
      </w:r>
      <w:r w:rsidRPr="008B0646">
        <w:rPr>
          <w:rFonts w:cs="Times New Roman"/>
        </w:rPr>
        <w:t xml:space="preserve"> enrichment results for DEGs in the H24 vs. C24 group.</w:t>
      </w:r>
      <w:r w:rsidRPr="008B0646">
        <w:rPr>
          <w:rFonts w:cs="Times New Roman"/>
          <w:b/>
          <w:bCs/>
        </w:rPr>
        <w:t xml:space="preserve"> </w:t>
      </w:r>
      <w:r w:rsidRPr="008B0646">
        <w:rPr>
          <w:rFonts w:cs="Times New Roman"/>
        </w:rPr>
        <w:t xml:space="preserve">GO </w:t>
      </w:r>
      <w:r w:rsidRPr="008B0646">
        <w:rPr>
          <w:rFonts w:cs="Times New Roman"/>
          <w:b/>
          <w:bCs/>
        </w:rPr>
        <w:t>E</w:t>
      </w:r>
      <w:r w:rsidRPr="008B0646">
        <w:rPr>
          <w:rFonts w:cs="Times New Roman"/>
        </w:rPr>
        <w:t xml:space="preserve"> and KEGG </w:t>
      </w:r>
      <w:r w:rsidRPr="008B0646">
        <w:rPr>
          <w:rFonts w:cs="Times New Roman"/>
          <w:b/>
          <w:bCs/>
        </w:rPr>
        <w:t>F</w:t>
      </w:r>
      <w:r w:rsidRPr="008B0646">
        <w:rPr>
          <w:rFonts w:cs="Times New Roman"/>
        </w:rPr>
        <w:t xml:space="preserve"> analyses for DEGs in the H48 vs. C48 group. GO </w:t>
      </w:r>
      <w:r w:rsidRPr="008B0646">
        <w:rPr>
          <w:rFonts w:cs="Times New Roman"/>
          <w:b/>
          <w:bCs/>
        </w:rPr>
        <w:t>G</w:t>
      </w:r>
      <w:r w:rsidRPr="008B0646">
        <w:rPr>
          <w:rFonts w:cs="Times New Roman"/>
        </w:rPr>
        <w:t xml:space="preserve"> and KEGG </w:t>
      </w:r>
      <w:r w:rsidRPr="008B0646">
        <w:rPr>
          <w:rFonts w:cs="Times New Roman"/>
          <w:b/>
          <w:bCs/>
        </w:rPr>
        <w:t>H</w:t>
      </w:r>
      <w:r w:rsidRPr="008B0646">
        <w:rPr>
          <w:rFonts w:cs="Times New Roman"/>
        </w:rPr>
        <w:t xml:space="preserve"> enrichment </w:t>
      </w:r>
      <w:r w:rsidRPr="008B0646">
        <w:rPr>
          <w:rFonts w:cs="Times New Roman"/>
        </w:rPr>
        <w:lastRenderedPageBreak/>
        <w:t xml:space="preserve">profiles for DEGs in the H96 vs. C96 group. GO </w:t>
      </w:r>
      <w:r w:rsidRPr="008B0646">
        <w:rPr>
          <w:rFonts w:cs="Times New Roman"/>
          <w:b/>
          <w:bCs/>
        </w:rPr>
        <w:t>I</w:t>
      </w:r>
      <w:r w:rsidRPr="008B0646">
        <w:rPr>
          <w:rFonts w:cs="Times New Roman"/>
        </w:rPr>
        <w:t xml:space="preserve"> and KEGG </w:t>
      </w:r>
      <w:r w:rsidRPr="008B0646">
        <w:rPr>
          <w:rFonts w:cs="Times New Roman"/>
          <w:b/>
          <w:bCs/>
        </w:rPr>
        <w:t>J</w:t>
      </w:r>
      <w:r w:rsidRPr="008B0646">
        <w:rPr>
          <w:rFonts w:cs="Times New Roman"/>
        </w:rPr>
        <w:t xml:space="preserve"> analyses for DEGs in the H144 vs. C144 group.</w:t>
      </w:r>
    </w:p>
    <w:p w14:paraId="4358FEB7" w14:textId="0869A675" w:rsidR="00EC7BE6" w:rsidRDefault="00EC7BE6" w:rsidP="00324C98">
      <w:pPr>
        <w:spacing w:before="163" w:after="163" w:line="480" w:lineRule="auto"/>
        <w:ind w:firstLineChars="0" w:firstLine="0"/>
        <w:rPr>
          <w:rFonts w:cs="Times New Roman"/>
        </w:rPr>
      </w:pPr>
      <w:r>
        <w:rPr>
          <w:noProof/>
        </w:rPr>
        <w:drawing>
          <wp:inline distT="0" distB="0" distL="0" distR="0" wp14:anchorId="7CB27996" wp14:editId="3A8AE092">
            <wp:extent cx="5715000" cy="6242050"/>
            <wp:effectExtent l="0" t="0" r="0" b="6350"/>
            <wp:docPr id="8471950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24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7D2EE" w14:textId="0E16A697" w:rsidR="00EC7BE6" w:rsidRPr="00EC7BE6" w:rsidRDefault="00EC7BE6" w:rsidP="00324C98">
      <w:pPr>
        <w:spacing w:before="163" w:after="163" w:line="480" w:lineRule="auto"/>
        <w:ind w:firstLineChars="0" w:firstLine="0"/>
        <w:rPr>
          <w:rFonts w:cs="Times New Roman"/>
        </w:rPr>
      </w:pPr>
      <w:r w:rsidRPr="008B0646">
        <w:rPr>
          <w:rFonts w:cs="Times New Roman"/>
          <w:b/>
          <w:bCs/>
        </w:rPr>
        <w:t xml:space="preserve">Fig. </w:t>
      </w:r>
      <w:r>
        <w:rPr>
          <w:rFonts w:cs="Times New Roman" w:hint="eastAsia"/>
          <w:b/>
          <w:bCs/>
        </w:rPr>
        <w:t>S4</w:t>
      </w:r>
      <w:r w:rsidRPr="008B0646">
        <w:rPr>
          <w:rFonts w:cs="Times New Roman"/>
        </w:rPr>
        <w:t xml:space="preserve"> Functional enrichment analyses of DEGs from 41</w:t>
      </w:r>
      <w:r>
        <w:rPr>
          <w:rFonts w:cs="Times New Roman" w:hint="eastAsia"/>
        </w:rPr>
        <w:t xml:space="preserve"> </w:t>
      </w:r>
      <w:r>
        <w:rPr>
          <w:rFonts w:cs="Times New Roman"/>
        </w:rPr>
        <w:t>°C</w:t>
      </w:r>
      <w:r w:rsidRPr="008B0646">
        <w:rPr>
          <w:rFonts w:cs="Times New Roman"/>
        </w:rPr>
        <w:t xml:space="preserve"> vs. 37</w:t>
      </w:r>
      <w:r>
        <w:rPr>
          <w:rFonts w:cs="Times New Roman" w:hint="eastAsia"/>
        </w:rPr>
        <w:t xml:space="preserve"> </w:t>
      </w:r>
      <w:r>
        <w:rPr>
          <w:rFonts w:cs="Times New Roman"/>
        </w:rPr>
        <w:t>°C</w:t>
      </w:r>
      <w:r w:rsidRPr="008B0646">
        <w:rPr>
          <w:rFonts w:cs="Times New Roman"/>
        </w:rPr>
        <w:t xml:space="preserve"> comparisons </w:t>
      </w:r>
      <w:r w:rsidRPr="008A38D9">
        <w:rPr>
          <w:rFonts w:cs="Times New Roman"/>
        </w:rPr>
        <w:t>in the time-series clustering</w:t>
      </w:r>
      <w:r w:rsidRPr="008B0646">
        <w:rPr>
          <w:rFonts w:cs="Times New Roman"/>
        </w:rPr>
        <w:t>.</w:t>
      </w:r>
      <w:r>
        <w:rPr>
          <w:rFonts w:cs="Times New Roman" w:hint="eastAsia"/>
        </w:rPr>
        <w:t xml:space="preserve"> </w:t>
      </w:r>
      <w:r>
        <w:rPr>
          <w:rFonts w:cs="Times New Roman" w:hint="eastAsia"/>
          <w:b/>
          <w:bCs/>
        </w:rPr>
        <w:t>A</w:t>
      </w:r>
      <w:r w:rsidRPr="008A38D9">
        <w:rPr>
          <w:rFonts w:cs="Times New Roman"/>
        </w:rPr>
        <w:t xml:space="preserve"> GO enrichment analysis of the DEGs in Cluster 1 and </w:t>
      </w:r>
      <w:r>
        <w:rPr>
          <w:rFonts w:cs="Times New Roman" w:hint="eastAsia"/>
          <w:b/>
          <w:bCs/>
        </w:rPr>
        <w:t>B</w:t>
      </w:r>
      <w:r w:rsidRPr="008A38D9">
        <w:rPr>
          <w:rFonts w:cs="Times New Roman"/>
        </w:rPr>
        <w:t xml:space="preserve"> KEGG enrichment analysis. </w:t>
      </w:r>
      <w:r>
        <w:rPr>
          <w:rFonts w:cs="Times New Roman" w:hint="eastAsia"/>
          <w:b/>
          <w:bCs/>
        </w:rPr>
        <w:t>C</w:t>
      </w:r>
      <w:r w:rsidRPr="008A38D9">
        <w:rPr>
          <w:rFonts w:cs="Times New Roman"/>
        </w:rPr>
        <w:t xml:space="preserve"> GO enrichment analysis of the DEGs in Cluster 2 and </w:t>
      </w:r>
      <w:r>
        <w:rPr>
          <w:rFonts w:cs="Times New Roman" w:hint="eastAsia"/>
          <w:b/>
          <w:bCs/>
        </w:rPr>
        <w:t>D</w:t>
      </w:r>
      <w:r w:rsidRPr="008A38D9">
        <w:rPr>
          <w:rFonts w:cs="Times New Roman"/>
        </w:rPr>
        <w:t xml:space="preserve"> KEGG </w:t>
      </w:r>
      <w:r w:rsidRPr="008A38D9">
        <w:rPr>
          <w:rFonts w:cs="Times New Roman"/>
        </w:rPr>
        <w:lastRenderedPageBreak/>
        <w:t>enrichment analysis.</w:t>
      </w:r>
      <w:r w:rsidRPr="00EC7BE6">
        <w:rPr>
          <w:rFonts w:cs="Times New Roman"/>
          <w:b/>
          <w:bCs/>
        </w:rPr>
        <w:t xml:space="preserve"> </w:t>
      </w:r>
      <w:r>
        <w:rPr>
          <w:rFonts w:cs="Times New Roman" w:hint="eastAsia"/>
          <w:b/>
          <w:bCs/>
        </w:rPr>
        <w:t>E</w:t>
      </w:r>
      <w:r w:rsidRPr="008A38D9">
        <w:rPr>
          <w:rFonts w:cs="Times New Roman"/>
        </w:rPr>
        <w:t xml:space="preserve"> GO enrichment analysis of the DEGs in Cluster 3 and </w:t>
      </w:r>
      <w:r>
        <w:rPr>
          <w:rFonts w:cs="Times New Roman" w:hint="eastAsia"/>
          <w:b/>
          <w:bCs/>
        </w:rPr>
        <w:t>F</w:t>
      </w:r>
      <w:r w:rsidRPr="008A38D9">
        <w:rPr>
          <w:rFonts w:cs="Times New Roman"/>
        </w:rPr>
        <w:t xml:space="preserve"> KEGG enrichment analysis.</w:t>
      </w:r>
      <w:r w:rsidRPr="00EC7BE6">
        <w:rPr>
          <w:rFonts w:cs="Times New Roman"/>
          <w:b/>
          <w:bCs/>
        </w:rPr>
        <w:t xml:space="preserve"> </w:t>
      </w:r>
      <w:r>
        <w:rPr>
          <w:rFonts w:cs="Times New Roman" w:hint="eastAsia"/>
          <w:b/>
          <w:bCs/>
        </w:rPr>
        <w:t>G</w:t>
      </w:r>
      <w:r w:rsidRPr="008A38D9">
        <w:rPr>
          <w:rFonts w:cs="Times New Roman"/>
        </w:rPr>
        <w:t xml:space="preserve"> GO enrichment analysis of the DEGs in Cluster 4 and </w:t>
      </w:r>
      <w:r>
        <w:rPr>
          <w:rFonts w:cs="Times New Roman" w:hint="eastAsia"/>
          <w:b/>
          <w:bCs/>
        </w:rPr>
        <w:t>H</w:t>
      </w:r>
      <w:r w:rsidRPr="008A38D9">
        <w:rPr>
          <w:rFonts w:cs="Times New Roman"/>
        </w:rPr>
        <w:t xml:space="preserve"> KEGG enrichment analysis.</w:t>
      </w:r>
    </w:p>
    <w:bookmarkEnd w:id="2"/>
    <w:p w14:paraId="0924CA7A" w14:textId="77777777" w:rsidR="00510725" w:rsidRDefault="00C53462" w:rsidP="00203270">
      <w:pPr>
        <w:spacing w:before="163" w:after="163"/>
        <w:ind w:firstLineChars="0" w:firstLine="0"/>
        <w:jc w:val="center"/>
      </w:pPr>
      <w:r w:rsidRPr="00C53462">
        <w:rPr>
          <w:noProof/>
        </w:rPr>
        <w:drawing>
          <wp:inline distT="0" distB="0" distL="0" distR="0" wp14:anchorId="1846BE43" wp14:editId="6CFDD0ED">
            <wp:extent cx="2708275" cy="1884045"/>
            <wp:effectExtent l="0" t="0" r="0" b="1905"/>
            <wp:docPr id="6086018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275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856C0" w14:textId="6BB13B86" w:rsidR="00203270" w:rsidRPr="00203270" w:rsidRDefault="00203270" w:rsidP="00203270">
      <w:pPr>
        <w:spacing w:before="163" w:after="163"/>
        <w:ind w:firstLineChars="0" w:firstLine="0"/>
      </w:pPr>
      <w:bookmarkStart w:id="3" w:name="OLE_LINK176"/>
      <w:r w:rsidRPr="00203270">
        <w:rPr>
          <w:b/>
          <w:bCs/>
        </w:rPr>
        <w:t>Fig</w:t>
      </w:r>
      <w:r w:rsidRPr="00203270">
        <w:rPr>
          <w:rFonts w:hint="eastAsia"/>
          <w:b/>
          <w:bCs/>
        </w:rPr>
        <w:t xml:space="preserve">. </w:t>
      </w:r>
      <w:r w:rsidR="00EC7BE6">
        <w:rPr>
          <w:rFonts w:hint="eastAsia"/>
          <w:b/>
          <w:bCs/>
        </w:rPr>
        <w:t>S5</w:t>
      </w:r>
      <w:r w:rsidRPr="00203270">
        <w:t xml:space="preserve"> </w:t>
      </w:r>
      <w:bookmarkStart w:id="4" w:name="_Hlk197960308"/>
      <w:r w:rsidRPr="00203270">
        <w:t xml:space="preserve">Detection of </w:t>
      </w:r>
      <w:r w:rsidRPr="00203270">
        <w:rPr>
          <w:i/>
          <w:iCs/>
        </w:rPr>
        <w:t>RFLNA</w:t>
      </w:r>
      <w:r w:rsidRPr="00203270">
        <w:t xml:space="preserve"> </w:t>
      </w:r>
      <w:r>
        <w:t>o</w:t>
      </w:r>
      <w:r w:rsidRPr="00203270">
        <w:t>verexpression and interference efficiency and expression of related marker genes.</w:t>
      </w:r>
      <w:bookmarkEnd w:id="3"/>
      <w:bookmarkEnd w:id="4"/>
      <w:r w:rsidRPr="00203270">
        <w:t xml:space="preserve"> </w:t>
      </w:r>
      <w:r w:rsidRPr="00203270">
        <w:rPr>
          <w:b/>
          <w:bCs/>
        </w:rPr>
        <w:t>A</w:t>
      </w:r>
      <w:r w:rsidRPr="00203270">
        <w:t xml:space="preserve"> </w:t>
      </w:r>
      <w:r w:rsidR="00C53462" w:rsidRPr="00203270">
        <w:t xml:space="preserve">Detection of </w:t>
      </w:r>
      <w:r w:rsidR="00C53462" w:rsidRPr="00203270">
        <w:rPr>
          <w:i/>
          <w:iCs/>
        </w:rPr>
        <w:t>RFLNA</w:t>
      </w:r>
      <w:r w:rsidR="00C53462" w:rsidRPr="00203270">
        <w:t xml:space="preserve"> overexpression efficiency.</w:t>
      </w:r>
      <w:r w:rsidR="00C53462" w:rsidRPr="00C53462">
        <w:t xml:space="preserve"> </w:t>
      </w:r>
      <w:r w:rsidRPr="00203270">
        <w:rPr>
          <w:b/>
          <w:bCs/>
        </w:rPr>
        <w:t>B</w:t>
      </w:r>
      <w:r w:rsidRPr="00203270">
        <w:t xml:space="preserve"> </w:t>
      </w:r>
      <w:r w:rsidR="00C53462" w:rsidRPr="00203270">
        <w:t xml:space="preserve">Detection of </w:t>
      </w:r>
      <w:r w:rsidR="00C53462" w:rsidRPr="00203270">
        <w:rPr>
          <w:i/>
          <w:iCs/>
        </w:rPr>
        <w:t>RFLNA</w:t>
      </w:r>
      <w:r w:rsidR="00C53462" w:rsidRPr="00203270">
        <w:t xml:space="preserve"> interference efficiency.</w:t>
      </w:r>
    </w:p>
    <w:sectPr w:rsidR="00203270" w:rsidRPr="00203270" w:rsidSect="006B31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96FAF" w14:textId="77777777" w:rsidR="00026F3C" w:rsidRDefault="00026F3C" w:rsidP="00203270">
      <w:pPr>
        <w:spacing w:before="120" w:after="120" w:line="240" w:lineRule="auto"/>
        <w:ind w:firstLine="480"/>
      </w:pPr>
      <w:r>
        <w:separator/>
      </w:r>
    </w:p>
  </w:endnote>
  <w:endnote w:type="continuationSeparator" w:id="0">
    <w:p w14:paraId="46C7F407" w14:textId="77777777" w:rsidR="00026F3C" w:rsidRDefault="00026F3C" w:rsidP="00203270">
      <w:pPr>
        <w:spacing w:before="120" w:after="120"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D20FC" w14:textId="77777777" w:rsidR="00203270" w:rsidRDefault="00203270">
    <w:pPr>
      <w:pStyle w:val="af0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79FE5" w14:textId="77777777" w:rsidR="00203270" w:rsidRDefault="00203270">
    <w:pPr>
      <w:pStyle w:val="af0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21096" w14:textId="77777777" w:rsidR="00203270" w:rsidRDefault="00203270">
    <w:pPr>
      <w:pStyle w:val="af0"/>
      <w:spacing w:before="120" w:after="12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47584" w14:textId="77777777" w:rsidR="00026F3C" w:rsidRDefault="00026F3C" w:rsidP="00203270">
      <w:pPr>
        <w:spacing w:before="120" w:after="120" w:line="240" w:lineRule="auto"/>
        <w:ind w:firstLine="480"/>
      </w:pPr>
      <w:r>
        <w:separator/>
      </w:r>
    </w:p>
  </w:footnote>
  <w:footnote w:type="continuationSeparator" w:id="0">
    <w:p w14:paraId="5939773B" w14:textId="77777777" w:rsidR="00026F3C" w:rsidRDefault="00026F3C" w:rsidP="00203270">
      <w:pPr>
        <w:spacing w:before="120" w:after="12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6BC70" w14:textId="77777777" w:rsidR="00203270" w:rsidRDefault="00203270">
    <w:pPr>
      <w:pStyle w:val="ae"/>
      <w:spacing w:before="120" w:after="120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34353" w14:textId="77777777" w:rsidR="00203270" w:rsidRDefault="00203270">
    <w:pPr>
      <w:pStyle w:val="ae"/>
      <w:spacing w:before="120" w:after="120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2CEAF" w14:textId="77777777" w:rsidR="00203270" w:rsidRDefault="00203270">
    <w:pPr>
      <w:pStyle w:val="ae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98"/>
    <w:rsid w:val="00026F3C"/>
    <w:rsid w:val="000741FA"/>
    <w:rsid w:val="000D4983"/>
    <w:rsid w:val="00203270"/>
    <w:rsid w:val="002A0362"/>
    <w:rsid w:val="002F52A8"/>
    <w:rsid w:val="00315855"/>
    <w:rsid w:val="00324C98"/>
    <w:rsid w:val="003F4854"/>
    <w:rsid w:val="00510725"/>
    <w:rsid w:val="005417C9"/>
    <w:rsid w:val="005570C2"/>
    <w:rsid w:val="005F0B1B"/>
    <w:rsid w:val="00680980"/>
    <w:rsid w:val="006B31CE"/>
    <w:rsid w:val="006D3E85"/>
    <w:rsid w:val="008306CE"/>
    <w:rsid w:val="009B4315"/>
    <w:rsid w:val="00A12DA8"/>
    <w:rsid w:val="00A85D6F"/>
    <w:rsid w:val="00A92C09"/>
    <w:rsid w:val="00B4447D"/>
    <w:rsid w:val="00C43A48"/>
    <w:rsid w:val="00C53462"/>
    <w:rsid w:val="00D14EFC"/>
    <w:rsid w:val="00D62ACE"/>
    <w:rsid w:val="00D854F2"/>
    <w:rsid w:val="00DC5D2D"/>
    <w:rsid w:val="00DF10CE"/>
    <w:rsid w:val="00E62112"/>
    <w:rsid w:val="00EC7BE6"/>
    <w:rsid w:val="00F3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2502A"/>
  <w15:chartTrackingRefBased/>
  <w15:docId w15:val="{1884D22B-53BF-4C32-B8B4-F8C97AC1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98"/>
    <w:pPr>
      <w:spacing w:beforeLines="50" w:before="50" w:afterLines="50" w:after="50" w:line="360" w:lineRule="auto"/>
      <w:ind w:firstLineChars="200" w:firstLine="20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24C98"/>
    <w:pPr>
      <w:keepNext/>
      <w:keepLines/>
      <w:widowControl w:val="0"/>
      <w:spacing w:beforeLines="0" w:before="480" w:afterLines="0" w:after="80" w:line="240" w:lineRule="auto"/>
      <w:ind w:firstLineChars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4C98"/>
    <w:pPr>
      <w:keepNext/>
      <w:keepLines/>
      <w:widowControl w:val="0"/>
      <w:spacing w:beforeLines="0" w:before="160" w:afterLines="0" w:after="80" w:line="240" w:lineRule="auto"/>
      <w:ind w:firstLineChars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4C98"/>
    <w:pPr>
      <w:keepNext/>
      <w:keepLines/>
      <w:widowControl w:val="0"/>
      <w:spacing w:beforeLines="0" w:before="160" w:afterLines="0" w:after="80" w:line="240" w:lineRule="auto"/>
      <w:ind w:firstLineChars="0" w:firstLine="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4C98"/>
    <w:pPr>
      <w:keepNext/>
      <w:keepLines/>
      <w:widowControl w:val="0"/>
      <w:spacing w:beforeLines="0" w:before="80" w:afterLines="0" w:after="40" w:line="240" w:lineRule="auto"/>
      <w:ind w:firstLineChars="0" w:firstLine="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4C98"/>
    <w:pPr>
      <w:keepNext/>
      <w:keepLines/>
      <w:widowControl w:val="0"/>
      <w:spacing w:beforeLines="0" w:before="80" w:afterLines="0" w:after="40" w:line="240" w:lineRule="auto"/>
      <w:ind w:firstLineChars="0" w:firstLine="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4C98"/>
    <w:pPr>
      <w:keepNext/>
      <w:keepLines/>
      <w:widowControl w:val="0"/>
      <w:spacing w:beforeLines="0" w:before="40" w:afterLines="0" w:after="0" w:line="240" w:lineRule="auto"/>
      <w:ind w:firstLineChars="0" w:firstLine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4C98"/>
    <w:pPr>
      <w:keepNext/>
      <w:keepLines/>
      <w:widowControl w:val="0"/>
      <w:spacing w:beforeLines="0" w:before="40" w:afterLines="0" w:after="0" w:line="240" w:lineRule="auto"/>
      <w:ind w:firstLineChars="0" w:firstLine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4C98"/>
    <w:pPr>
      <w:keepNext/>
      <w:keepLines/>
      <w:widowControl w:val="0"/>
      <w:spacing w:beforeLines="0" w:before="0" w:afterLines="0" w:after="0" w:line="240" w:lineRule="auto"/>
      <w:ind w:firstLineChars="0" w:firstLine="0"/>
      <w:outlineLvl w:val="7"/>
    </w:pPr>
    <w:rPr>
      <w:rFonts w:asciiTheme="minorHAnsi" w:eastAsiaTheme="minorEastAsia" w:hAnsiTheme="minorHAnsi"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4C98"/>
    <w:pPr>
      <w:keepNext/>
      <w:keepLines/>
      <w:widowControl w:val="0"/>
      <w:spacing w:beforeLines="0" w:before="0" w:afterLines="0" w:after="0" w:line="240" w:lineRule="auto"/>
      <w:ind w:firstLineChars="0" w:firstLine="0"/>
      <w:outlineLvl w:val="8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24C9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24C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24C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24C98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24C98"/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24C98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24C98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24C98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24C98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24C98"/>
    <w:pPr>
      <w:widowControl w:val="0"/>
      <w:spacing w:beforeLines="0" w:before="0" w:afterLines="0"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24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4C98"/>
    <w:pPr>
      <w:widowControl w:val="0"/>
      <w:numPr>
        <w:ilvl w:val="1"/>
      </w:numPr>
      <w:spacing w:beforeLines="0" w:before="0" w:afterLines="0" w:after="160" w:line="240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24C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4C98"/>
    <w:pPr>
      <w:widowControl w:val="0"/>
      <w:spacing w:beforeLines="0" w:before="160" w:afterLines="0" w:after="160" w:line="240" w:lineRule="auto"/>
      <w:ind w:firstLineChars="0" w:firstLine="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24C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4C98"/>
    <w:pPr>
      <w:widowControl w:val="0"/>
      <w:spacing w:beforeLines="0" w:before="0" w:afterLines="0" w:after="0" w:line="240" w:lineRule="auto"/>
      <w:ind w:left="720" w:firstLineChars="0" w:firstLine="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324C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4C98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Lines="0" w:before="360" w:afterLines="0" w:after="360" w:line="240" w:lineRule="auto"/>
      <w:ind w:left="864" w:right="864" w:firstLineChars="0" w:firstLine="0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24C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24C9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0327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03270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20327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03270"/>
    <w:rPr>
      <w:sz w:val="18"/>
      <w:szCs w:val="18"/>
      <w14:ligatures w14:val="none"/>
    </w:rPr>
  </w:style>
  <w:style w:type="paragraph" w:customStyle="1" w:styleId="MDPI13authornames">
    <w:name w:val="MDPI_1.3_authornames"/>
    <w:next w:val="a"/>
    <w:qFormat/>
    <w:rsid w:val="00E62112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Xiaoyang Yang</dc:creator>
  <cp:keywords/>
  <dc:description/>
  <cp:lastModifiedBy>Xiaoyang Yang</cp:lastModifiedBy>
  <cp:revision>7</cp:revision>
  <dcterms:created xsi:type="dcterms:W3CDTF">2025-05-12T08:26:00Z</dcterms:created>
  <dcterms:modified xsi:type="dcterms:W3CDTF">2026-02-02T04:00:00Z</dcterms:modified>
</cp:coreProperties>
</file>