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850CB" w14:textId="39626AA0" w:rsidR="00706F4D" w:rsidRPr="008C4014" w:rsidRDefault="00706F4D" w:rsidP="008C4014">
      <w:pPr>
        <w:ind w:firstLineChars="0" w:firstLine="0"/>
        <w:rPr>
          <w:rFonts w:cs="Times New Roman"/>
          <w:b/>
          <w:bCs/>
        </w:rPr>
      </w:pPr>
      <w:r w:rsidRPr="003E698C">
        <w:rPr>
          <w:rFonts w:cs="Times New Roman"/>
          <w:b/>
          <w:bCs/>
        </w:rPr>
        <w:t>qRT-PCR validation</w:t>
      </w:r>
      <w:r>
        <w:rPr>
          <w:rFonts w:cs="Times New Roman" w:hint="eastAsia"/>
          <w:b/>
          <w:bCs/>
        </w:rPr>
        <w:t xml:space="preserve"> of</w:t>
      </w:r>
      <w:r w:rsidRPr="00706F4D">
        <w:rPr>
          <w:rFonts w:cs="Times New Roman"/>
          <w:b/>
          <w:bCs/>
        </w:rPr>
        <w:t xml:space="preserve"> </w:t>
      </w:r>
      <w:r w:rsidRPr="003E698C">
        <w:rPr>
          <w:rFonts w:cs="Times New Roman"/>
          <w:b/>
          <w:bCs/>
        </w:rPr>
        <w:t>transcriptome</w:t>
      </w:r>
      <w:r>
        <w:rPr>
          <w:rFonts w:cs="Times New Roman" w:hint="eastAsia"/>
          <w:b/>
          <w:bCs/>
        </w:rPr>
        <w:t xml:space="preserve"> </w:t>
      </w:r>
      <w:r w:rsidR="008C4014" w:rsidRPr="008C4014">
        <w:rPr>
          <w:rFonts w:cs="Times New Roman"/>
          <w:b/>
          <w:bCs/>
        </w:rPr>
        <w:t>sequencing data</w:t>
      </w:r>
    </w:p>
    <w:p w14:paraId="34387E33" w14:textId="0D1DF9A3" w:rsidR="00DB13D7" w:rsidRDefault="00DB13D7" w:rsidP="00DB13D7">
      <w:pPr>
        <w:ind w:firstLine="480"/>
        <w:rPr>
          <w:rFonts w:cs="Times New Roman"/>
        </w:rPr>
      </w:pPr>
      <w:r w:rsidRPr="00DB13D7">
        <w:rPr>
          <w:rFonts w:cs="Times New Roman"/>
        </w:rPr>
        <w:t>To validate the transcriptome data, quantitative real-time polymerase chain reaction (qRT-PCR) was performed on key differentially expressed genes (</w:t>
      </w:r>
      <w:r w:rsidRPr="00DB13D7">
        <w:rPr>
          <w:rFonts w:cs="Times New Roman"/>
          <w:i/>
          <w:iCs/>
        </w:rPr>
        <w:t>GLUL</w:t>
      </w:r>
      <w:r w:rsidRPr="00DB13D7">
        <w:rPr>
          <w:rFonts w:cs="Times New Roman"/>
        </w:rPr>
        <w:t xml:space="preserve">, </w:t>
      </w:r>
      <w:r w:rsidRPr="00DB13D7">
        <w:rPr>
          <w:rFonts w:cs="Times New Roman"/>
          <w:i/>
          <w:iCs/>
        </w:rPr>
        <w:t>IDH1</w:t>
      </w:r>
      <w:r w:rsidRPr="00DB13D7">
        <w:rPr>
          <w:rFonts w:cs="Times New Roman"/>
        </w:rPr>
        <w:t xml:space="preserve">, </w:t>
      </w:r>
      <w:r w:rsidRPr="00DB13D7">
        <w:rPr>
          <w:rFonts w:cs="Times New Roman"/>
          <w:i/>
          <w:iCs/>
        </w:rPr>
        <w:t>CAMK2A</w:t>
      </w:r>
      <w:r w:rsidRPr="00DB13D7">
        <w:rPr>
          <w:rFonts w:cs="Times New Roman"/>
        </w:rPr>
        <w:t xml:space="preserve">, </w:t>
      </w:r>
      <w:r w:rsidRPr="00DB13D7">
        <w:rPr>
          <w:rFonts w:cs="Times New Roman"/>
          <w:i/>
          <w:iCs/>
        </w:rPr>
        <w:t>PDXK</w:t>
      </w:r>
      <w:r w:rsidRPr="00DB13D7">
        <w:rPr>
          <w:rFonts w:cs="Times New Roman"/>
        </w:rPr>
        <w:t xml:space="preserve">, </w:t>
      </w:r>
      <w:r w:rsidRPr="00DB13D7">
        <w:rPr>
          <w:rFonts w:cs="Times New Roman"/>
          <w:i/>
          <w:iCs/>
        </w:rPr>
        <w:t>FADS1</w:t>
      </w:r>
      <w:r w:rsidRPr="00DB13D7">
        <w:rPr>
          <w:rFonts w:cs="Times New Roman"/>
        </w:rPr>
        <w:t xml:space="preserve">, </w:t>
      </w:r>
      <w:r w:rsidRPr="00DB13D7">
        <w:rPr>
          <w:rFonts w:cs="Times New Roman"/>
          <w:i/>
          <w:iCs/>
        </w:rPr>
        <w:t>SCD</w:t>
      </w:r>
      <w:r w:rsidRPr="00DB13D7">
        <w:rPr>
          <w:rFonts w:cs="Times New Roman"/>
        </w:rPr>
        <w:t xml:space="preserve">, and </w:t>
      </w:r>
      <w:r w:rsidRPr="00DB13D7">
        <w:rPr>
          <w:rFonts w:cs="Times New Roman"/>
          <w:i/>
          <w:iCs/>
        </w:rPr>
        <w:t>NRG4</w:t>
      </w:r>
      <w:r w:rsidRPr="00DB13D7">
        <w:rPr>
          <w:rFonts w:cs="Times New Roman"/>
        </w:rPr>
        <w:t>) identified in the RNA-seq analysis. qRT-PCR was carried out using the SYBR Green I dye method on an Applied Biosystems QuantStudio™ 5 real-time quantitative PCR instrument (Thermo Fisher Scientific, USA). The reactions were prepared using the PerfectStart® Green qPCR SuperMix (+Universal Passive Reference Dye) kit (TransGen Biotech Co., Ltd., Beijing, China), following the manufacturer’s instructions</w:t>
      </w:r>
      <w:r w:rsidR="00DB1516">
        <w:rPr>
          <w:rFonts w:cs="Times New Roman" w:hint="eastAsia"/>
        </w:rPr>
        <w:t xml:space="preserve"> (</w:t>
      </w:r>
      <w:r w:rsidR="00DB1516" w:rsidRPr="00E2342E">
        <w:rPr>
          <w:szCs w:val="24"/>
        </w:rPr>
        <w:t xml:space="preserve">Table </w:t>
      </w:r>
      <w:r w:rsidR="00DB1516">
        <w:rPr>
          <w:rFonts w:hint="eastAsia"/>
          <w:szCs w:val="24"/>
        </w:rPr>
        <w:t>1</w:t>
      </w:r>
      <w:r w:rsidR="00DB1516">
        <w:rPr>
          <w:rFonts w:cs="Times New Roman" w:hint="eastAsia"/>
        </w:rPr>
        <w:t>)</w:t>
      </w:r>
      <w:r w:rsidRPr="00DB13D7">
        <w:rPr>
          <w:rFonts w:cs="Times New Roman"/>
        </w:rPr>
        <w:t>. Primers</w:t>
      </w:r>
      <w:r w:rsidR="00DB1516">
        <w:rPr>
          <w:rFonts w:cs="Times New Roman" w:hint="eastAsia"/>
        </w:rPr>
        <w:t xml:space="preserve"> (</w:t>
      </w:r>
      <w:r w:rsidR="00DB1516" w:rsidRPr="00E2342E">
        <w:rPr>
          <w:szCs w:val="24"/>
        </w:rPr>
        <w:t xml:space="preserve">Table </w:t>
      </w:r>
      <w:r w:rsidR="00DB1516">
        <w:rPr>
          <w:rFonts w:hint="eastAsia"/>
          <w:szCs w:val="24"/>
        </w:rPr>
        <w:t>2</w:t>
      </w:r>
      <w:r w:rsidR="00DB1516">
        <w:rPr>
          <w:rFonts w:cs="Times New Roman" w:hint="eastAsia"/>
        </w:rPr>
        <w:t>)</w:t>
      </w:r>
      <w:r w:rsidRPr="00DB13D7">
        <w:rPr>
          <w:rFonts w:cs="Times New Roman"/>
        </w:rPr>
        <w:t xml:space="preserve"> were designed based on goat (</w:t>
      </w:r>
      <w:r w:rsidRPr="004A2C95">
        <w:rPr>
          <w:rFonts w:cs="Times New Roman"/>
          <w:i/>
          <w:iCs/>
        </w:rPr>
        <w:t>Capra hircus</w:t>
      </w:r>
      <w:r w:rsidRPr="00DB13D7">
        <w:rPr>
          <w:rFonts w:cs="Times New Roman"/>
        </w:rPr>
        <w:t>) gene sequences available in the NCBI database using the Primer-BLAST online tool (https://www.ncbi.nlm.nih.gov/tools/primer-blast/) and synthesized by Sangon Biotech Co., Ltd. (Shanghai, China). The relative expression levels of the target genes were calculated using the 2</w:t>
      </w:r>
      <w:r w:rsidRPr="00DB13D7">
        <w:rPr>
          <w:rFonts w:cs="Times New Roman"/>
          <w:vertAlign w:val="superscript"/>
        </w:rPr>
        <w:t>⁻ΔΔCt</w:t>
      </w:r>
      <w:r w:rsidRPr="00DB13D7">
        <w:rPr>
          <w:rFonts w:cs="Times New Roman"/>
        </w:rPr>
        <w:t xml:space="preserve"> method.</w:t>
      </w:r>
    </w:p>
    <w:p w14:paraId="4A30AF17" w14:textId="111F78FE" w:rsidR="00A26690" w:rsidRDefault="00A26690">
      <w:pPr>
        <w:widowControl/>
        <w:spacing w:line="240" w:lineRule="auto"/>
        <w:ind w:firstLineChars="0" w:firstLine="0"/>
        <w:jc w:val="left"/>
      </w:pPr>
      <w:r>
        <w:br w:type="page"/>
      </w:r>
    </w:p>
    <w:p w14:paraId="3E603DD0" w14:textId="0542B6EE" w:rsidR="00A26690" w:rsidRPr="00E2342E" w:rsidRDefault="00A26690" w:rsidP="00A26690">
      <w:pPr>
        <w:pStyle w:val="af3"/>
        <w:keepNext/>
        <w:ind w:firstLine="480"/>
        <w:jc w:val="center"/>
        <w:rPr>
          <w:rFonts w:ascii="Times New Roman" w:hAnsi="Times New Roman"/>
          <w:sz w:val="24"/>
          <w:szCs w:val="24"/>
        </w:rPr>
      </w:pPr>
      <w:r w:rsidRPr="00E2342E">
        <w:rPr>
          <w:rFonts w:ascii="Times New Roman" w:hAnsi="Times New Roman"/>
          <w:sz w:val="24"/>
          <w:szCs w:val="24"/>
        </w:rPr>
        <w:lastRenderedPageBreak/>
        <w:t xml:space="preserve">Table </w:t>
      </w:r>
      <w:r w:rsidR="001C3857">
        <w:rPr>
          <w:rFonts w:ascii="Times New Roman" w:hAnsi="Times New Roman" w:hint="eastAsia"/>
          <w:sz w:val="24"/>
          <w:szCs w:val="24"/>
        </w:rPr>
        <w:t>S</w:t>
      </w:r>
      <w:r w:rsidR="00C8188A">
        <w:rPr>
          <w:rFonts w:ascii="Times New Roman" w:hAnsi="Times New Roman" w:hint="eastAsia"/>
          <w:sz w:val="24"/>
          <w:szCs w:val="24"/>
        </w:rPr>
        <w:t>8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E2342E">
        <w:rPr>
          <w:rFonts w:ascii="Times New Roman" w:hAnsi="Times New Roman"/>
          <w:sz w:val="24"/>
          <w:szCs w:val="24"/>
        </w:rPr>
        <w:t>Quantitative Real-time polymerase chain reaction system</w:t>
      </w:r>
    </w:p>
    <w:tbl>
      <w:tblPr>
        <w:tblStyle w:val="af2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6"/>
        <w:gridCol w:w="3360"/>
      </w:tblGrid>
      <w:tr w:rsidR="00A26690" w14:paraId="4112A050" w14:textId="77777777" w:rsidTr="001607F4">
        <w:trPr>
          <w:jc w:val="center"/>
        </w:trPr>
        <w:tc>
          <w:tcPr>
            <w:tcW w:w="5353" w:type="dxa"/>
            <w:tcBorders>
              <w:top w:val="single" w:sz="12" w:space="0" w:color="auto"/>
              <w:bottom w:val="single" w:sz="4" w:space="0" w:color="auto"/>
            </w:tcBorders>
          </w:tcPr>
          <w:p w14:paraId="0D30384C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Component</w:t>
            </w:r>
          </w:p>
        </w:tc>
        <w:tc>
          <w:tcPr>
            <w:tcW w:w="3650" w:type="dxa"/>
            <w:tcBorders>
              <w:top w:val="single" w:sz="12" w:space="0" w:color="auto"/>
              <w:bottom w:val="single" w:sz="4" w:space="0" w:color="auto"/>
            </w:tcBorders>
          </w:tcPr>
          <w:p w14:paraId="0DEC6606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Volume</w:t>
            </w:r>
          </w:p>
        </w:tc>
      </w:tr>
      <w:tr w:rsidR="00A26690" w14:paraId="7AC70E02" w14:textId="77777777" w:rsidTr="001607F4">
        <w:trPr>
          <w:jc w:val="center"/>
        </w:trPr>
        <w:tc>
          <w:tcPr>
            <w:tcW w:w="5353" w:type="dxa"/>
            <w:tcBorders>
              <w:top w:val="single" w:sz="4" w:space="0" w:color="auto"/>
              <w:bottom w:val="nil"/>
            </w:tcBorders>
          </w:tcPr>
          <w:p w14:paraId="029CF662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c</w:t>
            </w:r>
            <w:r w:rsidRPr="00A34E44">
              <w:rPr>
                <w:rFonts w:hint="eastAsia"/>
                <w:sz w:val="21"/>
                <w:szCs w:val="21"/>
              </w:rPr>
              <w:t>DNA</w:t>
            </w:r>
          </w:p>
        </w:tc>
        <w:tc>
          <w:tcPr>
            <w:tcW w:w="3650" w:type="dxa"/>
            <w:tcBorders>
              <w:top w:val="single" w:sz="4" w:space="0" w:color="auto"/>
              <w:bottom w:val="nil"/>
            </w:tcBorders>
          </w:tcPr>
          <w:p w14:paraId="5AA4AE7E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rFonts w:hint="eastAsia"/>
                <w:sz w:val="21"/>
                <w:szCs w:val="21"/>
              </w:rPr>
              <w:t>1 ul</w:t>
            </w:r>
          </w:p>
        </w:tc>
      </w:tr>
      <w:tr w:rsidR="00A26690" w14:paraId="49A554F3" w14:textId="77777777" w:rsidTr="001607F4">
        <w:trPr>
          <w:jc w:val="center"/>
        </w:trPr>
        <w:tc>
          <w:tcPr>
            <w:tcW w:w="5353" w:type="dxa"/>
            <w:tcBorders>
              <w:top w:val="nil"/>
            </w:tcBorders>
          </w:tcPr>
          <w:p w14:paraId="41716BB2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Forward Primer</w:t>
            </w:r>
            <w:r w:rsidRPr="00A34E44">
              <w:rPr>
                <w:rFonts w:hint="eastAsia"/>
                <w:sz w:val="21"/>
                <w:szCs w:val="21"/>
              </w:rPr>
              <w:t>（</w:t>
            </w:r>
            <w:r w:rsidRPr="00A34E44">
              <w:rPr>
                <w:sz w:val="21"/>
                <w:szCs w:val="21"/>
              </w:rPr>
              <w:t>10 uM</w:t>
            </w:r>
            <w:r w:rsidRPr="00A34E44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3650" w:type="dxa"/>
            <w:tcBorders>
              <w:top w:val="nil"/>
            </w:tcBorders>
          </w:tcPr>
          <w:p w14:paraId="373D6701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rFonts w:hint="eastAsia"/>
                <w:sz w:val="21"/>
                <w:szCs w:val="21"/>
              </w:rPr>
              <w:t xml:space="preserve">0.6 </w:t>
            </w:r>
            <w:r w:rsidRPr="00A34E44">
              <w:rPr>
                <w:sz w:val="21"/>
                <w:szCs w:val="21"/>
              </w:rPr>
              <w:t>ul</w:t>
            </w:r>
          </w:p>
        </w:tc>
      </w:tr>
      <w:tr w:rsidR="00A26690" w14:paraId="7A7BE764" w14:textId="77777777" w:rsidTr="001607F4">
        <w:trPr>
          <w:jc w:val="center"/>
        </w:trPr>
        <w:tc>
          <w:tcPr>
            <w:tcW w:w="5353" w:type="dxa"/>
          </w:tcPr>
          <w:p w14:paraId="66B8C1F8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Reverse Primer</w:t>
            </w:r>
            <w:r w:rsidRPr="00A34E44">
              <w:rPr>
                <w:rFonts w:hint="eastAsia"/>
                <w:sz w:val="21"/>
                <w:szCs w:val="21"/>
              </w:rPr>
              <w:t>（</w:t>
            </w:r>
            <w:r w:rsidRPr="00A34E44">
              <w:rPr>
                <w:sz w:val="21"/>
                <w:szCs w:val="21"/>
              </w:rPr>
              <w:t>10 uM</w:t>
            </w:r>
            <w:r w:rsidRPr="00A34E44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3650" w:type="dxa"/>
          </w:tcPr>
          <w:p w14:paraId="58F6432C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rFonts w:hint="eastAsia"/>
                <w:sz w:val="21"/>
                <w:szCs w:val="21"/>
              </w:rPr>
              <w:t xml:space="preserve">0.6 </w:t>
            </w:r>
            <w:r w:rsidRPr="00A34E44">
              <w:rPr>
                <w:sz w:val="21"/>
                <w:szCs w:val="21"/>
              </w:rPr>
              <w:t>ul</w:t>
            </w:r>
          </w:p>
        </w:tc>
      </w:tr>
      <w:tr w:rsidR="00A26690" w14:paraId="1B0B9245" w14:textId="77777777" w:rsidTr="001607F4">
        <w:trPr>
          <w:jc w:val="center"/>
        </w:trPr>
        <w:tc>
          <w:tcPr>
            <w:tcW w:w="5353" w:type="dxa"/>
          </w:tcPr>
          <w:p w14:paraId="7E68E38E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2x</w:t>
            </w:r>
            <w:r w:rsidRPr="00A34E44">
              <w:rPr>
                <w:i/>
                <w:iCs/>
                <w:sz w:val="21"/>
                <w:szCs w:val="21"/>
              </w:rPr>
              <w:t>PerfectStart</w:t>
            </w:r>
            <w:r w:rsidRPr="00A34E44">
              <w:rPr>
                <w:sz w:val="21"/>
                <w:szCs w:val="21"/>
              </w:rPr>
              <w:t xml:space="preserve"> Green qPCR SuperMix</w:t>
            </w:r>
          </w:p>
        </w:tc>
        <w:tc>
          <w:tcPr>
            <w:tcW w:w="3650" w:type="dxa"/>
          </w:tcPr>
          <w:p w14:paraId="18EEC516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1</w:t>
            </w:r>
            <w:r w:rsidRPr="00A34E44">
              <w:rPr>
                <w:rFonts w:hint="eastAsia"/>
                <w:sz w:val="21"/>
                <w:szCs w:val="21"/>
              </w:rPr>
              <w:t>0 ul</w:t>
            </w:r>
          </w:p>
        </w:tc>
      </w:tr>
      <w:tr w:rsidR="00A26690" w14:paraId="685452CF" w14:textId="77777777" w:rsidTr="001607F4">
        <w:trPr>
          <w:jc w:val="center"/>
        </w:trPr>
        <w:tc>
          <w:tcPr>
            <w:tcW w:w="5353" w:type="dxa"/>
            <w:tcBorders>
              <w:bottom w:val="nil"/>
            </w:tcBorders>
          </w:tcPr>
          <w:p w14:paraId="25F71A2A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Nuclease-free Water</w:t>
            </w:r>
          </w:p>
        </w:tc>
        <w:tc>
          <w:tcPr>
            <w:tcW w:w="3650" w:type="dxa"/>
            <w:tcBorders>
              <w:bottom w:val="nil"/>
            </w:tcBorders>
          </w:tcPr>
          <w:p w14:paraId="13B38079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rFonts w:hint="eastAsia"/>
                <w:sz w:val="21"/>
                <w:szCs w:val="21"/>
              </w:rPr>
              <w:t>7.8 ul</w:t>
            </w:r>
          </w:p>
        </w:tc>
      </w:tr>
      <w:tr w:rsidR="00A26690" w14:paraId="6D9FA7AB" w14:textId="77777777" w:rsidTr="001607F4">
        <w:trPr>
          <w:jc w:val="center"/>
        </w:trPr>
        <w:tc>
          <w:tcPr>
            <w:tcW w:w="5353" w:type="dxa"/>
            <w:tcBorders>
              <w:top w:val="nil"/>
              <w:bottom w:val="single" w:sz="12" w:space="0" w:color="auto"/>
            </w:tcBorders>
          </w:tcPr>
          <w:p w14:paraId="05F9B987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Total volume</w:t>
            </w:r>
          </w:p>
        </w:tc>
        <w:tc>
          <w:tcPr>
            <w:tcW w:w="3650" w:type="dxa"/>
            <w:tcBorders>
              <w:top w:val="nil"/>
              <w:bottom w:val="single" w:sz="12" w:space="0" w:color="auto"/>
            </w:tcBorders>
          </w:tcPr>
          <w:p w14:paraId="584F19DA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 xml:space="preserve">20 </w:t>
            </w:r>
            <w:r w:rsidRPr="00A34E44">
              <w:rPr>
                <w:rFonts w:hint="eastAsia"/>
                <w:sz w:val="21"/>
                <w:szCs w:val="21"/>
              </w:rPr>
              <w:t>u</w:t>
            </w:r>
            <w:r w:rsidRPr="00A34E44">
              <w:rPr>
                <w:sz w:val="21"/>
                <w:szCs w:val="21"/>
              </w:rPr>
              <w:t>l</w:t>
            </w:r>
          </w:p>
        </w:tc>
      </w:tr>
    </w:tbl>
    <w:p w14:paraId="20F04568" w14:textId="77777777" w:rsidR="00A26690" w:rsidRDefault="00A26690" w:rsidP="00A26690">
      <w:pPr>
        <w:widowControl/>
        <w:spacing w:line="240" w:lineRule="auto"/>
        <w:ind w:firstLineChars="0" w:firstLine="0"/>
        <w:jc w:val="left"/>
        <w:rPr>
          <w:rFonts w:eastAsia="黑体"/>
          <w:sz w:val="21"/>
          <w:szCs w:val="21"/>
        </w:rPr>
      </w:pPr>
    </w:p>
    <w:p w14:paraId="3CA36B0B" w14:textId="53BD09F7" w:rsidR="00A26690" w:rsidRPr="006F010F" w:rsidRDefault="00A26690" w:rsidP="00A26690">
      <w:pPr>
        <w:pStyle w:val="af3"/>
        <w:ind w:firstLine="480"/>
        <w:jc w:val="center"/>
        <w:rPr>
          <w:rFonts w:ascii="Times New Roman" w:hAnsi="Times New Roman"/>
          <w:sz w:val="24"/>
          <w:szCs w:val="24"/>
        </w:rPr>
      </w:pPr>
      <w:r w:rsidRPr="006F010F">
        <w:rPr>
          <w:rFonts w:ascii="Times New Roman" w:hAnsi="Times New Roman"/>
          <w:sz w:val="24"/>
          <w:szCs w:val="24"/>
        </w:rPr>
        <w:t>Table</w:t>
      </w:r>
      <w:r w:rsidR="00237F48">
        <w:rPr>
          <w:rFonts w:ascii="Times New Roman" w:hAnsi="Times New Roman" w:hint="eastAsia"/>
          <w:sz w:val="24"/>
          <w:szCs w:val="24"/>
        </w:rPr>
        <w:t xml:space="preserve"> </w:t>
      </w:r>
      <w:r w:rsidR="001C3857">
        <w:rPr>
          <w:rFonts w:ascii="Times New Roman" w:hAnsi="Times New Roman" w:hint="eastAsia"/>
          <w:sz w:val="24"/>
          <w:szCs w:val="24"/>
        </w:rPr>
        <w:t>S</w:t>
      </w:r>
      <w:r w:rsidR="00C8188A">
        <w:rPr>
          <w:rFonts w:ascii="Times New Roman" w:hAnsi="Times New Roman" w:hint="eastAsia"/>
          <w:sz w:val="24"/>
          <w:szCs w:val="24"/>
        </w:rPr>
        <w:t>9</w:t>
      </w:r>
      <w:r w:rsidRPr="006F010F">
        <w:rPr>
          <w:rFonts w:ascii="Times New Roman" w:hAnsi="Times New Roman" w:hint="eastAsia"/>
          <w:sz w:val="24"/>
          <w:szCs w:val="24"/>
        </w:rPr>
        <w:t xml:space="preserve"> </w:t>
      </w:r>
      <w:r w:rsidRPr="006F010F">
        <w:rPr>
          <w:rFonts w:ascii="Times New Roman" w:hAnsi="Times New Roman"/>
          <w:sz w:val="24"/>
          <w:szCs w:val="24"/>
        </w:rPr>
        <w:t>Gene primer sequences for qRT-PCR used to validate RNA-seq</w:t>
      </w:r>
    </w:p>
    <w:tbl>
      <w:tblPr>
        <w:tblStyle w:val="af2"/>
        <w:tblW w:w="5000" w:type="pct"/>
        <w:jc w:val="center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5"/>
        <w:gridCol w:w="2101"/>
        <w:gridCol w:w="4710"/>
      </w:tblGrid>
      <w:tr w:rsidR="00A26690" w14:paraId="40FDFF3C" w14:textId="77777777" w:rsidTr="001607F4">
        <w:trPr>
          <w:jc w:val="center"/>
        </w:trPr>
        <w:tc>
          <w:tcPr>
            <w:tcW w:w="90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44E4AAD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rFonts w:hint="eastAsia"/>
                <w:sz w:val="21"/>
                <w:szCs w:val="21"/>
              </w:rPr>
              <w:t>Gene</w:t>
            </w:r>
          </w:p>
        </w:tc>
        <w:tc>
          <w:tcPr>
            <w:tcW w:w="1265" w:type="pct"/>
            <w:tcBorders>
              <w:top w:val="single" w:sz="12" w:space="0" w:color="auto"/>
              <w:bottom w:val="single" w:sz="4" w:space="0" w:color="auto"/>
            </w:tcBorders>
          </w:tcPr>
          <w:p w14:paraId="2A93CC34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835" w:type="pct"/>
            <w:tcBorders>
              <w:top w:val="single" w:sz="12" w:space="0" w:color="auto"/>
              <w:bottom w:val="single" w:sz="4" w:space="0" w:color="auto"/>
            </w:tcBorders>
          </w:tcPr>
          <w:p w14:paraId="030DBC50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rFonts w:hint="eastAsia"/>
                <w:sz w:val="21"/>
                <w:szCs w:val="21"/>
              </w:rPr>
              <w:t>Sequence</w:t>
            </w:r>
            <w:r w:rsidRPr="00A34E44">
              <w:rPr>
                <w:rFonts w:hint="eastAsia"/>
                <w:sz w:val="21"/>
                <w:szCs w:val="21"/>
              </w:rPr>
              <w:t>（</w:t>
            </w:r>
            <w:r w:rsidRPr="00A34E44">
              <w:rPr>
                <w:sz w:val="21"/>
                <w:szCs w:val="21"/>
              </w:rPr>
              <w:t>forward/reverse</w:t>
            </w:r>
            <w:r w:rsidRPr="00A34E44">
              <w:rPr>
                <w:rFonts w:hint="eastAsia"/>
                <w:sz w:val="21"/>
                <w:szCs w:val="21"/>
              </w:rPr>
              <w:t>）</w:t>
            </w:r>
          </w:p>
        </w:tc>
      </w:tr>
      <w:tr w:rsidR="00A26690" w14:paraId="539A4727" w14:textId="77777777" w:rsidTr="001607F4">
        <w:trPr>
          <w:jc w:val="center"/>
        </w:trPr>
        <w:tc>
          <w:tcPr>
            <w:tcW w:w="900" w:type="pct"/>
            <w:vMerge w:val="restart"/>
            <w:tcBorders>
              <w:top w:val="single" w:sz="4" w:space="0" w:color="auto"/>
            </w:tcBorders>
            <w:vAlign w:val="center"/>
          </w:tcPr>
          <w:p w14:paraId="6B358726" w14:textId="77777777" w:rsidR="00A26690" w:rsidRPr="00927A21" w:rsidRDefault="00A26690" w:rsidP="001607F4">
            <w:pPr>
              <w:spacing w:line="400" w:lineRule="exact"/>
              <w:ind w:firstLineChars="0" w:firstLine="0"/>
              <w:jc w:val="center"/>
              <w:rPr>
                <w:i/>
                <w:iCs/>
                <w:sz w:val="21"/>
                <w:szCs w:val="21"/>
              </w:rPr>
            </w:pPr>
            <w:r w:rsidRPr="00927A21">
              <w:rPr>
                <w:i/>
                <w:iCs/>
                <w:sz w:val="21"/>
                <w:szCs w:val="21"/>
              </w:rPr>
              <w:t>18S rRNA</w:t>
            </w:r>
          </w:p>
        </w:tc>
        <w:tc>
          <w:tcPr>
            <w:tcW w:w="1265" w:type="pct"/>
            <w:tcBorders>
              <w:top w:val="single" w:sz="4" w:space="0" w:color="auto"/>
              <w:bottom w:val="nil"/>
            </w:tcBorders>
          </w:tcPr>
          <w:p w14:paraId="7F8EB24A" w14:textId="77777777" w:rsidR="00A26690" w:rsidRPr="00927A21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927A21">
              <w:rPr>
                <w:sz w:val="21"/>
                <w:szCs w:val="21"/>
              </w:rPr>
              <w:t>Forward primer</w:t>
            </w:r>
          </w:p>
        </w:tc>
        <w:tc>
          <w:tcPr>
            <w:tcW w:w="2835" w:type="pct"/>
            <w:tcBorders>
              <w:top w:val="single" w:sz="4" w:space="0" w:color="auto"/>
              <w:bottom w:val="nil"/>
            </w:tcBorders>
          </w:tcPr>
          <w:p w14:paraId="205AB9E5" w14:textId="77777777" w:rsidR="00A26690" w:rsidRPr="00927A21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927A21">
              <w:rPr>
                <w:sz w:val="21"/>
                <w:szCs w:val="21"/>
              </w:rPr>
              <w:t>GTGGTGTTGAGGAAAGCAGACA</w:t>
            </w:r>
          </w:p>
        </w:tc>
      </w:tr>
      <w:tr w:rsidR="00A26690" w14:paraId="2A689EB9" w14:textId="77777777" w:rsidTr="001607F4">
        <w:trPr>
          <w:jc w:val="center"/>
        </w:trPr>
        <w:tc>
          <w:tcPr>
            <w:tcW w:w="900" w:type="pct"/>
            <w:vMerge/>
            <w:tcBorders>
              <w:top w:val="nil"/>
              <w:bottom w:val="nil"/>
            </w:tcBorders>
            <w:vAlign w:val="center"/>
          </w:tcPr>
          <w:p w14:paraId="60A88F83" w14:textId="77777777" w:rsidR="00A26690" w:rsidRPr="00927A21" w:rsidRDefault="00A26690" w:rsidP="001607F4">
            <w:pPr>
              <w:spacing w:line="400" w:lineRule="exact"/>
              <w:ind w:firstLineChars="0" w:firstLine="0"/>
              <w:jc w:val="center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1265" w:type="pct"/>
            <w:tcBorders>
              <w:top w:val="nil"/>
              <w:bottom w:val="nil"/>
            </w:tcBorders>
          </w:tcPr>
          <w:p w14:paraId="3D968775" w14:textId="77777777" w:rsidR="00A26690" w:rsidRPr="00927A21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927A21">
              <w:rPr>
                <w:sz w:val="21"/>
                <w:szCs w:val="21"/>
              </w:rPr>
              <w:t>Reverse primer</w:t>
            </w:r>
          </w:p>
        </w:tc>
        <w:tc>
          <w:tcPr>
            <w:tcW w:w="2835" w:type="pct"/>
            <w:tcBorders>
              <w:top w:val="nil"/>
              <w:bottom w:val="nil"/>
            </w:tcBorders>
          </w:tcPr>
          <w:p w14:paraId="52D75870" w14:textId="77777777" w:rsidR="00A26690" w:rsidRPr="00927A21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927A21">
              <w:rPr>
                <w:sz w:val="21"/>
                <w:szCs w:val="21"/>
              </w:rPr>
              <w:t>TGATCACACGTTCCACCTCATC</w:t>
            </w:r>
          </w:p>
        </w:tc>
      </w:tr>
      <w:tr w:rsidR="00A26690" w14:paraId="0575E495" w14:textId="77777777" w:rsidTr="001607F4">
        <w:trPr>
          <w:jc w:val="center"/>
        </w:trPr>
        <w:tc>
          <w:tcPr>
            <w:tcW w:w="900" w:type="pct"/>
            <w:vMerge w:val="restart"/>
            <w:tcBorders>
              <w:top w:val="nil"/>
            </w:tcBorders>
            <w:vAlign w:val="center"/>
          </w:tcPr>
          <w:p w14:paraId="0A9DF77A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i/>
                <w:iCs/>
                <w:sz w:val="21"/>
                <w:szCs w:val="21"/>
              </w:rPr>
            </w:pPr>
            <w:r w:rsidRPr="00A34E44">
              <w:rPr>
                <w:i/>
                <w:iCs/>
                <w:sz w:val="21"/>
                <w:szCs w:val="21"/>
              </w:rPr>
              <w:t>IDH1</w:t>
            </w:r>
          </w:p>
        </w:tc>
        <w:tc>
          <w:tcPr>
            <w:tcW w:w="1265" w:type="pct"/>
            <w:tcBorders>
              <w:top w:val="nil"/>
            </w:tcBorders>
            <w:vAlign w:val="center"/>
          </w:tcPr>
          <w:p w14:paraId="692BB5BF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Forward primer</w:t>
            </w:r>
          </w:p>
        </w:tc>
        <w:tc>
          <w:tcPr>
            <w:tcW w:w="2835" w:type="pct"/>
            <w:tcBorders>
              <w:top w:val="nil"/>
            </w:tcBorders>
            <w:vAlign w:val="center"/>
          </w:tcPr>
          <w:p w14:paraId="4CE84397" w14:textId="77777777" w:rsidR="00A26690" w:rsidRPr="00A34E44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GGACAAAAGCCGGGAAGAGA</w:t>
            </w:r>
          </w:p>
        </w:tc>
      </w:tr>
      <w:tr w:rsidR="00A26690" w14:paraId="42772001" w14:textId="77777777" w:rsidTr="001607F4">
        <w:trPr>
          <w:jc w:val="center"/>
        </w:trPr>
        <w:tc>
          <w:tcPr>
            <w:tcW w:w="900" w:type="pct"/>
            <w:vMerge/>
            <w:tcBorders>
              <w:top w:val="nil"/>
            </w:tcBorders>
            <w:vAlign w:val="center"/>
          </w:tcPr>
          <w:p w14:paraId="16CECAC0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1265" w:type="pct"/>
            <w:vAlign w:val="center"/>
          </w:tcPr>
          <w:p w14:paraId="1644D815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Reverse primer</w:t>
            </w:r>
          </w:p>
        </w:tc>
        <w:tc>
          <w:tcPr>
            <w:tcW w:w="2835" w:type="pct"/>
            <w:vAlign w:val="center"/>
          </w:tcPr>
          <w:p w14:paraId="6A22572C" w14:textId="77777777" w:rsidR="00A26690" w:rsidRPr="00A34E44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GACTCAGCTTACCTCCTGCG</w:t>
            </w:r>
          </w:p>
        </w:tc>
      </w:tr>
      <w:tr w:rsidR="00A26690" w14:paraId="3668EA4B" w14:textId="77777777" w:rsidTr="001607F4">
        <w:trPr>
          <w:jc w:val="center"/>
        </w:trPr>
        <w:tc>
          <w:tcPr>
            <w:tcW w:w="900" w:type="pct"/>
            <w:vMerge w:val="restart"/>
            <w:vAlign w:val="center"/>
          </w:tcPr>
          <w:p w14:paraId="6F13AB37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i/>
                <w:iCs/>
                <w:sz w:val="21"/>
                <w:szCs w:val="21"/>
              </w:rPr>
            </w:pPr>
            <w:r w:rsidRPr="00A34E44">
              <w:rPr>
                <w:i/>
                <w:iCs/>
                <w:sz w:val="21"/>
                <w:szCs w:val="21"/>
              </w:rPr>
              <w:t>GLUL</w:t>
            </w:r>
          </w:p>
        </w:tc>
        <w:tc>
          <w:tcPr>
            <w:tcW w:w="1265" w:type="pct"/>
            <w:vAlign w:val="center"/>
          </w:tcPr>
          <w:p w14:paraId="609C498D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Forward primer</w:t>
            </w:r>
          </w:p>
        </w:tc>
        <w:tc>
          <w:tcPr>
            <w:tcW w:w="2835" w:type="pct"/>
            <w:vAlign w:val="center"/>
          </w:tcPr>
          <w:p w14:paraId="66BE87B4" w14:textId="77777777" w:rsidR="00A26690" w:rsidRPr="00A34E44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GGAGAAGAGCCAGCTGTCTAAG</w:t>
            </w:r>
          </w:p>
        </w:tc>
      </w:tr>
      <w:tr w:rsidR="00A26690" w14:paraId="5568AC04" w14:textId="77777777" w:rsidTr="001607F4">
        <w:trPr>
          <w:jc w:val="center"/>
        </w:trPr>
        <w:tc>
          <w:tcPr>
            <w:tcW w:w="900" w:type="pct"/>
            <w:vMerge/>
            <w:vAlign w:val="center"/>
          </w:tcPr>
          <w:p w14:paraId="71F11A48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1265" w:type="pct"/>
            <w:vAlign w:val="center"/>
          </w:tcPr>
          <w:p w14:paraId="498A3098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Reverse primer</w:t>
            </w:r>
          </w:p>
        </w:tc>
        <w:tc>
          <w:tcPr>
            <w:tcW w:w="2835" w:type="pct"/>
            <w:vAlign w:val="center"/>
          </w:tcPr>
          <w:p w14:paraId="55771B8C" w14:textId="77777777" w:rsidR="00A26690" w:rsidRPr="00A34E44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CCACTCGGGCAACTCTTCTA</w:t>
            </w:r>
          </w:p>
        </w:tc>
      </w:tr>
      <w:tr w:rsidR="00A26690" w14:paraId="6C3C5ACA" w14:textId="77777777" w:rsidTr="001607F4">
        <w:trPr>
          <w:jc w:val="center"/>
        </w:trPr>
        <w:tc>
          <w:tcPr>
            <w:tcW w:w="900" w:type="pct"/>
            <w:vMerge w:val="restart"/>
            <w:vAlign w:val="center"/>
          </w:tcPr>
          <w:p w14:paraId="2B9BED58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i/>
                <w:iCs/>
                <w:sz w:val="21"/>
                <w:szCs w:val="21"/>
              </w:rPr>
            </w:pPr>
            <w:r w:rsidRPr="00A34E44">
              <w:rPr>
                <w:i/>
                <w:iCs/>
                <w:sz w:val="21"/>
                <w:szCs w:val="21"/>
              </w:rPr>
              <w:t>NRG4</w:t>
            </w:r>
          </w:p>
        </w:tc>
        <w:tc>
          <w:tcPr>
            <w:tcW w:w="1265" w:type="pct"/>
            <w:vAlign w:val="center"/>
          </w:tcPr>
          <w:p w14:paraId="17ED2548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Forward primer</w:t>
            </w:r>
          </w:p>
        </w:tc>
        <w:tc>
          <w:tcPr>
            <w:tcW w:w="2835" w:type="pct"/>
            <w:vAlign w:val="center"/>
          </w:tcPr>
          <w:p w14:paraId="7FBC0C9A" w14:textId="77777777" w:rsidR="00A26690" w:rsidRPr="00A34E44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CAGTGTCCACCACGGAACTAC</w:t>
            </w:r>
          </w:p>
        </w:tc>
      </w:tr>
      <w:tr w:rsidR="00A26690" w14:paraId="0A5A6DDB" w14:textId="77777777" w:rsidTr="001607F4">
        <w:trPr>
          <w:jc w:val="center"/>
        </w:trPr>
        <w:tc>
          <w:tcPr>
            <w:tcW w:w="900" w:type="pct"/>
            <w:vMerge/>
            <w:vAlign w:val="center"/>
          </w:tcPr>
          <w:p w14:paraId="6273F87C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1265" w:type="pct"/>
            <w:vAlign w:val="center"/>
          </w:tcPr>
          <w:p w14:paraId="161085B1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Reverse primer</w:t>
            </w:r>
          </w:p>
        </w:tc>
        <w:tc>
          <w:tcPr>
            <w:tcW w:w="2835" w:type="pct"/>
            <w:vAlign w:val="center"/>
          </w:tcPr>
          <w:p w14:paraId="12E58635" w14:textId="77777777" w:rsidR="00A26690" w:rsidRPr="00A34E44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GTTGTGCGTGTCCTTAGCAG</w:t>
            </w:r>
          </w:p>
        </w:tc>
      </w:tr>
      <w:tr w:rsidR="00A26690" w14:paraId="07ABA219" w14:textId="77777777" w:rsidTr="001607F4">
        <w:trPr>
          <w:jc w:val="center"/>
        </w:trPr>
        <w:tc>
          <w:tcPr>
            <w:tcW w:w="900" w:type="pct"/>
            <w:vMerge w:val="restart"/>
            <w:vAlign w:val="center"/>
          </w:tcPr>
          <w:p w14:paraId="4A3532CA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i/>
                <w:iCs/>
                <w:sz w:val="21"/>
                <w:szCs w:val="21"/>
              </w:rPr>
            </w:pPr>
            <w:r w:rsidRPr="00A34E44">
              <w:rPr>
                <w:i/>
                <w:iCs/>
                <w:sz w:val="21"/>
                <w:szCs w:val="21"/>
              </w:rPr>
              <w:t>CAMK2A</w:t>
            </w:r>
          </w:p>
        </w:tc>
        <w:tc>
          <w:tcPr>
            <w:tcW w:w="1265" w:type="pct"/>
            <w:vAlign w:val="center"/>
          </w:tcPr>
          <w:p w14:paraId="75EA4D1D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Forward primer</w:t>
            </w:r>
          </w:p>
        </w:tc>
        <w:tc>
          <w:tcPr>
            <w:tcW w:w="2835" w:type="pct"/>
            <w:vAlign w:val="center"/>
          </w:tcPr>
          <w:p w14:paraId="389D5AA8" w14:textId="77777777" w:rsidR="00A26690" w:rsidRPr="00A34E44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AAAGAAAGTCCAGTTCCAGCG</w:t>
            </w:r>
          </w:p>
        </w:tc>
      </w:tr>
      <w:tr w:rsidR="00A26690" w14:paraId="0F483596" w14:textId="77777777" w:rsidTr="001607F4">
        <w:trPr>
          <w:jc w:val="center"/>
        </w:trPr>
        <w:tc>
          <w:tcPr>
            <w:tcW w:w="900" w:type="pct"/>
            <w:vMerge/>
            <w:vAlign w:val="center"/>
          </w:tcPr>
          <w:p w14:paraId="5E763BFF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1265" w:type="pct"/>
            <w:vAlign w:val="center"/>
          </w:tcPr>
          <w:p w14:paraId="78E89833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Reverse primer</w:t>
            </w:r>
          </w:p>
        </w:tc>
        <w:tc>
          <w:tcPr>
            <w:tcW w:w="2835" w:type="pct"/>
            <w:vAlign w:val="center"/>
          </w:tcPr>
          <w:p w14:paraId="0E23D251" w14:textId="77777777" w:rsidR="00A26690" w:rsidRPr="00A34E44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CTCTTGTTTCCGCACTTTGGT</w:t>
            </w:r>
          </w:p>
        </w:tc>
      </w:tr>
      <w:tr w:rsidR="00A26690" w14:paraId="7D3C4E21" w14:textId="77777777" w:rsidTr="001607F4">
        <w:trPr>
          <w:jc w:val="center"/>
        </w:trPr>
        <w:tc>
          <w:tcPr>
            <w:tcW w:w="900" w:type="pct"/>
            <w:vMerge w:val="restart"/>
            <w:vAlign w:val="center"/>
          </w:tcPr>
          <w:p w14:paraId="603C6BE5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i/>
                <w:iCs/>
                <w:sz w:val="21"/>
                <w:szCs w:val="21"/>
              </w:rPr>
            </w:pPr>
            <w:r w:rsidRPr="00A34E44">
              <w:rPr>
                <w:i/>
                <w:iCs/>
                <w:sz w:val="21"/>
                <w:szCs w:val="21"/>
              </w:rPr>
              <w:t>pdxK</w:t>
            </w:r>
          </w:p>
        </w:tc>
        <w:tc>
          <w:tcPr>
            <w:tcW w:w="1265" w:type="pct"/>
            <w:vAlign w:val="center"/>
          </w:tcPr>
          <w:p w14:paraId="09041712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Forward primer</w:t>
            </w:r>
          </w:p>
        </w:tc>
        <w:tc>
          <w:tcPr>
            <w:tcW w:w="2835" w:type="pct"/>
            <w:vAlign w:val="center"/>
          </w:tcPr>
          <w:p w14:paraId="7CF5D012" w14:textId="77777777" w:rsidR="00A26690" w:rsidRPr="00A34E44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GCGGTGAACTCTGTCCAGTT</w:t>
            </w:r>
          </w:p>
        </w:tc>
      </w:tr>
      <w:tr w:rsidR="00A26690" w14:paraId="0533D800" w14:textId="77777777" w:rsidTr="001607F4">
        <w:trPr>
          <w:jc w:val="center"/>
        </w:trPr>
        <w:tc>
          <w:tcPr>
            <w:tcW w:w="900" w:type="pct"/>
            <w:vMerge/>
            <w:vAlign w:val="center"/>
          </w:tcPr>
          <w:p w14:paraId="0D8E311E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1265" w:type="pct"/>
            <w:vAlign w:val="center"/>
          </w:tcPr>
          <w:p w14:paraId="22FEF962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Reverse primer</w:t>
            </w:r>
          </w:p>
        </w:tc>
        <w:tc>
          <w:tcPr>
            <w:tcW w:w="2835" w:type="pct"/>
            <w:vAlign w:val="center"/>
          </w:tcPr>
          <w:p w14:paraId="2AB1E1E5" w14:textId="77777777" w:rsidR="00A26690" w:rsidRPr="00A34E44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CATCACGGGGTCACACACATA</w:t>
            </w:r>
          </w:p>
        </w:tc>
      </w:tr>
      <w:tr w:rsidR="00A26690" w14:paraId="7C9BEC43" w14:textId="77777777" w:rsidTr="001607F4">
        <w:trPr>
          <w:jc w:val="center"/>
        </w:trPr>
        <w:tc>
          <w:tcPr>
            <w:tcW w:w="900" w:type="pct"/>
            <w:vMerge w:val="restart"/>
            <w:vAlign w:val="center"/>
          </w:tcPr>
          <w:p w14:paraId="30F22841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i/>
                <w:iCs/>
                <w:sz w:val="21"/>
                <w:szCs w:val="21"/>
              </w:rPr>
            </w:pPr>
            <w:r w:rsidRPr="00A34E44">
              <w:rPr>
                <w:i/>
                <w:iCs/>
                <w:sz w:val="21"/>
                <w:szCs w:val="21"/>
              </w:rPr>
              <w:t>SCD</w:t>
            </w:r>
          </w:p>
        </w:tc>
        <w:tc>
          <w:tcPr>
            <w:tcW w:w="1265" w:type="pct"/>
            <w:vAlign w:val="center"/>
          </w:tcPr>
          <w:p w14:paraId="54FF1E8D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Forward primer</w:t>
            </w:r>
          </w:p>
        </w:tc>
        <w:tc>
          <w:tcPr>
            <w:tcW w:w="2835" w:type="pct"/>
            <w:vAlign w:val="center"/>
          </w:tcPr>
          <w:p w14:paraId="5A43F85D" w14:textId="77777777" w:rsidR="00A26690" w:rsidRPr="00A34E44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GTGATGTTCCAGAGGAGGTACT</w:t>
            </w:r>
          </w:p>
        </w:tc>
      </w:tr>
      <w:tr w:rsidR="00A26690" w14:paraId="449658B8" w14:textId="77777777" w:rsidTr="001607F4">
        <w:trPr>
          <w:jc w:val="center"/>
        </w:trPr>
        <w:tc>
          <w:tcPr>
            <w:tcW w:w="900" w:type="pct"/>
            <w:vMerge/>
            <w:vAlign w:val="center"/>
          </w:tcPr>
          <w:p w14:paraId="04C3B670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1265" w:type="pct"/>
            <w:vAlign w:val="center"/>
          </w:tcPr>
          <w:p w14:paraId="633A8FF9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Reverse primer</w:t>
            </w:r>
          </w:p>
        </w:tc>
        <w:tc>
          <w:tcPr>
            <w:tcW w:w="2835" w:type="pct"/>
            <w:vAlign w:val="center"/>
          </w:tcPr>
          <w:p w14:paraId="58B22084" w14:textId="77777777" w:rsidR="00A26690" w:rsidRPr="00A34E44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GGGGTTGATGGTCTTGTCGT</w:t>
            </w:r>
          </w:p>
        </w:tc>
      </w:tr>
      <w:tr w:rsidR="00A26690" w14:paraId="269A217E" w14:textId="77777777" w:rsidTr="001607F4">
        <w:trPr>
          <w:jc w:val="center"/>
        </w:trPr>
        <w:tc>
          <w:tcPr>
            <w:tcW w:w="900" w:type="pct"/>
            <w:vMerge w:val="restart"/>
            <w:vAlign w:val="center"/>
          </w:tcPr>
          <w:p w14:paraId="56D672D8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i/>
                <w:iCs/>
                <w:sz w:val="21"/>
                <w:szCs w:val="21"/>
              </w:rPr>
            </w:pPr>
            <w:r w:rsidRPr="00A34E44">
              <w:rPr>
                <w:i/>
                <w:iCs/>
                <w:sz w:val="21"/>
                <w:szCs w:val="21"/>
              </w:rPr>
              <w:t>FADS1</w:t>
            </w:r>
          </w:p>
        </w:tc>
        <w:tc>
          <w:tcPr>
            <w:tcW w:w="1265" w:type="pct"/>
            <w:tcBorders>
              <w:bottom w:val="nil"/>
            </w:tcBorders>
            <w:vAlign w:val="center"/>
          </w:tcPr>
          <w:p w14:paraId="7C00A6CD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Forward primer</w:t>
            </w:r>
          </w:p>
        </w:tc>
        <w:tc>
          <w:tcPr>
            <w:tcW w:w="2835" w:type="pct"/>
            <w:tcBorders>
              <w:bottom w:val="nil"/>
            </w:tcBorders>
            <w:vAlign w:val="center"/>
          </w:tcPr>
          <w:p w14:paraId="400BFA9D" w14:textId="77777777" w:rsidR="00A26690" w:rsidRPr="00A34E44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TGGCTCGTGATTGACCGAAA</w:t>
            </w:r>
          </w:p>
        </w:tc>
      </w:tr>
      <w:tr w:rsidR="00A26690" w14:paraId="78ECE0F7" w14:textId="77777777" w:rsidTr="001607F4">
        <w:trPr>
          <w:jc w:val="center"/>
        </w:trPr>
        <w:tc>
          <w:tcPr>
            <w:tcW w:w="900" w:type="pct"/>
            <w:vMerge/>
            <w:tcBorders>
              <w:bottom w:val="single" w:sz="12" w:space="0" w:color="auto"/>
            </w:tcBorders>
          </w:tcPr>
          <w:p w14:paraId="0203AB0E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265" w:type="pct"/>
            <w:tcBorders>
              <w:top w:val="nil"/>
              <w:bottom w:val="single" w:sz="12" w:space="0" w:color="auto"/>
            </w:tcBorders>
            <w:vAlign w:val="center"/>
          </w:tcPr>
          <w:p w14:paraId="61C5E81D" w14:textId="77777777" w:rsidR="00A26690" w:rsidRPr="00A34E44" w:rsidRDefault="00A26690" w:rsidP="001607F4">
            <w:pPr>
              <w:spacing w:line="400" w:lineRule="exact"/>
              <w:ind w:firstLineChars="0" w:firstLine="0"/>
              <w:jc w:val="center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Reverse primer</w:t>
            </w:r>
          </w:p>
        </w:tc>
        <w:tc>
          <w:tcPr>
            <w:tcW w:w="2835" w:type="pct"/>
            <w:tcBorders>
              <w:top w:val="nil"/>
              <w:bottom w:val="single" w:sz="12" w:space="0" w:color="auto"/>
            </w:tcBorders>
            <w:vAlign w:val="center"/>
          </w:tcPr>
          <w:p w14:paraId="00668AF1" w14:textId="77777777" w:rsidR="00A26690" w:rsidRPr="00A34E44" w:rsidRDefault="00A26690" w:rsidP="001607F4">
            <w:pPr>
              <w:spacing w:line="400" w:lineRule="exact"/>
              <w:ind w:firstLineChars="0" w:firstLine="0"/>
              <w:rPr>
                <w:sz w:val="21"/>
                <w:szCs w:val="21"/>
              </w:rPr>
            </w:pPr>
            <w:r w:rsidRPr="00A34E44">
              <w:rPr>
                <w:sz w:val="21"/>
                <w:szCs w:val="21"/>
              </w:rPr>
              <w:t>CCACAAAAGGATCCGTGGCA</w:t>
            </w:r>
          </w:p>
        </w:tc>
      </w:tr>
    </w:tbl>
    <w:p w14:paraId="327F6463" w14:textId="77777777" w:rsidR="00A26690" w:rsidRPr="00027350" w:rsidRDefault="00A26690" w:rsidP="00A26690">
      <w:pPr>
        <w:widowControl/>
        <w:spacing w:line="240" w:lineRule="auto"/>
        <w:ind w:firstLineChars="0" w:firstLine="0"/>
        <w:jc w:val="left"/>
        <w:rPr>
          <w:szCs w:val="21"/>
        </w:rPr>
      </w:pPr>
      <w:r>
        <w:rPr>
          <w:szCs w:val="21"/>
        </w:rPr>
        <w:br w:type="page"/>
      </w:r>
    </w:p>
    <w:p w14:paraId="5C3AE72E" w14:textId="77777777" w:rsidR="00A26690" w:rsidRDefault="00A26690" w:rsidP="00A26690">
      <w:pPr>
        <w:pStyle w:val="af3"/>
        <w:spacing w:beforeLines="100" w:before="312" w:line="240" w:lineRule="auto"/>
        <w:ind w:firstLine="480"/>
        <w:jc w:val="center"/>
        <w:rPr>
          <w:rFonts w:ascii="Times New Roman" w:hAnsi="Times New Roman"/>
          <w:sz w:val="21"/>
          <w:szCs w:val="21"/>
        </w:rPr>
      </w:pPr>
      <w:r>
        <w:rPr>
          <w:rFonts w:hint="eastAsia"/>
          <w:noProof/>
        </w:rPr>
        <w:lastRenderedPageBreak/>
        <w:drawing>
          <wp:inline distT="0" distB="0" distL="0" distR="0" wp14:anchorId="21999D63" wp14:editId="26421CBB">
            <wp:extent cx="4543470" cy="3060000"/>
            <wp:effectExtent l="0" t="0" r="0" b="7620"/>
            <wp:docPr id="104300143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001439" name="图片 104300143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43470" cy="30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17346" w14:textId="36CBA359" w:rsidR="002F1795" w:rsidRPr="00237F48" w:rsidRDefault="00A26690" w:rsidP="00237F48">
      <w:pPr>
        <w:pStyle w:val="af3"/>
        <w:spacing w:beforeLines="100" w:before="312" w:line="240" w:lineRule="auto"/>
        <w:ind w:firstLine="480"/>
        <w:jc w:val="center"/>
        <w:rPr>
          <w:sz w:val="22"/>
          <w:szCs w:val="22"/>
        </w:rPr>
      </w:pPr>
      <w:r w:rsidRPr="006F010F">
        <w:rPr>
          <w:rFonts w:ascii="Times New Roman" w:hAnsi="Times New Roman"/>
          <w:sz w:val="24"/>
          <w:szCs w:val="24"/>
        </w:rPr>
        <w:t>Figure</w:t>
      </w:r>
      <w:r w:rsidR="00237F48">
        <w:rPr>
          <w:rFonts w:ascii="Times New Roman" w:hAnsi="Times New Roman" w:hint="eastAsia"/>
          <w:sz w:val="24"/>
          <w:szCs w:val="24"/>
        </w:rPr>
        <w:t xml:space="preserve"> </w:t>
      </w:r>
      <w:r w:rsidR="001C3857">
        <w:rPr>
          <w:rFonts w:ascii="Times New Roman" w:hAnsi="Times New Roman" w:hint="eastAsia"/>
          <w:sz w:val="24"/>
          <w:szCs w:val="24"/>
        </w:rPr>
        <w:t>S</w:t>
      </w:r>
      <w:r w:rsidR="00237F48">
        <w:rPr>
          <w:rFonts w:ascii="Times New Roman" w:hAnsi="Times New Roman" w:hint="eastAsia"/>
          <w:sz w:val="24"/>
          <w:szCs w:val="24"/>
        </w:rPr>
        <w:t>1</w:t>
      </w:r>
      <w:r w:rsidRPr="006F010F">
        <w:rPr>
          <w:rFonts w:ascii="Times New Roman" w:hAnsi="Times New Roman"/>
          <w:sz w:val="24"/>
          <w:szCs w:val="24"/>
        </w:rPr>
        <w:t xml:space="preserve"> qRT-PCR validation of</w:t>
      </w:r>
      <w:r w:rsidRPr="006F010F">
        <w:rPr>
          <w:rFonts w:ascii="Times New Roman" w:hAnsi="Times New Roman" w:hint="eastAsia"/>
          <w:sz w:val="24"/>
          <w:szCs w:val="24"/>
        </w:rPr>
        <w:t xml:space="preserve"> key</w:t>
      </w:r>
      <w:r w:rsidRPr="006F010F">
        <w:rPr>
          <w:rFonts w:ascii="Times New Roman" w:hAnsi="Times New Roman"/>
          <w:sz w:val="24"/>
          <w:szCs w:val="24"/>
        </w:rPr>
        <w:t xml:space="preserve"> differentially expressed genes in CON and 600PSE groups</w:t>
      </w:r>
    </w:p>
    <w:sectPr w:rsidR="002F1795" w:rsidRPr="00237F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C2FDC" w14:textId="77777777" w:rsidR="001B2A34" w:rsidRDefault="001B2A34" w:rsidP="00DB13D7">
      <w:pPr>
        <w:spacing w:line="240" w:lineRule="auto"/>
        <w:ind w:firstLine="480"/>
      </w:pPr>
      <w:r>
        <w:separator/>
      </w:r>
    </w:p>
  </w:endnote>
  <w:endnote w:type="continuationSeparator" w:id="0">
    <w:p w14:paraId="326C91C8" w14:textId="77777777" w:rsidR="001B2A34" w:rsidRDefault="001B2A34" w:rsidP="00DB13D7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3DC45" w14:textId="77777777" w:rsidR="00DB13D7" w:rsidRDefault="00DB13D7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D83D2" w14:textId="77777777" w:rsidR="00DB13D7" w:rsidRDefault="00DB13D7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E4D31" w14:textId="77777777" w:rsidR="00DB13D7" w:rsidRDefault="00DB13D7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D4D8E" w14:textId="77777777" w:rsidR="001B2A34" w:rsidRDefault="001B2A34" w:rsidP="00DB13D7">
      <w:pPr>
        <w:spacing w:line="240" w:lineRule="auto"/>
        <w:ind w:firstLine="480"/>
      </w:pPr>
      <w:r>
        <w:separator/>
      </w:r>
    </w:p>
  </w:footnote>
  <w:footnote w:type="continuationSeparator" w:id="0">
    <w:p w14:paraId="2579A9E2" w14:textId="77777777" w:rsidR="001B2A34" w:rsidRDefault="001B2A34" w:rsidP="00DB13D7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311A5" w14:textId="77777777" w:rsidR="00DB13D7" w:rsidRDefault="00DB13D7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209F1" w14:textId="77777777" w:rsidR="00DB13D7" w:rsidRDefault="00DB13D7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0EB40" w14:textId="77777777" w:rsidR="00DB13D7" w:rsidRDefault="00DB13D7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FDB"/>
    <w:rsid w:val="0015547D"/>
    <w:rsid w:val="001620B8"/>
    <w:rsid w:val="00177C36"/>
    <w:rsid w:val="001B2A34"/>
    <w:rsid w:val="001C3857"/>
    <w:rsid w:val="002163C6"/>
    <w:rsid w:val="00237F48"/>
    <w:rsid w:val="002516CE"/>
    <w:rsid w:val="00252E8E"/>
    <w:rsid w:val="002F1795"/>
    <w:rsid w:val="00332F9F"/>
    <w:rsid w:val="003A1546"/>
    <w:rsid w:val="004167D3"/>
    <w:rsid w:val="00450C94"/>
    <w:rsid w:val="004A2C95"/>
    <w:rsid w:val="004B3D40"/>
    <w:rsid w:val="00593318"/>
    <w:rsid w:val="005F4293"/>
    <w:rsid w:val="00617E6B"/>
    <w:rsid w:val="0062108E"/>
    <w:rsid w:val="006732B5"/>
    <w:rsid w:val="0069121C"/>
    <w:rsid w:val="00706F4D"/>
    <w:rsid w:val="007402E9"/>
    <w:rsid w:val="00746DAF"/>
    <w:rsid w:val="00775783"/>
    <w:rsid w:val="007847DF"/>
    <w:rsid w:val="00784948"/>
    <w:rsid w:val="008C4014"/>
    <w:rsid w:val="008F070C"/>
    <w:rsid w:val="00921191"/>
    <w:rsid w:val="009B680E"/>
    <w:rsid w:val="00A175AF"/>
    <w:rsid w:val="00A26690"/>
    <w:rsid w:val="00A67F92"/>
    <w:rsid w:val="00A72E52"/>
    <w:rsid w:val="00AD409D"/>
    <w:rsid w:val="00B62F3F"/>
    <w:rsid w:val="00B668BE"/>
    <w:rsid w:val="00B91FDB"/>
    <w:rsid w:val="00BC7B1D"/>
    <w:rsid w:val="00BD65BB"/>
    <w:rsid w:val="00C00328"/>
    <w:rsid w:val="00C8188A"/>
    <w:rsid w:val="00C8518B"/>
    <w:rsid w:val="00CE09CE"/>
    <w:rsid w:val="00DB13D7"/>
    <w:rsid w:val="00DB1516"/>
    <w:rsid w:val="00DC054B"/>
    <w:rsid w:val="00ED697E"/>
    <w:rsid w:val="00F329D4"/>
    <w:rsid w:val="00F459C1"/>
    <w:rsid w:val="00F97995"/>
    <w:rsid w:val="00FA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CEDB62"/>
  <w14:defaultImageDpi w14:val="32767"/>
  <w15:chartTrackingRefBased/>
  <w15:docId w15:val="{53443AE0-8B38-42F7-A312-C4F292CF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3D7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91F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F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1FD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1FD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1FD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1FD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1FD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1FD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91F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91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91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91FD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91FD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91FDB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B91FDB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B91FDB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B91FDB"/>
    <w:rPr>
      <w:rFonts w:eastAsiaTheme="majorEastAsia" w:cstheme="majorBidi"/>
      <w:color w:val="595959" w:themeColor="text1" w:themeTint="A6"/>
      <w:sz w:val="24"/>
    </w:rPr>
  </w:style>
  <w:style w:type="paragraph" w:styleId="a3">
    <w:name w:val="Title"/>
    <w:basedOn w:val="a"/>
    <w:next w:val="a"/>
    <w:link w:val="a4"/>
    <w:uiPriority w:val="10"/>
    <w:qFormat/>
    <w:rsid w:val="00B91F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91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1FDB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91F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1F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91FDB"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B91F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91F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1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91FDB"/>
    <w:rPr>
      <w:rFonts w:ascii="Times New Roman" w:eastAsia="宋体" w:hAnsi="Times New Roman"/>
      <w:i/>
      <w:iCs/>
      <w:color w:val="0F4761" w:themeColor="accent1" w:themeShade="BF"/>
      <w:sz w:val="24"/>
    </w:rPr>
  </w:style>
  <w:style w:type="character" w:styleId="ad">
    <w:name w:val="Intense Reference"/>
    <w:basedOn w:val="a0"/>
    <w:uiPriority w:val="32"/>
    <w:qFormat/>
    <w:rsid w:val="00B91FD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B13D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B13D7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B13D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B13D7"/>
    <w:rPr>
      <w:rFonts w:ascii="Times New Roman" w:eastAsia="宋体" w:hAnsi="Times New Roman"/>
      <w:sz w:val="18"/>
      <w:szCs w:val="18"/>
    </w:rPr>
  </w:style>
  <w:style w:type="table" w:styleId="af2">
    <w:name w:val="Table Grid"/>
    <w:basedOn w:val="a1"/>
    <w:uiPriority w:val="39"/>
    <w:qFormat/>
    <w:rsid w:val="00A26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caption"/>
    <w:basedOn w:val="a"/>
    <w:next w:val="a"/>
    <w:uiPriority w:val="35"/>
    <w:unhideWhenUsed/>
    <w:qFormat/>
    <w:rsid w:val="00A26690"/>
    <w:pPr>
      <w:spacing w:line="360" w:lineRule="atLeast"/>
      <w:ind w:firstLineChars="0" w:firstLine="0"/>
    </w:pPr>
    <w:rPr>
      <w:rFonts w:ascii="Cambria" w:eastAsia="黑体" w:hAnsi="Cambria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269</Words>
  <Characters>1844</Characters>
  <Application>Microsoft Office Word</Application>
  <DocSecurity>0</DocSecurity>
  <Lines>92</Lines>
  <Paragraphs>70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平安 陈</dc:creator>
  <cp:keywords/>
  <dc:description/>
  <cp:lastModifiedBy>国栋 任</cp:lastModifiedBy>
  <cp:revision>10</cp:revision>
  <dcterms:created xsi:type="dcterms:W3CDTF">2026-04-10T03:59:00Z</dcterms:created>
  <dcterms:modified xsi:type="dcterms:W3CDTF">2026-07-23T09:09:00Z</dcterms:modified>
</cp:coreProperties>
</file>