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CEBA9" w14:textId="22E1B384" w:rsidR="00AB6818" w:rsidRPr="009A7F35" w:rsidRDefault="006522A8" w:rsidP="00AB6818">
      <w:pPr>
        <w:rPr>
          <w:rFonts w:ascii="Times New Roman" w:hAnsi="Times New Roman" w:cs="Times New Roman"/>
          <w:b/>
          <w:bCs/>
        </w:rPr>
      </w:pPr>
      <w:r w:rsidRPr="00BA0ECE">
        <w:rPr>
          <w:rFonts w:ascii="Times New Roman" w:hAnsi="Times New Roman" w:cs="Times New Roman"/>
          <w:b/>
          <w:bCs/>
        </w:rPr>
        <w:t xml:space="preserve">Table </w:t>
      </w:r>
      <w:r w:rsidR="00E126FE">
        <w:rPr>
          <w:rFonts w:ascii="Times New Roman" w:hAnsi="Times New Roman" w:cs="Times New Roman"/>
          <w:b/>
          <w:bCs/>
        </w:rPr>
        <w:t>S</w:t>
      </w:r>
      <w:r w:rsidR="00DB1515">
        <w:rPr>
          <w:rFonts w:ascii="Times New Roman" w:hAnsi="Times New Roman" w:cs="Times New Roman"/>
          <w:b/>
          <w:bCs/>
        </w:rPr>
        <w:t>1</w:t>
      </w:r>
      <w:r w:rsidRPr="00BA0ECE">
        <w:rPr>
          <w:rFonts w:ascii="Times New Roman" w:hAnsi="Times New Roman" w:cs="Times New Roman"/>
          <w:b/>
          <w:bCs/>
        </w:rPr>
        <w:t>. Summary of treatment</w:t>
      </w:r>
      <w:r w:rsidR="00AA7AC5">
        <w:rPr>
          <w:rFonts w:ascii="Times New Roman" w:hAnsi="Times New Roman" w:cs="Times New Roman"/>
          <w:b/>
          <w:bCs/>
        </w:rPr>
        <w:t>-</w:t>
      </w:r>
      <w:r w:rsidRPr="00BA0ECE">
        <w:rPr>
          <w:rFonts w:ascii="Times New Roman" w:hAnsi="Times New Roman" w:cs="Times New Roman"/>
          <w:b/>
          <w:bCs/>
        </w:rPr>
        <w:t>emergent adverse events in the phase I safety population</w:t>
      </w:r>
    </w:p>
    <w:tbl>
      <w:tblPr>
        <w:tblW w:w="10345" w:type="dxa"/>
        <w:tblLayout w:type="fixed"/>
        <w:tblCellMar>
          <w:left w:w="0" w:type="dxa"/>
          <w:right w:w="0" w:type="dxa"/>
        </w:tblCellMar>
        <w:tblLook w:val="0000" w:firstRow="0" w:lastRow="0" w:firstColumn="0" w:lastColumn="0" w:noHBand="0" w:noVBand="0"/>
      </w:tblPr>
      <w:tblGrid>
        <w:gridCol w:w="1795"/>
        <w:gridCol w:w="1620"/>
        <w:gridCol w:w="1710"/>
        <w:gridCol w:w="1350"/>
        <w:gridCol w:w="1260"/>
        <w:gridCol w:w="1260"/>
        <w:gridCol w:w="1350"/>
      </w:tblGrid>
      <w:tr w:rsidR="00AB6818" w:rsidRPr="009A7F35" w14:paraId="544209E7" w14:textId="77777777" w:rsidTr="00B36A04">
        <w:trPr>
          <w:cantSplit/>
          <w:tblHeader/>
        </w:trPr>
        <w:tc>
          <w:tcPr>
            <w:tcW w:w="1795" w:type="dxa"/>
            <w:tcBorders>
              <w:top w:val="single" w:sz="4" w:space="0" w:color="auto"/>
              <w:left w:val="single" w:sz="4" w:space="0" w:color="auto"/>
              <w:bottom w:val="single" w:sz="2" w:space="0" w:color="000000"/>
              <w:right w:val="nil"/>
            </w:tcBorders>
            <w:shd w:val="clear" w:color="auto" w:fill="D9D9D9" w:themeFill="background1" w:themeFillShade="D9"/>
            <w:tcMar>
              <w:left w:w="60" w:type="dxa"/>
              <w:right w:w="60" w:type="dxa"/>
            </w:tcMar>
            <w:vAlign w:val="bottom"/>
          </w:tcPr>
          <w:p w14:paraId="7D698B08" w14:textId="77777777" w:rsidR="00AB6818" w:rsidRPr="009A7F35" w:rsidRDefault="00AB6818" w:rsidP="00B36A04">
            <w:pPr>
              <w:keepNext/>
              <w:adjustRightInd w:val="0"/>
              <w:spacing w:before="60" w:after="60"/>
              <w:rPr>
                <w:rFonts w:ascii="Times New Roman" w:hAnsi="Times New Roman" w:cs="Times New Roman"/>
                <w:b/>
                <w:bCs/>
                <w:color w:val="000000"/>
                <w:sz w:val="18"/>
                <w:szCs w:val="18"/>
              </w:rPr>
            </w:pPr>
            <w:r w:rsidRPr="009A7F35">
              <w:rPr>
                <w:rFonts w:ascii="Times New Roman" w:hAnsi="Times New Roman" w:cs="Times New Roman"/>
                <w:b/>
                <w:bCs/>
                <w:color w:val="000000"/>
                <w:sz w:val="18"/>
                <w:szCs w:val="18"/>
              </w:rPr>
              <w:t xml:space="preserve">Measure, </w:t>
            </w:r>
            <w:r w:rsidRPr="00235182">
              <w:rPr>
                <w:rFonts w:ascii="Times New Roman" w:hAnsi="Times New Roman" w:cs="Times New Roman"/>
                <w:b/>
                <w:bCs/>
                <w:i/>
                <w:iCs/>
                <w:color w:val="000000"/>
                <w:sz w:val="18"/>
                <w:szCs w:val="18"/>
              </w:rPr>
              <w:t>n (%)</w:t>
            </w:r>
          </w:p>
        </w:tc>
        <w:tc>
          <w:tcPr>
            <w:tcW w:w="1620" w:type="dxa"/>
            <w:tcBorders>
              <w:top w:val="single" w:sz="4" w:space="0" w:color="auto"/>
              <w:left w:val="single" w:sz="2" w:space="0" w:color="000000"/>
              <w:bottom w:val="single" w:sz="2" w:space="0" w:color="000000"/>
              <w:right w:val="single" w:sz="4" w:space="0" w:color="auto"/>
            </w:tcBorders>
            <w:shd w:val="clear" w:color="auto" w:fill="D9D9D9" w:themeFill="background1" w:themeFillShade="D9"/>
            <w:tcMar>
              <w:left w:w="60" w:type="dxa"/>
              <w:right w:w="60" w:type="dxa"/>
            </w:tcMar>
            <w:vAlign w:val="bottom"/>
          </w:tcPr>
          <w:p w14:paraId="5507AD89" w14:textId="77777777" w:rsidR="00AB6818" w:rsidRPr="009A7F35" w:rsidRDefault="00AB6818" w:rsidP="00B36A04">
            <w:pPr>
              <w:keepNext/>
              <w:adjustRightInd w:val="0"/>
              <w:spacing w:before="60" w:after="60"/>
              <w:jc w:val="center"/>
              <w:rPr>
                <w:rFonts w:ascii="Times New Roman" w:hAnsi="Times New Roman" w:cs="Times New Roman"/>
                <w:b/>
                <w:bCs/>
                <w:color w:val="000000"/>
                <w:sz w:val="18"/>
                <w:szCs w:val="18"/>
              </w:rPr>
            </w:pPr>
            <w:r w:rsidRPr="009A7F35">
              <w:rPr>
                <w:rFonts w:ascii="Times New Roman" w:hAnsi="Times New Roman" w:cs="Times New Roman"/>
                <w:b/>
                <w:bCs/>
                <w:sz w:val="18"/>
                <w:szCs w:val="18"/>
              </w:rPr>
              <w:t>Selinexor + carboplatin</w:t>
            </w:r>
            <w:r w:rsidRPr="009A7F35">
              <w:rPr>
                <w:rFonts w:ascii="Times New Roman" w:hAnsi="Times New Roman" w:cs="Times New Roman"/>
                <w:b/>
                <w:bCs/>
                <w:color w:val="000000"/>
                <w:sz w:val="18"/>
                <w:szCs w:val="18"/>
              </w:rPr>
              <w:br/>
              <w:t>(</w:t>
            </w:r>
            <w:r w:rsidRPr="00235182">
              <w:rPr>
                <w:rFonts w:ascii="Times New Roman" w:hAnsi="Times New Roman" w:cs="Times New Roman"/>
                <w:b/>
                <w:bCs/>
                <w:i/>
                <w:iCs/>
                <w:color w:val="000000"/>
                <w:sz w:val="18"/>
                <w:szCs w:val="18"/>
              </w:rPr>
              <w:t>N=6</w:t>
            </w:r>
            <w:r w:rsidRPr="009A7F35">
              <w:rPr>
                <w:rFonts w:ascii="Times New Roman" w:hAnsi="Times New Roman" w:cs="Times New Roman"/>
                <w:b/>
                <w:bCs/>
                <w:color w:val="000000"/>
                <w:sz w:val="18"/>
                <w:szCs w:val="18"/>
              </w:rPr>
              <w:t>)</w:t>
            </w:r>
          </w:p>
        </w:tc>
        <w:tc>
          <w:tcPr>
            <w:tcW w:w="1710" w:type="dxa"/>
            <w:tcBorders>
              <w:top w:val="single" w:sz="4" w:space="0" w:color="auto"/>
              <w:left w:val="single" w:sz="2" w:space="0" w:color="000000"/>
              <w:bottom w:val="single" w:sz="2" w:space="0" w:color="000000"/>
              <w:right w:val="single" w:sz="2" w:space="0" w:color="000000"/>
            </w:tcBorders>
            <w:shd w:val="clear" w:color="auto" w:fill="D9D9D9" w:themeFill="background1" w:themeFillShade="D9"/>
            <w:vAlign w:val="bottom"/>
          </w:tcPr>
          <w:p w14:paraId="229955E2" w14:textId="77777777" w:rsidR="00AB6818" w:rsidRPr="009A7F35" w:rsidRDefault="00AB6818" w:rsidP="00B36A04">
            <w:pPr>
              <w:keepNext/>
              <w:adjustRightInd w:val="0"/>
              <w:spacing w:before="60" w:after="60"/>
              <w:jc w:val="center"/>
              <w:rPr>
                <w:rFonts w:ascii="Times New Roman" w:hAnsi="Times New Roman" w:cs="Times New Roman"/>
                <w:b/>
                <w:bCs/>
                <w:color w:val="000000"/>
                <w:sz w:val="18"/>
                <w:szCs w:val="18"/>
              </w:rPr>
            </w:pPr>
            <w:r w:rsidRPr="009A7F35">
              <w:rPr>
                <w:rFonts w:ascii="Times New Roman" w:hAnsi="Times New Roman" w:cs="Times New Roman"/>
                <w:b/>
                <w:bCs/>
                <w:sz w:val="18"/>
                <w:szCs w:val="18"/>
              </w:rPr>
              <w:t>Selinexor + doxorubicin + cyclophosphamide</w:t>
            </w:r>
            <w:r w:rsidRPr="009A7F35">
              <w:rPr>
                <w:rFonts w:ascii="Times New Roman" w:hAnsi="Times New Roman" w:cs="Times New Roman"/>
                <w:b/>
                <w:bCs/>
                <w:color w:val="000000"/>
                <w:sz w:val="18"/>
                <w:szCs w:val="18"/>
              </w:rPr>
              <w:t xml:space="preserve"> (</w:t>
            </w:r>
            <w:r w:rsidRPr="00235182">
              <w:rPr>
                <w:rFonts w:ascii="Times New Roman" w:hAnsi="Times New Roman" w:cs="Times New Roman"/>
                <w:b/>
                <w:bCs/>
                <w:i/>
                <w:iCs/>
                <w:color w:val="000000"/>
                <w:sz w:val="18"/>
                <w:szCs w:val="18"/>
              </w:rPr>
              <w:t>N=4</w:t>
            </w:r>
            <w:r w:rsidRPr="009A7F35">
              <w:rPr>
                <w:rFonts w:ascii="Times New Roman" w:hAnsi="Times New Roman" w:cs="Times New Roman"/>
                <w:b/>
                <w:bCs/>
                <w:color w:val="000000"/>
                <w:sz w:val="18"/>
                <w:szCs w:val="18"/>
              </w:rPr>
              <w:t>)</w:t>
            </w:r>
          </w:p>
        </w:tc>
        <w:tc>
          <w:tcPr>
            <w:tcW w:w="1350" w:type="dxa"/>
            <w:tcBorders>
              <w:top w:val="single" w:sz="4" w:space="0" w:color="auto"/>
              <w:left w:val="single" w:sz="2" w:space="0" w:color="000000"/>
              <w:bottom w:val="single" w:sz="2" w:space="0" w:color="000000"/>
              <w:right w:val="single" w:sz="2" w:space="0" w:color="000000"/>
            </w:tcBorders>
            <w:shd w:val="clear" w:color="auto" w:fill="D9D9D9" w:themeFill="background1" w:themeFillShade="D9"/>
            <w:vAlign w:val="bottom"/>
          </w:tcPr>
          <w:p w14:paraId="6F809544" w14:textId="77777777" w:rsidR="00AB6818" w:rsidRPr="009A7F35" w:rsidRDefault="00AB6818" w:rsidP="00B36A04">
            <w:pPr>
              <w:keepNext/>
              <w:adjustRightInd w:val="0"/>
              <w:spacing w:before="60" w:after="60"/>
              <w:jc w:val="center"/>
              <w:rPr>
                <w:rFonts w:ascii="Times New Roman" w:hAnsi="Times New Roman" w:cs="Times New Roman"/>
                <w:b/>
                <w:bCs/>
                <w:color w:val="000000"/>
                <w:sz w:val="18"/>
                <w:szCs w:val="18"/>
              </w:rPr>
            </w:pPr>
            <w:r w:rsidRPr="009A7F35">
              <w:rPr>
                <w:rFonts w:ascii="Times New Roman" w:hAnsi="Times New Roman" w:cs="Times New Roman"/>
                <w:b/>
                <w:bCs/>
                <w:sz w:val="18"/>
                <w:szCs w:val="18"/>
              </w:rPr>
              <w:t xml:space="preserve">Selinexor + FOLFIRI     </w:t>
            </w:r>
            <w:r w:rsidRPr="009A7F35">
              <w:rPr>
                <w:rFonts w:ascii="Times New Roman" w:hAnsi="Times New Roman" w:cs="Times New Roman"/>
                <w:b/>
                <w:bCs/>
                <w:color w:val="000000"/>
                <w:sz w:val="18"/>
                <w:szCs w:val="18"/>
              </w:rPr>
              <w:t xml:space="preserve"> (</w:t>
            </w:r>
            <w:r w:rsidRPr="00235182">
              <w:rPr>
                <w:rFonts w:ascii="Times New Roman" w:hAnsi="Times New Roman" w:cs="Times New Roman"/>
                <w:b/>
                <w:bCs/>
                <w:i/>
                <w:iCs/>
                <w:color w:val="000000"/>
                <w:sz w:val="18"/>
                <w:szCs w:val="18"/>
              </w:rPr>
              <w:t>N=3</w:t>
            </w:r>
            <w:r w:rsidRPr="009A7F35">
              <w:rPr>
                <w:rFonts w:ascii="Times New Roman" w:hAnsi="Times New Roman" w:cs="Times New Roman"/>
                <w:b/>
                <w:bCs/>
                <w:color w:val="000000"/>
                <w:sz w:val="18"/>
                <w:szCs w:val="18"/>
              </w:rPr>
              <w:t>)</w:t>
            </w:r>
          </w:p>
        </w:tc>
        <w:tc>
          <w:tcPr>
            <w:tcW w:w="1260" w:type="dxa"/>
            <w:tcBorders>
              <w:top w:val="single" w:sz="4" w:space="0" w:color="auto"/>
              <w:left w:val="single" w:sz="2" w:space="0" w:color="000000"/>
              <w:bottom w:val="single" w:sz="2" w:space="0" w:color="000000"/>
              <w:right w:val="single" w:sz="2" w:space="0" w:color="000000"/>
            </w:tcBorders>
            <w:shd w:val="clear" w:color="auto" w:fill="D9D9D9" w:themeFill="background1" w:themeFillShade="D9"/>
            <w:vAlign w:val="bottom"/>
          </w:tcPr>
          <w:p w14:paraId="32EB4D90" w14:textId="77777777" w:rsidR="00AB6818" w:rsidRPr="009A7F35" w:rsidRDefault="00AB6818" w:rsidP="00B36A04">
            <w:pPr>
              <w:keepNext/>
              <w:adjustRightInd w:val="0"/>
              <w:spacing w:before="60" w:after="60"/>
              <w:jc w:val="center"/>
              <w:rPr>
                <w:rFonts w:ascii="Times New Roman" w:hAnsi="Times New Roman" w:cs="Times New Roman"/>
                <w:b/>
                <w:bCs/>
                <w:color w:val="000000"/>
                <w:sz w:val="18"/>
                <w:szCs w:val="18"/>
              </w:rPr>
            </w:pPr>
            <w:r w:rsidRPr="009A7F35">
              <w:rPr>
                <w:rFonts w:ascii="Times New Roman" w:hAnsi="Times New Roman" w:cs="Times New Roman"/>
                <w:b/>
                <w:bCs/>
                <w:sz w:val="18"/>
                <w:szCs w:val="18"/>
              </w:rPr>
              <w:t xml:space="preserve">Selinexor + </w:t>
            </w:r>
            <w:r>
              <w:rPr>
                <w:rFonts w:ascii="Times New Roman" w:hAnsi="Times New Roman" w:cs="Times New Roman"/>
                <w:b/>
                <w:bCs/>
                <w:sz w:val="18"/>
                <w:szCs w:val="18"/>
              </w:rPr>
              <w:t>i</w:t>
            </w:r>
            <w:r w:rsidRPr="009A7F35">
              <w:rPr>
                <w:rFonts w:ascii="Times New Roman" w:hAnsi="Times New Roman" w:cs="Times New Roman"/>
                <w:b/>
                <w:bCs/>
                <w:sz w:val="18"/>
                <w:szCs w:val="18"/>
              </w:rPr>
              <w:t>rinotecan</w:t>
            </w:r>
            <w:r w:rsidRPr="009A7F35">
              <w:rPr>
                <w:rFonts w:ascii="Times New Roman" w:hAnsi="Times New Roman" w:cs="Times New Roman"/>
                <w:b/>
                <w:bCs/>
                <w:color w:val="000000"/>
                <w:sz w:val="18"/>
                <w:szCs w:val="18"/>
              </w:rPr>
              <w:br/>
              <w:t>(</w:t>
            </w:r>
            <w:r w:rsidRPr="00235182">
              <w:rPr>
                <w:rFonts w:ascii="Times New Roman" w:hAnsi="Times New Roman" w:cs="Times New Roman"/>
                <w:b/>
                <w:bCs/>
                <w:i/>
                <w:iCs/>
                <w:color w:val="000000"/>
                <w:sz w:val="18"/>
                <w:szCs w:val="18"/>
              </w:rPr>
              <w:t>N=3</w:t>
            </w:r>
            <w:r w:rsidRPr="009A7F35">
              <w:rPr>
                <w:rFonts w:ascii="Times New Roman" w:hAnsi="Times New Roman" w:cs="Times New Roman"/>
                <w:b/>
                <w:bCs/>
                <w:color w:val="000000"/>
                <w:sz w:val="18"/>
                <w:szCs w:val="18"/>
              </w:rPr>
              <w:t>)</w:t>
            </w:r>
          </w:p>
        </w:tc>
        <w:tc>
          <w:tcPr>
            <w:tcW w:w="1260" w:type="dxa"/>
            <w:tcBorders>
              <w:top w:val="single" w:sz="4" w:space="0" w:color="auto"/>
              <w:left w:val="single" w:sz="2" w:space="0" w:color="000000"/>
              <w:bottom w:val="single" w:sz="2" w:space="0" w:color="000000"/>
              <w:right w:val="single" w:sz="4" w:space="0" w:color="auto"/>
            </w:tcBorders>
            <w:shd w:val="clear" w:color="auto" w:fill="D9D9D9" w:themeFill="background1" w:themeFillShade="D9"/>
            <w:vAlign w:val="bottom"/>
          </w:tcPr>
          <w:p w14:paraId="080B4A88" w14:textId="77777777" w:rsidR="00AB6818" w:rsidRDefault="00AB6818" w:rsidP="00B36A04">
            <w:pPr>
              <w:keepNext/>
              <w:adjustRightInd w:val="0"/>
              <w:spacing w:before="60" w:after="60"/>
              <w:jc w:val="center"/>
              <w:rPr>
                <w:rFonts w:ascii="Times New Roman" w:hAnsi="Times New Roman" w:cs="Times New Roman"/>
                <w:b/>
                <w:bCs/>
                <w:color w:val="000000"/>
                <w:sz w:val="18"/>
                <w:szCs w:val="18"/>
              </w:rPr>
            </w:pPr>
            <w:r w:rsidRPr="009A7F35">
              <w:rPr>
                <w:rFonts w:ascii="Times New Roman" w:hAnsi="Times New Roman" w:cs="Times New Roman"/>
                <w:b/>
                <w:bCs/>
                <w:sz w:val="18"/>
                <w:szCs w:val="18"/>
              </w:rPr>
              <w:t>Selinexor</w:t>
            </w:r>
            <w:r w:rsidRPr="009A7F35">
              <w:rPr>
                <w:rFonts w:ascii="Times New Roman" w:hAnsi="Times New Roman" w:cs="Times New Roman"/>
                <w:b/>
                <w:bCs/>
                <w:color w:val="000000"/>
                <w:sz w:val="18"/>
                <w:szCs w:val="18"/>
              </w:rPr>
              <w:t xml:space="preserve"> + XELOX   </w:t>
            </w:r>
          </w:p>
          <w:p w14:paraId="3437063E" w14:textId="77777777" w:rsidR="00AB6818" w:rsidRPr="009A7F35" w:rsidRDefault="00AB6818" w:rsidP="00B36A04">
            <w:pPr>
              <w:keepNext/>
              <w:adjustRightInd w:val="0"/>
              <w:spacing w:before="60" w:after="60"/>
              <w:jc w:val="center"/>
              <w:rPr>
                <w:rFonts w:ascii="Times New Roman" w:hAnsi="Times New Roman" w:cs="Times New Roman"/>
                <w:b/>
                <w:bCs/>
                <w:color w:val="000000"/>
                <w:sz w:val="18"/>
                <w:szCs w:val="18"/>
              </w:rPr>
            </w:pPr>
            <w:r w:rsidRPr="009A7F35">
              <w:rPr>
                <w:rFonts w:ascii="Times New Roman" w:hAnsi="Times New Roman" w:cs="Times New Roman"/>
                <w:b/>
                <w:bCs/>
                <w:color w:val="000000"/>
                <w:sz w:val="18"/>
                <w:szCs w:val="18"/>
              </w:rPr>
              <w:t>(</w:t>
            </w:r>
            <w:r w:rsidRPr="00235182">
              <w:rPr>
                <w:rFonts w:ascii="Times New Roman" w:hAnsi="Times New Roman" w:cs="Times New Roman"/>
                <w:b/>
                <w:bCs/>
                <w:i/>
                <w:iCs/>
                <w:color w:val="000000"/>
                <w:sz w:val="18"/>
                <w:szCs w:val="18"/>
              </w:rPr>
              <w:t>N=3</w:t>
            </w:r>
            <w:r w:rsidRPr="009A7F35">
              <w:rPr>
                <w:rFonts w:ascii="Times New Roman" w:hAnsi="Times New Roman" w:cs="Times New Roman"/>
                <w:b/>
                <w:bCs/>
                <w:color w:val="000000"/>
                <w:sz w:val="18"/>
                <w:szCs w:val="18"/>
              </w:rPr>
              <w:t>)</w:t>
            </w:r>
          </w:p>
        </w:tc>
        <w:tc>
          <w:tcPr>
            <w:tcW w:w="1350" w:type="dxa"/>
            <w:tcBorders>
              <w:top w:val="single" w:sz="4" w:space="0" w:color="auto"/>
              <w:left w:val="single" w:sz="2" w:space="0" w:color="000000"/>
              <w:bottom w:val="single" w:sz="2" w:space="0" w:color="000000"/>
              <w:right w:val="single" w:sz="4" w:space="0" w:color="auto"/>
            </w:tcBorders>
            <w:shd w:val="clear" w:color="auto" w:fill="D9D9D9" w:themeFill="background1" w:themeFillShade="D9"/>
          </w:tcPr>
          <w:p w14:paraId="3DF75343" w14:textId="77777777" w:rsidR="00AB6818" w:rsidRPr="009A7F35" w:rsidRDefault="00AB6818" w:rsidP="00B36A04">
            <w:pPr>
              <w:keepNext/>
              <w:adjustRightInd w:val="0"/>
              <w:spacing w:before="60" w:after="60"/>
              <w:jc w:val="center"/>
              <w:rPr>
                <w:rFonts w:ascii="Times New Roman" w:hAnsi="Times New Roman" w:cs="Times New Roman"/>
                <w:b/>
                <w:bCs/>
                <w:color w:val="000000"/>
                <w:sz w:val="18"/>
                <w:szCs w:val="18"/>
              </w:rPr>
            </w:pPr>
            <w:r w:rsidRPr="009A7F35">
              <w:rPr>
                <w:rFonts w:ascii="Times New Roman" w:hAnsi="Times New Roman" w:cs="Times New Roman"/>
                <w:b/>
                <w:bCs/>
                <w:color w:val="000000"/>
                <w:sz w:val="18"/>
                <w:szCs w:val="18"/>
              </w:rPr>
              <w:t xml:space="preserve">                             All Patients</w:t>
            </w:r>
            <w:r w:rsidRPr="009A7F35">
              <w:rPr>
                <w:rFonts w:ascii="Times New Roman" w:hAnsi="Times New Roman" w:cs="Times New Roman"/>
                <w:b/>
                <w:bCs/>
                <w:color w:val="000000"/>
                <w:sz w:val="18"/>
                <w:szCs w:val="18"/>
              </w:rPr>
              <w:br/>
              <w:t>(</w:t>
            </w:r>
            <w:r w:rsidRPr="00235182">
              <w:rPr>
                <w:rFonts w:ascii="Times New Roman" w:hAnsi="Times New Roman" w:cs="Times New Roman"/>
                <w:b/>
                <w:bCs/>
                <w:i/>
                <w:iCs/>
                <w:color w:val="000000"/>
                <w:sz w:val="18"/>
                <w:szCs w:val="18"/>
              </w:rPr>
              <w:t>N=19</w:t>
            </w:r>
            <w:r w:rsidRPr="009A7F35">
              <w:rPr>
                <w:rFonts w:ascii="Times New Roman" w:hAnsi="Times New Roman" w:cs="Times New Roman"/>
                <w:b/>
                <w:bCs/>
                <w:color w:val="000000"/>
                <w:sz w:val="18"/>
                <w:szCs w:val="18"/>
              </w:rPr>
              <w:t>)</w:t>
            </w:r>
          </w:p>
        </w:tc>
      </w:tr>
      <w:tr w:rsidR="00AB6818" w:rsidRPr="009A7F35" w14:paraId="7BD559CA" w14:textId="77777777" w:rsidTr="00B36A04">
        <w:trPr>
          <w:cantSplit/>
        </w:trPr>
        <w:tc>
          <w:tcPr>
            <w:tcW w:w="1795" w:type="dxa"/>
            <w:tcBorders>
              <w:top w:val="single" w:sz="2" w:space="0" w:color="000000"/>
              <w:left w:val="single" w:sz="4" w:space="0" w:color="auto"/>
              <w:right w:val="nil"/>
            </w:tcBorders>
            <w:shd w:val="clear" w:color="auto" w:fill="auto"/>
            <w:tcMar>
              <w:left w:w="60" w:type="dxa"/>
              <w:right w:w="60" w:type="dxa"/>
            </w:tcMar>
          </w:tcPr>
          <w:p w14:paraId="0482D796" w14:textId="77777777" w:rsidR="00AB6818" w:rsidRPr="009A7F35" w:rsidRDefault="00AB6818" w:rsidP="00B36A04">
            <w:pPr>
              <w:adjustRightInd w:val="0"/>
              <w:spacing w:before="60" w:after="60"/>
              <w:rPr>
                <w:rFonts w:ascii="Times New Roman" w:hAnsi="Times New Roman" w:cs="Times New Roman"/>
                <w:bCs/>
                <w:color w:val="000000"/>
                <w:sz w:val="18"/>
                <w:szCs w:val="18"/>
              </w:rPr>
            </w:pPr>
            <w:r w:rsidRPr="009A7F35">
              <w:rPr>
                <w:rFonts w:ascii="Times New Roman" w:hAnsi="Times New Roman" w:cs="Times New Roman"/>
                <w:sz w:val="18"/>
                <w:szCs w:val="18"/>
              </w:rPr>
              <w:t>≥ 1 TEAE</w:t>
            </w:r>
          </w:p>
        </w:tc>
        <w:tc>
          <w:tcPr>
            <w:tcW w:w="1620" w:type="dxa"/>
            <w:tcBorders>
              <w:top w:val="single" w:sz="2" w:space="0" w:color="000000"/>
              <w:left w:val="single" w:sz="2" w:space="0" w:color="000000"/>
              <w:right w:val="single" w:sz="4" w:space="0" w:color="auto"/>
            </w:tcBorders>
            <w:shd w:val="clear" w:color="auto" w:fill="auto"/>
            <w:tcMar>
              <w:left w:w="60" w:type="dxa"/>
              <w:right w:w="60" w:type="dxa"/>
            </w:tcMar>
          </w:tcPr>
          <w:p w14:paraId="2A9541DA"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6 (100)</w:t>
            </w:r>
          </w:p>
        </w:tc>
        <w:tc>
          <w:tcPr>
            <w:tcW w:w="1710" w:type="dxa"/>
            <w:tcBorders>
              <w:top w:val="single" w:sz="2" w:space="0" w:color="000000"/>
              <w:left w:val="single" w:sz="2" w:space="0" w:color="000000"/>
              <w:right w:val="single" w:sz="2" w:space="0" w:color="000000"/>
            </w:tcBorders>
          </w:tcPr>
          <w:p w14:paraId="3B0C100D"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4 (100)</w:t>
            </w:r>
          </w:p>
        </w:tc>
        <w:tc>
          <w:tcPr>
            <w:tcW w:w="1350" w:type="dxa"/>
            <w:tcBorders>
              <w:top w:val="single" w:sz="2" w:space="0" w:color="000000"/>
              <w:left w:val="single" w:sz="2" w:space="0" w:color="000000"/>
              <w:right w:val="single" w:sz="2" w:space="0" w:color="000000"/>
            </w:tcBorders>
          </w:tcPr>
          <w:p w14:paraId="58D0A3FA"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3 (100)</w:t>
            </w:r>
          </w:p>
        </w:tc>
        <w:tc>
          <w:tcPr>
            <w:tcW w:w="1260" w:type="dxa"/>
            <w:tcBorders>
              <w:top w:val="single" w:sz="2" w:space="0" w:color="000000"/>
              <w:left w:val="single" w:sz="2" w:space="0" w:color="000000"/>
              <w:right w:val="single" w:sz="2" w:space="0" w:color="000000"/>
            </w:tcBorders>
          </w:tcPr>
          <w:p w14:paraId="572FA52E"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3 (100)</w:t>
            </w:r>
          </w:p>
        </w:tc>
        <w:tc>
          <w:tcPr>
            <w:tcW w:w="1260" w:type="dxa"/>
            <w:tcBorders>
              <w:top w:val="single" w:sz="2" w:space="0" w:color="000000"/>
              <w:left w:val="single" w:sz="2" w:space="0" w:color="000000"/>
              <w:right w:val="single" w:sz="4" w:space="0" w:color="auto"/>
            </w:tcBorders>
          </w:tcPr>
          <w:p w14:paraId="59E0BD1C"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3 (100)</w:t>
            </w:r>
          </w:p>
        </w:tc>
        <w:tc>
          <w:tcPr>
            <w:tcW w:w="1350" w:type="dxa"/>
            <w:tcBorders>
              <w:top w:val="single" w:sz="2" w:space="0" w:color="000000"/>
              <w:left w:val="single" w:sz="2" w:space="0" w:color="000000"/>
              <w:right w:val="single" w:sz="4" w:space="0" w:color="auto"/>
            </w:tcBorders>
          </w:tcPr>
          <w:p w14:paraId="1DC3CE7D"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19 (100)</w:t>
            </w:r>
          </w:p>
        </w:tc>
      </w:tr>
      <w:tr w:rsidR="00AB6818" w:rsidRPr="009A7F35" w14:paraId="3988DC66" w14:textId="77777777" w:rsidTr="00B36A04">
        <w:trPr>
          <w:cantSplit/>
        </w:trPr>
        <w:tc>
          <w:tcPr>
            <w:tcW w:w="1795" w:type="dxa"/>
            <w:tcBorders>
              <w:left w:val="single" w:sz="4" w:space="0" w:color="auto"/>
              <w:right w:val="nil"/>
            </w:tcBorders>
            <w:shd w:val="clear" w:color="auto" w:fill="auto"/>
            <w:tcMar>
              <w:left w:w="60" w:type="dxa"/>
              <w:right w:w="60" w:type="dxa"/>
            </w:tcMar>
          </w:tcPr>
          <w:p w14:paraId="42E2860E" w14:textId="77777777" w:rsidR="00AB6818" w:rsidRPr="009A7F35" w:rsidRDefault="00AB6818" w:rsidP="00B36A04">
            <w:pPr>
              <w:adjustRightInd w:val="0"/>
              <w:spacing w:before="60" w:after="60"/>
              <w:rPr>
                <w:rFonts w:ascii="Times New Roman" w:hAnsi="Times New Roman" w:cs="Times New Roman"/>
                <w:color w:val="000000"/>
                <w:sz w:val="18"/>
                <w:szCs w:val="18"/>
              </w:rPr>
            </w:pPr>
            <w:r w:rsidRPr="009A7F35">
              <w:rPr>
                <w:rFonts w:ascii="Times New Roman" w:hAnsi="Times New Roman" w:cs="Times New Roman"/>
                <w:sz w:val="18"/>
                <w:szCs w:val="18"/>
              </w:rPr>
              <w:t>≥ 1 TRAE</w:t>
            </w:r>
          </w:p>
        </w:tc>
        <w:tc>
          <w:tcPr>
            <w:tcW w:w="1620" w:type="dxa"/>
            <w:tcBorders>
              <w:left w:val="single" w:sz="2" w:space="0" w:color="000000"/>
              <w:right w:val="single" w:sz="4" w:space="0" w:color="auto"/>
            </w:tcBorders>
            <w:shd w:val="clear" w:color="auto" w:fill="auto"/>
            <w:tcMar>
              <w:left w:w="60" w:type="dxa"/>
              <w:right w:w="60" w:type="dxa"/>
            </w:tcMar>
          </w:tcPr>
          <w:p w14:paraId="073DA1AE"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6 (100)</w:t>
            </w:r>
          </w:p>
        </w:tc>
        <w:tc>
          <w:tcPr>
            <w:tcW w:w="1710" w:type="dxa"/>
            <w:tcBorders>
              <w:left w:val="single" w:sz="2" w:space="0" w:color="000000"/>
              <w:right w:val="single" w:sz="2" w:space="0" w:color="000000"/>
            </w:tcBorders>
          </w:tcPr>
          <w:p w14:paraId="62703479"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4 (100)</w:t>
            </w:r>
          </w:p>
        </w:tc>
        <w:tc>
          <w:tcPr>
            <w:tcW w:w="1350" w:type="dxa"/>
            <w:tcBorders>
              <w:left w:val="single" w:sz="2" w:space="0" w:color="000000"/>
              <w:right w:val="single" w:sz="2" w:space="0" w:color="000000"/>
            </w:tcBorders>
          </w:tcPr>
          <w:p w14:paraId="059A02DE"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3 (100)</w:t>
            </w:r>
          </w:p>
        </w:tc>
        <w:tc>
          <w:tcPr>
            <w:tcW w:w="1260" w:type="dxa"/>
            <w:tcBorders>
              <w:left w:val="single" w:sz="2" w:space="0" w:color="000000"/>
              <w:right w:val="single" w:sz="2" w:space="0" w:color="000000"/>
            </w:tcBorders>
          </w:tcPr>
          <w:p w14:paraId="006CAA43"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3 (100)</w:t>
            </w:r>
          </w:p>
        </w:tc>
        <w:tc>
          <w:tcPr>
            <w:tcW w:w="1260" w:type="dxa"/>
            <w:tcBorders>
              <w:left w:val="single" w:sz="2" w:space="0" w:color="000000"/>
              <w:right w:val="single" w:sz="4" w:space="0" w:color="auto"/>
            </w:tcBorders>
          </w:tcPr>
          <w:p w14:paraId="63CC74E0"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3 (100)</w:t>
            </w:r>
          </w:p>
        </w:tc>
        <w:tc>
          <w:tcPr>
            <w:tcW w:w="1350" w:type="dxa"/>
            <w:tcBorders>
              <w:left w:val="single" w:sz="2" w:space="0" w:color="000000"/>
              <w:right w:val="single" w:sz="4" w:space="0" w:color="auto"/>
            </w:tcBorders>
          </w:tcPr>
          <w:p w14:paraId="35AC997B"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19 (100)</w:t>
            </w:r>
          </w:p>
        </w:tc>
      </w:tr>
      <w:tr w:rsidR="00AB6818" w:rsidRPr="009A7F35" w14:paraId="6ECF65F8" w14:textId="77777777" w:rsidTr="00B36A04">
        <w:trPr>
          <w:cantSplit/>
        </w:trPr>
        <w:tc>
          <w:tcPr>
            <w:tcW w:w="1795" w:type="dxa"/>
            <w:tcBorders>
              <w:left w:val="single" w:sz="4" w:space="0" w:color="auto"/>
              <w:right w:val="nil"/>
            </w:tcBorders>
            <w:shd w:val="clear" w:color="auto" w:fill="auto"/>
            <w:tcMar>
              <w:left w:w="60" w:type="dxa"/>
              <w:right w:w="60" w:type="dxa"/>
            </w:tcMar>
          </w:tcPr>
          <w:p w14:paraId="527C114A" w14:textId="77777777" w:rsidR="00AB6818" w:rsidRPr="009A7F35" w:rsidRDefault="00AB6818" w:rsidP="00B36A04">
            <w:pPr>
              <w:adjustRightInd w:val="0"/>
              <w:spacing w:before="60" w:after="60"/>
              <w:rPr>
                <w:rFonts w:ascii="Times New Roman" w:hAnsi="Times New Roman" w:cs="Times New Roman"/>
                <w:color w:val="000000"/>
                <w:sz w:val="18"/>
                <w:szCs w:val="18"/>
              </w:rPr>
            </w:pPr>
            <w:r w:rsidRPr="009A7F35">
              <w:rPr>
                <w:rFonts w:ascii="Times New Roman" w:hAnsi="Times New Roman" w:cs="Times New Roman"/>
                <w:sz w:val="18"/>
                <w:szCs w:val="18"/>
              </w:rPr>
              <w:t>Grade 3/4 TEAE</w:t>
            </w:r>
          </w:p>
        </w:tc>
        <w:tc>
          <w:tcPr>
            <w:tcW w:w="1620" w:type="dxa"/>
            <w:tcBorders>
              <w:left w:val="single" w:sz="2" w:space="0" w:color="000000"/>
              <w:right w:val="single" w:sz="4" w:space="0" w:color="auto"/>
            </w:tcBorders>
            <w:shd w:val="clear" w:color="auto" w:fill="auto"/>
            <w:tcMar>
              <w:left w:w="60" w:type="dxa"/>
              <w:right w:w="60" w:type="dxa"/>
            </w:tcMar>
          </w:tcPr>
          <w:p w14:paraId="7CB034B9"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6 (100)</w:t>
            </w:r>
          </w:p>
        </w:tc>
        <w:tc>
          <w:tcPr>
            <w:tcW w:w="1710" w:type="dxa"/>
            <w:tcBorders>
              <w:left w:val="single" w:sz="2" w:space="0" w:color="000000"/>
              <w:right w:val="single" w:sz="2" w:space="0" w:color="000000"/>
            </w:tcBorders>
          </w:tcPr>
          <w:p w14:paraId="0EE38C2E"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4 (100)</w:t>
            </w:r>
          </w:p>
        </w:tc>
        <w:tc>
          <w:tcPr>
            <w:tcW w:w="1350" w:type="dxa"/>
            <w:tcBorders>
              <w:left w:val="single" w:sz="2" w:space="0" w:color="000000"/>
              <w:right w:val="single" w:sz="2" w:space="0" w:color="000000"/>
            </w:tcBorders>
          </w:tcPr>
          <w:p w14:paraId="4A8574A3"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3 (100)</w:t>
            </w:r>
          </w:p>
        </w:tc>
        <w:tc>
          <w:tcPr>
            <w:tcW w:w="1260" w:type="dxa"/>
            <w:tcBorders>
              <w:left w:val="single" w:sz="2" w:space="0" w:color="000000"/>
              <w:right w:val="single" w:sz="2" w:space="0" w:color="000000"/>
            </w:tcBorders>
          </w:tcPr>
          <w:p w14:paraId="7CD86654"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2 (67)</w:t>
            </w:r>
          </w:p>
        </w:tc>
        <w:tc>
          <w:tcPr>
            <w:tcW w:w="1260" w:type="dxa"/>
            <w:tcBorders>
              <w:left w:val="single" w:sz="2" w:space="0" w:color="000000"/>
              <w:right w:val="single" w:sz="4" w:space="0" w:color="auto"/>
            </w:tcBorders>
          </w:tcPr>
          <w:p w14:paraId="14DAB1E9"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 (33)</w:t>
            </w:r>
          </w:p>
        </w:tc>
        <w:tc>
          <w:tcPr>
            <w:tcW w:w="1350" w:type="dxa"/>
            <w:tcBorders>
              <w:left w:val="single" w:sz="2" w:space="0" w:color="000000"/>
              <w:right w:val="single" w:sz="4" w:space="0" w:color="auto"/>
            </w:tcBorders>
          </w:tcPr>
          <w:p w14:paraId="24E7E1D5"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6"/>
                <w:szCs w:val="16"/>
              </w:rPr>
              <w:t>16 (84)</w:t>
            </w:r>
          </w:p>
        </w:tc>
      </w:tr>
      <w:tr w:rsidR="00AB6818" w:rsidRPr="009A7F35" w14:paraId="5C2C1FE3" w14:textId="77777777" w:rsidTr="00B36A04">
        <w:trPr>
          <w:cantSplit/>
        </w:trPr>
        <w:tc>
          <w:tcPr>
            <w:tcW w:w="1795" w:type="dxa"/>
            <w:tcBorders>
              <w:left w:val="single" w:sz="4" w:space="0" w:color="auto"/>
              <w:right w:val="nil"/>
            </w:tcBorders>
            <w:shd w:val="clear" w:color="auto" w:fill="auto"/>
            <w:tcMar>
              <w:left w:w="60" w:type="dxa"/>
              <w:right w:w="60" w:type="dxa"/>
            </w:tcMar>
          </w:tcPr>
          <w:p w14:paraId="2587C0C6" w14:textId="77777777" w:rsidR="00AB6818" w:rsidRPr="009A7F35" w:rsidRDefault="00AB6818" w:rsidP="00B36A04">
            <w:pPr>
              <w:adjustRightInd w:val="0"/>
              <w:spacing w:before="60" w:after="60"/>
              <w:rPr>
                <w:rFonts w:ascii="Times New Roman" w:hAnsi="Times New Roman" w:cs="Times New Roman"/>
                <w:color w:val="000000"/>
                <w:sz w:val="18"/>
                <w:szCs w:val="18"/>
              </w:rPr>
            </w:pPr>
            <w:r w:rsidRPr="009A7F35">
              <w:rPr>
                <w:rFonts w:ascii="Times New Roman" w:hAnsi="Times New Roman" w:cs="Times New Roman"/>
                <w:sz w:val="18"/>
                <w:szCs w:val="18"/>
              </w:rPr>
              <w:t>Grade 3/4 TRAE</w:t>
            </w:r>
          </w:p>
        </w:tc>
        <w:tc>
          <w:tcPr>
            <w:tcW w:w="1620" w:type="dxa"/>
            <w:tcBorders>
              <w:left w:val="single" w:sz="2" w:space="0" w:color="000000"/>
              <w:right w:val="single" w:sz="4" w:space="0" w:color="auto"/>
            </w:tcBorders>
            <w:shd w:val="clear" w:color="auto" w:fill="auto"/>
            <w:tcMar>
              <w:left w:w="60" w:type="dxa"/>
              <w:right w:w="60" w:type="dxa"/>
            </w:tcMar>
          </w:tcPr>
          <w:p w14:paraId="63FB3223"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6 (100)</w:t>
            </w:r>
          </w:p>
        </w:tc>
        <w:tc>
          <w:tcPr>
            <w:tcW w:w="1710" w:type="dxa"/>
            <w:tcBorders>
              <w:left w:val="single" w:sz="2" w:space="0" w:color="000000"/>
              <w:right w:val="single" w:sz="2" w:space="0" w:color="000000"/>
            </w:tcBorders>
          </w:tcPr>
          <w:p w14:paraId="36BF4A1F"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4 (100)</w:t>
            </w:r>
          </w:p>
        </w:tc>
        <w:tc>
          <w:tcPr>
            <w:tcW w:w="1350" w:type="dxa"/>
            <w:tcBorders>
              <w:left w:val="single" w:sz="2" w:space="0" w:color="000000"/>
              <w:right w:val="single" w:sz="2" w:space="0" w:color="000000"/>
            </w:tcBorders>
          </w:tcPr>
          <w:p w14:paraId="638B6632"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3 (100)</w:t>
            </w:r>
          </w:p>
        </w:tc>
        <w:tc>
          <w:tcPr>
            <w:tcW w:w="1260" w:type="dxa"/>
            <w:tcBorders>
              <w:left w:val="single" w:sz="2" w:space="0" w:color="000000"/>
              <w:right w:val="single" w:sz="2" w:space="0" w:color="000000"/>
            </w:tcBorders>
          </w:tcPr>
          <w:p w14:paraId="75DC6B52"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2 (67)</w:t>
            </w:r>
          </w:p>
        </w:tc>
        <w:tc>
          <w:tcPr>
            <w:tcW w:w="1260" w:type="dxa"/>
            <w:tcBorders>
              <w:left w:val="single" w:sz="2" w:space="0" w:color="000000"/>
              <w:right w:val="single" w:sz="4" w:space="0" w:color="auto"/>
            </w:tcBorders>
          </w:tcPr>
          <w:p w14:paraId="240E1CDB"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 (33)</w:t>
            </w:r>
          </w:p>
        </w:tc>
        <w:tc>
          <w:tcPr>
            <w:tcW w:w="1350" w:type="dxa"/>
            <w:tcBorders>
              <w:left w:val="single" w:sz="2" w:space="0" w:color="000000"/>
              <w:right w:val="single" w:sz="4" w:space="0" w:color="auto"/>
            </w:tcBorders>
          </w:tcPr>
          <w:p w14:paraId="4C75BEF8"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16 (84)</w:t>
            </w:r>
          </w:p>
        </w:tc>
      </w:tr>
      <w:tr w:rsidR="00AB6818" w:rsidRPr="009A7F35" w14:paraId="4A0CDCBF" w14:textId="77777777" w:rsidTr="00B36A04">
        <w:trPr>
          <w:cantSplit/>
        </w:trPr>
        <w:tc>
          <w:tcPr>
            <w:tcW w:w="1795" w:type="dxa"/>
            <w:tcBorders>
              <w:left w:val="single" w:sz="4" w:space="0" w:color="auto"/>
              <w:right w:val="nil"/>
            </w:tcBorders>
            <w:shd w:val="clear" w:color="auto" w:fill="auto"/>
            <w:tcMar>
              <w:left w:w="60" w:type="dxa"/>
              <w:right w:w="60" w:type="dxa"/>
            </w:tcMar>
          </w:tcPr>
          <w:p w14:paraId="23D0219B" w14:textId="77777777" w:rsidR="00AB6818" w:rsidRPr="009A7F35" w:rsidRDefault="00AB6818" w:rsidP="00B36A04">
            <w:pPr>
              <w:adjustRightInd w:val="0"/>
              <w:spacing w:before="60" w:after="60"/>
              <w:rPr>
                <w:rFonts w:ascii="Times New Roman" w:hAnsi="Times New Roman" w:cs="Times New Roman"/>
                <w:color w:val="000000"/>
                <w:sz w:val="18"/>
                <w:szCs w:val="18"/>
              </w:rPr>
            </w:pPr>
            <w:r w:rsidRPr="009A7F35">
              <w:rPr>
                <w:rFonts w:ascii="Times New Roman" w:hAnsi="Times New Roman" w:cs="Times New Roman"/>
                <w:sz w:val="18"/>
                <w:szCs w:val="18"/>
              </w:rPr>
              <w:t>SAE</w:t>
            </w:r>
          </w:p>
        </w:tc>
        <w:tc>
          <w:tcPr>
            <w:tcW w:w="1620" w:type="dxa"/>
            <w:tcBorders>
              <w:left w:val="single" w:sz="2" w:space="0" w:color="000000"/>
              <w:right w:val="single" w:sz="4" w:space="0" w:color="auto"/>
            </w:tcBorders>
            <w:shd w:val="clear" w:color="auto" w:fill="auto"/>
            <w:tcMar>
              <w:left w:w="60" w:type="dxa"/>
              <w:right w:w="60" w:type="dxa"/>
            </w:tcMar>
          </w:tcPr>
          <w:p w14:paraId="02A5FE7F"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0</w:t>
            </w:r>
          </w:p>
        </w:tc>
        <w:tc>
          <w:tcPr>
            <w:tcW w:w="1710" w:type="dxa"/>
            <w:tcBorders>
              <w:left w:val="single" w:sz="2" w:space="0" w:color="000000"/>
              <w:right w:val="single" w:sz="2" w:space="0" w:color="000000"/>
            </w:tcBorders>
          </w:tcPr>
          <w:p w14:paraId="3520F0AE"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w:t>
            </w:r>
            <w:r w:rsidRPr="009A7F35">
              <w:rPr>
                <w:rFonts w:ascii="Times New Roman" w:hAnsi="Times New Roman" w:cs="Times New Roman"/>
                <w:color w:val="000000"/>
                <w:sz w:val="18"/>
                <w:szCs w:val="18"/>
                <w:vertAlign w:val="superscript"/>
              </w:rPr>
              <w:t xml:space="preserve">a </w:t>
            </w:r>
            <w:r w:rsidRPr="009A7F35">
              <w:rPr>
                <w:rFonts w:ascii="Times New Roman" w:hAnsi="Times New Roman" w:cs="Times New Roman"/>
                <w:color w:val="000000"/>
                <w:sz w:val="18"/>
                <w:szCs w:val="18"/>
              </w:rPr>
              <w:t>(25)</w:t>
            </w:r>
          </w:p>
        </w:tc>
        <w:tc>
          <w:tcPr>
            <w:tcW w:w="1350" w:type="dxa"/>
            <w:tcBorders>
              <w:left w:val="single" w:sz="2" w:space="0" w:color="000000"/>
              <w:right w:val="single" w:sz="2" w:space="0" w:color="000000"/>
            </w:tcBorders>
          </w:tcPr>
          <w:p w14:paraId="4BBE12F0"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2</w:t>
            </w:r>
            <w:r w:rsidRPr="009A7F35">
              <w:rPr>
                <w:rFonts w:ascii="Times New Roman" w:hAnsi="Times New Roman" w:cs="Times New Roman"/>
                <w:color w:val="000000"/>
                <w:sz w:val="18"/>
                <w:szCs w:val="18"/>
                <w:vertAlign w:val="superscript"/>
              </w:rPr>
              <w:t xml:space="preserve">c </w:t>
            </w:r>
            <w:r w:rsidRPr="009A7F35">
              <w:rPr>
                <w:rFonts w:ascii="Times New Roman" w:hAnsi="Times New Roman" w:cs="Times New Roman"/>
                <w:color w:val="000000"/>
                <w:sz w:val="18"/>
                <w:szCs w:val="18"/>
              </w:rPr>
              <w:t>(67)</w:t>
            </w:r>
          </w:p>
        </w:tc>
        <w:tc>
          <w:tcPr>
            <w:tcW w:w="1260" w:type="dxa"/>
            <w:tcBorders>
              <w:left w:val="single" w:sz="2" w:space="0" w:color="000000"/>
              <w:right w:val="single" w:sz="2" w:space="0" w:color="000000"/>
            </w:tcBorders>
          </w:tcPr>
          <w:p w14:paraId="55E955DB"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0</w:t>
            </w:r>
          </w:p>
        </w:tc>
        <w:tc>
          <w:tcPr>
            <w:tcW w:w="1260" w:type="dxa"/>
            <w:tcBorders>
              <w:left w:val="single" w:sz="2" w:space="0" w:color="000000"/>
              <w:right w:val="single" w:sz="4" w:space="0" w:color="auto"/>
            </w:tcBorders>
          </w:tcPr>
          <w:p w14:paraId="738F9623"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w:t>
            </w:r>
            <w:r w:rsidRPr="009A7F35">
              <w:rPr>
                <w:rFonts w:ascii="Times New Roman" w:hAnsi="Times New Roman" w:cs="Times New Roman"/>
                <w:color w:val="000000"/>
                <w:sz w:val="18"/>
                <w:szCs w:val="18"/>
                <w:vertAlign w:val="superscript"/>
              </w:rPr>
              <w:t xml:space="preserve">e </w:t>
            </w:r>
            <w:r w:rsidRPr="009A7F35">
              <w:rPr>
                <w:rFonts w:ascii="Times New Roman" w:hAnsi="Times New Roman" w:cs="Times New Roman"/>
                <w:color w:val="000000"/>
                <w:sz w:val="18"/>
                <w:szCs w:val="18"/>
              </w:rPr>
              <w:t>(33)</w:t>
            </w:r>
          </w:p>
        </w:tc>
        <w:tc>
          <w:tcPr>
            <w:tcW w:w="1350" w:type="dxa"/>
            <w:tcBorders>
              <w:left w:val="single" w:sz="2" w:space="0" w:color="000000"/>
              <w:right w:val="single" w:sz="4" w:space="0" w:color="auto"/>
            </w:tcBorders>
          </w:tcPr>
          <w:p w14:paraId="667FA5EA"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4 (21)</w:t>
            </w:r>
          </w:p>
        </w:tc>
      </w:tr>
      <w:tr w:rsidR="00AB6818" w:rsidRPr="009A7F35" w14:paraId="336BE579" w14:textId="77777777" w:rsidTr="00B36A04">
        <w:trPr>
          <w:cantSplit/>
        </w:trPr>
        <w:tc>
          <w:tcPr>
            <w:tcW w:w="1795" w:type="dxa"/>
            <w:tcBorders>
              <w:left w:val="single" w:sz="4" w:space="0" w:color="auto"/>
              <w:bottom w:val="single" w:sz="2" w:space="0" w:color="000000"/>
              <w:right w:val="nil"/>
            </w:tcBorders>
            <w:shd w:val="clear" w:color="auto" w:fill="auto"/>
            <w:tcMar>
              <w:left w:w="60" w:type="dxa"/>
              <w:right w:w="60" w:type="dxa"/>
            </w:tcMar>
          </w:tcPr>
          <w:p w14:paraId="6A7D63F3" w14:textId="77777777" w:rsidR="00AB6818" w:rsidRPr="009A7F35" w:rsidRDefault="00AB6818" w:rsidP="00B36A04">
            <w:pPr>
              <w:adjustRightInd w:val="0"/>
              <w:spacing w:before="60" w:after="60"/>
              <w:rPr>
                <w:rFonts w:ascii="Times New Roman" w:hAnsi="Times New Roman" w:cs="Times New Roman"/>
                <w:color w:val="000000"/>
                <w:sz w:val="18"/>
                <w:szCs w:val="18"/>
              </w:rPr>
            </w:pPr>
            <w:r w:rsidRPr="009A7F35">
              <w:rPr>
                <w:rFonts w:ascii="Times New Roman" w:hAnsi="Times New Roman" w:cs="Times New Roman"/>
                <w:sz w:val="18"/>
                <w:szCs w:val="18"/>
              </w:rPr>
              <w:t>≥ 1 TRSAE</w:t>
            </w:r>
          </w:p>
        </w:tc>
        <w:tc>
          <w:tcPr>
            <w:tcW w:w="1620" w:type="dxa"/>
            <w:tcBorders>
              <w:left w:val="single" w:sz="2" w:space="0" w:color="000000"/>
              <w:bottom w:val="single" w:sz="2" w:space="0" w:color="000000"/>
              <w:right w:val="single" w:sz="4" w:space="0" w:color="auto"/>
            </w:tcBorders>
            <w:shd w:val="clear" w:color="auto" w:fill="auto"/>
            <w:tcMar>
              <w:left w:w="60" w:type="dxa"/>
              <w:right w:w="60" w:type="dxa"/>
            </w:tcMar>
          </w:tcPr>
          <w:p w14:paraId="677055F0"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0</w:t>
            </w:r>
          </w:p>
        </w:tc>
        <w:tc>
          <w:tcPr>
            <w:tcW w:w="1710" w:type="dxa"/>
            <w:tcBorders>
              <w:left w:val="single" w:sz="2" w:space="0" w:color="000000"/>
              <w:bottom w:val="single" w:sz="2" w:space="0" w:color="000000"/>
              <w:right w:val="single" w:sz="2" w:space="0" w:color="000000"/>
            </w:tcBorders>
          </w:tcPr>
          <w:p w14:paraId="5B9DD145"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 (25)</w:t>
            </w:r>
          </w:p>
        </w:tc>
        <w:tc>
          <w:tcPr>
            <w:tcW w:w="1350" w:type="dxa"/>
            <w:tcBorders>
              <w:left w:val="single" w:sz="2" w:space="0" w:color="000000"/>
              <w:bottom w:val="single" w:sz="2" w:space="0" w:color="000000"/>
              <w:right w:val="single" w:sz="2" w:space="0" w:color="000000"/>
            </w:tcBorders>
          </w:tcPr>
          <w:p w14:paraId="50723249"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 (33)</w:t>
            </w:r>
          </w:p>
        </w:tc>
        <w:tc>
          <w:tcPr>
            <w:tcW w:w="1260" w:type="dxa"/>
            <w:tcBorders>
              <w:left w:val="single" w:sz="2" w:space="0" w:color="000000"/>
              <w:bottom w:val="single" w:sz="2" w:space="0" w:color="000000"/>
              <w:right w:val="single" w:sz="2" w:space="0" w:color="000000"/>
            </w:tcBorders>
          </w:tcPr>
          <w:p w14:paraId="47FFFBC7"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0</w:t>
            </w:r>
          </w:p>
        </w:tc>
        <w:tc>
          <w:tcPr>
            <w:tcW w:w="1260" w:type="dxa"/>
            <w:tcBorders>
              <w:left w:val="single" w:sz="2" w:space="0" w:color="000000"/>
              <w:bottom w:val="single" w:sz="2" w:space="0" w:color="000000"/>
              <w:right w:val="single" w:sz="4" w:space="0" w:color="auto"/>
            </w:tcBorders>
          </w:tcPr>
          <w:p w14:paraId="426AD24A"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 (33)</w:t>
            </w:r>
          </w:p>
        </w:tc>
        <w:tc>
          <w:tcPr>
            <w:tcW w:w="1350" w:type="dxa"/>
            <w:tcBorders>
              <w:left w:val="single" w:sz="2" w:space="0" w:color="000000"/>
              <w:bottom w:val="single" w:sz="2" w:space="0" w:color="000000"/>
              <w:right w:val="single" w:sz="4" w:space="0" w:color="auto"/>
            </w:tcBorders>
          </w:tcPr>
          <w:p w14:paraId="17124849"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3 (16)</w:t>
            </w:r>
          </w:p>
        </w:tc>
      </w:tr>
      <w:tr w:rsidR="00AB6818" w:rsidRPr="009A7F35" w14:paraId="60FD6B0E" w14:textId="77777777" w:rsidTr="00B36A04">
        <w:trPr>
          <w:cantSplit/>
        </w:trPr>
        <w:tc>
          <w:tcPr>
            <w:tcW w:w="1795" w:type="dxa"/>
            <w:tcBorders>
              <w:top w:val="single" w:sz="2" w:space="0" w:color="000000"/>
              <w:left w:val="single" w:sz="4" w:space="0" w:color="auto"/>
              <w:right w:val="nil"/>
            </w:tcBorders>
            <w:shd w:val="clear" w:color="auto" w:fill="auto"/>
            <w:tcMar>
              <w:left w:w="60" w:type="dxa"/>
              <w:right w:w="60" w:type="dxa"/>
            </w:tcMar>
          </w:tcPr>
          <w:p w14:paraId="4D4F1B56" w14:textId="77777777" w:rsidR="00AB6818" w:rsidRPr="009A7F35" w:rsidRDefault="00AB6818" w:rsidP="00B36A04">
            <w:pPr>
              <w:adjustRightInd w:val="0"/>
              <w:spacing w:before="60" w:after="60"/>
              <w:rPr>
                <w:rFonts w:ascii="Times New Roman" w:hAnsi="Times New Roman" w:cs="Times New Roman"/>
                <w:b/>
                <w:color w:val="000000"/>
                <w:sz w:val="18"/>
                <w:szCs w:val="18"/>
              </w:rPr>
            </w:pPr>
            <w:r w:rsidRPr="009A7F35">
              <w:rPr>
                <w:rFonts w:ascii="Times New Roman" w:hAnsi="Times New Roman" w:cs="Times New Roman"/>
                <w:sz w:val="18"/>
                <w:szCs w:val="18"/>
              </w:rPr>
              <w:t>At least one DLT</w:t>
            </w:r>
          </w:p>
        </w:tc>
        <w:tc>
          <w:tcPr>
            <w:tcW w:w="1620" w:type="dxa"/>
            <w:tcBorders>
              <w:top w:val="single" w:sz="2" w:space="0" w:color="000000"/>
              <w:left w:val="single" w:sz="2" w:space="0" w:color="000000"/>
              <w:right w:val="single" w:sz="4" w:space="0" w:color="auto"/>
            </w:tcBorders>
            <w:shd w:val="clear" w:color="auto" w:fill="auto"/>
            <w:tcMar>
              <w:left w:w="60" w:type="dxa"/>
              <w:right w:w="60" w:type="dxa"/>
            </w:tcMar>
          </w:tcPr>
          <w:p w14:paraId="6ED89DE9"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0</w:t>
            </w:r>
          </w:p>
        </w:tc>
        <w:tc>
          <w:tcPr>
            <w:tcW w:w="1710" w:type="dxa"/>
            <w:tcBorders>
              <w:top w:val="single" w:sz="2" w:space="0" w:color="000000"/>
              <w:left w:val="single" w:sz="2" w:space="0" w:color="000000"/>
              <w:right w:val="single" w:sz="2" w:space="0" w:color="000000"/>
            </w:tcBorders>
          </w:tcPr>
          <w:p w14:paraId="072EF486"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w:t>
            </w:r>
            <w:r w:rsidRPr="009A7F35">
              <w:rPr>
                <w:rFonts w:ascii="Times New Roman" w:hAnsi="Times New Roman" w:cs="Times New Roman"/>
                <w:color w:val="000000"/>
                <w:sz w:val="18"/>
                <w:szCs w:val="18"/>
                <w:vertAlign w:val="superscript"/>
              </w:rPr>
              <w:t xml:space="preserve">b  </w:t>
            </w:r>
            <w:r w:rsidRPr="009A7F35">
              <w:rPr>
                <w:rFonts w:ascii="Times New Roman" w:hAnsi="Times New Roman" w:cs="Times New Roman"/>
                <w:color w:val="000000"/>
                <w:sz w:val="18"/>
                <w:szCs w:val="18"/>
              </w:rPr>
              <w:t>(25)</w:t>
            </w:r>
          </w:p>
        </w:tc>
        <w:tc>
          <w:tcPr>
            <w:tcW w:w="1350" w:type="dxa"/>
            <w:tcBorders>
              <w:top w:val="single" w:sz="2" w:space="0" w:color="000000"/>
              <w:left w:val="single" w:sz="2" w:space="0" w:color="000000"/>
              <w:right w:val="single" w:sz="2" w:space="0" w:color="000000"/>
            </w:tcBorders>
          </w:tcPr>
          <w:p w14:paraId="2F677C57"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w:t>
            </w:r>
            <w:r w:rsidRPr="009A7F35">
              <w:rPr>
                <w:rFonts w:ascii="Times New Roman" w:hAnsi="Times New Roman" w:cs="Times New Roman"/>
                <w:color w:val="000000"/>
                <w:sz w:val="18"/>
                <w:szCs w:val="18"/>
                <w:vertAlign w:val="superscript"/>
              </w:rPr>
              <w:t>d</w:t>
            </w:r>
            <w:r w:rsidRPr="009A7F35">
              <w:rPr>
                <w:rFonts w:ascii="Times New Roman" w:hAnsi="Times New Roman" w:cs="Times New Roman"/>
                <w:color w:val="000000"/>
                <w:sz w:val="18"/>
                <w:szCs w:val="18"/>
              </w:rPr>
              <w:t xml:space="preserve"> (33)</w:t>
            </w:r>
          </w:p>
        </w:tc>
        <w:tc>
          <w:tcPr>
            <w:tcW w:w="1260" w:type="dxa"/>
            <w:tcBorders>
              <w:top w:val="single" w:sz="2" w:space="0" w:color="000000"/>
              <w:left w:val="single" w:sz="2" w:space="0" w:color="000000"/>
              <w:right w:val="single" w:sz="2" w:space="0" w:color="000000"/>
            </w:tcBorders>
          </w:tcPr>
          <w:p w14:paraId="3019F045"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0</w:t>
            </w:r>
          </w:p>
        </w:tc>
        <w:tc>
          <w:tcPr>
            <w:tcW w:w="1260" w:type="dxa"/>
            <w:tcBorders>
              <w:top w:val="single" w:sz="2" w:space="0" w:color="000000"/>
              <w:left w:val="single" w:sz="2" w:space="0" w:color="000000"/>
              <w:right w:val="single" w:sz="4" w:space="0" w:color="auto"/>
            </w:tcBorders>
          </w:tcPr>
          <w:p w14:paraId="6E2358A9"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w:t>
            </w:r>
            <w:r w:rsidRPr="009A7F35">
              <w:rPr>
                <w:rFonts w:ascii="Times New Roman" w:hAnsi="Times New Roman" w:cs="Times New Roman"/>
                <w:color w:val="000000"/>
                <w:sz w:val="18"/>
                <w:szCs w:val="18"/>
                <w:vertAlign w:val="superscript"/>
              </w:rPr>
              <w:t>f</w:t>
            </w:r>
            <w:r w:rsidRPr="009A7F35">
              <w:rPr>
                <w:rFonts w:ascii="Times New Roman" w:hAnsi="Times New Roman" w:cs="Times New Roman"/>
                <w:color w:val="000000"/>
                <w:sz w:val="18"/>
                <w:szCs w:val="18"/>
              </w:rPr>
              <w:t xml:space="preserve"> (33)</w:t>
            </w:r>
          </w:p>
        </w:tc>
        <w:tc>
          <w:tcPr>
            <w:tcW w:w="1350" w:type="dxa"/>
            <w:tcBorders>
              <w:top w:val="single" w:sz="2" w:space="0" w:color="000000"/>
              <w:left w:val="single" w:sz="2" w:space="0" w:color="000000"/>
              <w:right w:val="single" w:sz="4" w:space="0" w:color="auto"/>
            </w:tcBorders>
          </w:tcPr>
          <w:p w14:paraId="5D0D442D" w14:textId="77777777" w:rsidR="00AB6818" w:rsidRPr="009A7F35" w:rsidRDefault="00AB6818" w:rsidP="00B36A04">
            <w:pPr>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3 (16)</w:t>
            </w:r>
          </w:p>
        </w:tc>
      </w:tr>
      <w:tr w:rsidR="00AB6818" w:rsidRPr="009A7F35" w14:paraId="71F18268" w14:textId="77777777" w:rsidTr="00B36A04">
        <w:trPr>
          <w:cantSplit/>
        </w:trPr>
        <w:tc>
          <w:tcPr>
            <w:tcW w:w="1795" w:type="dxa"/>
            <w:tcBorders>
              <w:left w:val="single" w:sz="4" w:space="0" w:color="auto"/>
              <w:right w:val="nil"/>
            </w:tcBorders>
            <w:shd w:val="clear" w:color="auto" w:fill="auto"/>
            <w:tcMar>
              <w:left w:w="60" w:type="dxa"/>
              <w:right w:w="60" w:type="dxa"/>
            </w:tcMar>
          </w:tcPr>
          <w:p w14:paraId="7500E9D3" w14:textId="77777777" w:rsidR="00AB6818" w:rsidRPr="009A7F35" w:rsidRDefault="00AB6818" w:rsidP="00B36A04">
            <w:pPr>
              <w:keepNext/>
              <w:adjustRightInd w:val="0"/>
              <w:spacing w:before="60" w:after="60"/>
              <w:rPr>
                <w:rFonts w:ascii="Times New Roman" w:hAnsi="Times New Roman" w:cs="Times New Roman"/>
                <w:color w:val="000000"/>
                <w:sz w:val="18"/>
                <w:szCs w:val="18"/>
              </w:rPr>
            </w:pPr>
            <w:r w:rsidRPr="009A7F35">
              <w:rPr>
                <w:rFonts w:ascii="Times New Roman" w:hAnsi="Times New Roman" w:cs="Times New Roman"/>
                <w:sz w:val="18"/>
                <w:szCs w:val="18"/>
              </w:rPr>
              <w:t xml:space="preserve">Discontinued due to </w:t>
            </w:r>
          </w:p>
        </w:tc>
        <w:tc>
          <w:tcPr>
            <w:tcW w:w="1620" w:type="dxa"/>
            <w:tcBorders>
              <w:left w:val="single" w:sz="2" w:space="0" w:color="000000"/>
              <w:right w:val="single" w:sz="4" w:space="0" w:color="auto"/>
            </w:tcBorders>
            <w:shd w:val="clear" w:color="auto" w:fill="auto"/>
            <w:tcMar>
              <w:left w:w="60" w:type="dxa"/>
              <w:right w:w="60" w:type="dxa"/>
            </w:tcMar>
          </w:tcPr>
          <w:p w14:paraId="3F173984" w14:textId="77777777" w:rsidR="00AB6818" w:rsidRPr="009A7F35" w:rsidRDefault="00AB6818" w:rsidP="00B36A04">
            <w:pPr>
              <w:keepNext/>
              <w:adjustRightInd w:val="0"/>
              <w:spacing w:before="60" w:after="60"/>
              <w:jc w:val="center"/>
              <w:rPr>
                <w:rFonts w:ascii="Times New Roman" w:hAnsi="Times New Roman" w:cs="Times New Roman"/>
                <w:color w:val="000000"/>
                <w:sz w:val="18"/>
                <w:szCs w:val="18"/>
              </w:rPr>
            </w:pPr>
          </w:p>
        </w:tc>
        <w:tc>
          <w:tcPr>
            <w:tcW w:w="1710" w:type="dxa"/>
            <w:tcBorders>
              <w:left w:val="single" w:sz="2" w:space="0" w:color="000000"/>
              <w:right w:val="single" w:sz="2" w:space="0" w:color="000000"/>
            </w:tcBorders>
          </w:tcPr>
          <w:p w14:paraId="79064C26" w14:textId="77777777" w:rsidR="00AB6818" w:rsidRPr="009A7F35" w:rsidRDefault="00AB6818" w:rsidP="00B36A04">
            <w:pPr>
              <w:keepNext/>
              <w:adjustRightInd w:val="0"/>
              <w:spacing w:before="60" w:after="60"/>
              <w:jc w:val="center"/>
              <w:rPr>
                <w:rFonts w:ascii="Times New Roman" w:hAnsi="Times New Roman" w:cs="Times New Roman"/>
                <w:color w:val="000000"/>
                <w:sz w:val="18"/>
                <w:szCs w:val="18"/>
              </w:rPr>
            </w:pPr>
          </w:p>
        </w:tc>
        <w:tc>
          <w:tcPr>
            <w:tcW w:w="1350" w:type="dxa"/>
            <w:tcBorders>
              <w:left w:val="single" w:sz="2" w:space="0" w:color="000000"/>
              <w:right w:val="single" w:sz="2" w:space="0" w:color="000000"/>
            </w:tcBorders>
          </w:tcPr>
          <w:p w14:paraId="01A44DC9" w14:textId="77777777" w:rsidR="00AB6818" w:rsidRPr="009A7F35" w:rsidRDefault="00AB6818" w:rsidP="00B36A04">
            <w:pPr>
              <w:keepNext/>
              <w:adjustRightInd w:val="0"/>
              <w:spacing w:before="60" w:after="60"/>
              <w:jc w:val="center"/>
              <w:rPr>
                <w:rFonts w:ascii="Times New Roman" w:hAnsi="Times New Roman" w:cs="Times New Roman"/>
                <w:color w:val="000000"/>
                <w:sz w:val="18"/>
                <w:szCs w:val="18"/>
              </w:rPr>
            </w:pPr>
          </w:p>
        </w:tc>
        <w:tc>
          <w:tcPr>
            <w:tcW w:w="1260" w:type="dxa"/>
            <w:tcBorders>
              <w:left w:val="single" w:sz="2" w:space="0" w:color="000000"/>
              <w:right w:val="single" w:sz="2" w:space="0" w:color="000000"/>
            </w:tcBorders>
          </w:tcPr>
          <w:p w14:paraId="1748D4CA" w14:textId="77777777" w:rsidR="00AB6818" w:rsidRPr="009A7F35" w:rsidRDefault="00AB6818" w:rsidP="00B36A04">
            <w:pPr>
              <w:keepNext/>
              <w:adjustRightInd w:val="0"/>
              <w:spacing w:before="60" w:after="60"/>
              <w:jc w:val="center"/>
              <w:rPr>
                <w:rFonts w:ascii="Times New Roman" w:hAnsi="Times New Roman" w:cs="Times New Roman"/>
                <w:color w:val="000000"/>
                <w:sz w:val="18"/>
                <w:szCs w:val="18"/>
              </w:rPr>
            </w:pPr>
          </w:p>
        </w:tc>
        <w:tc>
          <w:tcPr>
            <w:tcW w:w="1260" w:type="dxa"/>
            <w:tcBorders>
              <w:left w:val="single" w:sz="2" w:space="0" w:color="000000"/>
              <w:right w:val="single" w:sz="4" w:space="0" w:color="auto"/>
            </w:tcBorders>
          </w:tcPr>
          <w:p w14:paraId="601808C6" w14:textId="77777777" w:rsidR="00AB6818" w:rsidRPr="009A7F35" w:rsidRDefault="00AB6818" w:rsidP="00B36A04">
            <w:pPr>
              <w:keepNext/>
              <w:adjustRightInd w:val="0"/>
              <w:spacing w:before="60" w:after="60"/>
              <w:jc w:val="center"/>
              <w:rPr>
                <w:rFonts w:ascii="Times New Roman" w:hAnsi="Times New Roman" w:cs="Times New Roman"/>
                <w:color w:val="000000"/>
                <w:sz w:val="18"/>
                <w:szCs w:val="18"/>
              </w:rPr>
            </w:pPr>
          </w:p>
        </w:tc>
        <w:tc>
          <w:tcPr>
            <w:tcW w:w="1350" w:type="dxa"/>
            <w:tcBorders>
              <w:left w:val="single" w:sz="2" w:space="0" w:color="000000"/>
              <w:right w:val="single" w:sz="4" w:space="0" w:color="auto"/>
            </w:tcBorders>
          </w:tcPr>
          <w:p w14:paraId="15156C89" w14:textId="77777777" w:rsidR="00AB6818" w:rsidRPr="009A7F35" w:rsidRDefault="00AB6818" w:rsidP="00B36A04">
            <w:pPr>
              <w:keepNext/>
              <w:adjustRightInd w:val="0"/>
              <w:spacing w:before="60" w:after="60"/>
              <w:jc w:val="center"/>
              <w:rPr>
                <w:rFonts w:ascii="Times New Roman" w:hAnsi="Times New Roman" w:cs="Times New Roman"/>
                <w:color w:val="000000"/>
                <w:sz w:val="18"/>
                <w:szCs w:val="18"/>
              </w:rPr>
            </w:pPr>
          </w:p>
        </w:tc>
      </w:tr>
      <w:tr w:rsidR="00AB6818" w:rsidRPr="009A7F35" w14:paraId="1FD319D1" w14:textId="77777777" w:rsidTr="00B36A04">
        <w:trPr>
          <w:cantSplit/>
        </w:trPr>
        <w:tc>
          <w:tcPr>
            <w:tcW w:w="1795" w:type="dxa"/>
            <w:tcBorders>
              <w:left w:val="single" w:sz="4" w:space="0" w:color="auto"/>
              <w:bottom w:val="single" w:sz="4" w:space="0" w:color="auto"/>
              <w:right w:val="nil"/>
            </w:tcBorders>
            <w:shd w:val="clear" w:color="auto" w:fill="auto"/>
            <w:tcMar>
              <w:left w:w="60" w:type="dxa"/>
              <w:right w:w="60" w:type="dxa"/>
            </w:tcMar>
          </w:tcPr>
          <w:p w14:paraId="5924CA4A" w14:textId="77777777" w:rsidR="00AB6818" w:rsidRPr="009A7F35" w:rsidRDefault="00AB6818" w:rsidP="00B36A04">
            <w:pPr>
              <w:keepNext/>
              <w:adjustRightInd w:val="0"/>
              <w:spacing w:before="60" w:after="60"/>
              <w:rPr>
                <w:rFonts w:ascii="Times New Roman" w:hAnsi="Times New Roman" w:cs="Times New Roman"/>
                <w:color w:val="000000"/>
                <w:sz w:val="18"/>
                <w:szCs w:val="18"/>
              </w:rPr>
            </w:pPr>
            <w:r w:rsidRPr="009A7F35">
              <w:rPr>
                <w:rFonts w:ascii="Times New Roman" w:hAnsi="Times New Roman" w:cs="Times New Roman"/>
                <w:sz w:val="18"/>
                <w:szCs w:val="18"/>
              </w:rPr>
              <w:t>≥ 1 TEAE</w:t>
            </w:r>
          </w:p>
        </w:tc>
        <w:tc>
          <w:tcPr>
            <w:tcW w:w="1620" w:type="dxa"/>
            <w:tcBorders>
              <w:left w:val="single" w:sz="2" w:space="0" w:color="000000"/>
              <w:bottom w:val="single" w:sz="4" w:space="0" w:color="auto"/>
              <w:right w:val="single" w:sz="4" w:space="0" w:color="auto"/>
            </w:tcBorders>
            <w:shd w:val="clear" w:color="auto" w:fill="auto"/>
            <w:tcMar>
              <w:left w:w="60" w:type="dxa"/>
              <w:right w:w="60" w:type="dxa"/>
            </w:tcMar>
          </w:tcPr>
          <w:p w14:paraId="7371521F" w14:textId="77777777" w:rsidR="00AB6818" w:rsidRPr="009A7F35" w:rsidRDefault="00AB6818" w:rsidP="00B36A04">
            <w:pPr>
              <w:keepNext/>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 (17)</w:t>
            </w:r>
          </w:p>
        </w:tc>
        <w:tc>
          <w:tcPr>
            <w:tcW w:w="1710" w:type="dxa"/>
            <w:tcBorders>
              <w:left w:val="single" w:sz="2" w:space="0" w:color="000000"/>
              <w:bottom w:val="single" w:sz="4" w:space="0" w:color="auto"/>
              <w:right w:val="single" w:sz="2" w:space="0" w:color="000000"/>
            </w:tcBorders>
          </w:tcPr>
          <w:p w14:paraId="5D6855E9" w14:textId="77777777" w:rsidR="00AB6818" w:rsidRPr="009A7F35" w:rsidRDefault="00AB6818" w:rsidP="00B36A04">
            <w:pPr>
              <w:keepNext/>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2 (50)</w:t>
            </w:r>
          </w:p>
        </w:tc>
        <w:tc>
          <w:tcPr>
            <w:tcW w:w="1350" w:type="dxa"/>
            <w:tcBorders>
              <w:left w:val="single" w:sz="2" w:space="0" w:color="000000"/>
              <w:bottom w:val="single" w:sz="4" w:space="0" w:color="auto"/>
              <w:right w:val="single" w:sz="2" w:space="0" w:color="000000"/>
            </w:tcBorders>
          </w:tcPr>
          <w:p w14:paraId="06B4C628" w14:textId="77777777" w:rsidR="00AB6818" w:rsidRPr="009A7F35" w:rsidRDefault="00AB6818" w:rsidP="00B36A04">
            <w:pPr>
              <w:keepNext/>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0</w:t>
            </w:r>
          </w:p>
        </w:tc>
        <w:tc>
          <w:tcPr>
            <w:tcW w:w="1260" w:type="dxa"/>
            <w:tcBorders>
              <w:left w:val="single" w:sz="2" w:space="0" w:color="000000"/>
              <w:bottom w:val="single" w:sz="4" w:space="0" w:color="auto"/>
              <w:right w:val="single" w:sz="2" w:space="0" w:color="000000"/>
            </w:tcBorders>
          </w:tcPr>
          <w:p w14:paraId="60229F55" w14:textId="77777777" w:rsidR="00AB6818" w:rsidRPr="009A7F35" w:rsidRDefault="00AB6818" w:rsidP="00B36A04">
            <w:pPr>
              <w:keepNext/>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 (33)</w:t>
            </w:r>
          </w:p>
        </w:tc>
        <w:tc>
          <w:tcPr>
            <w:tcW w:w="1260" w:type="dxa"/>
            <w:tcBorders>
              <w:left w:val="single" w:sz="2" w:space="0" w:color="000000"/>
              <w:bottom w:val="single" w:sz="4" w:space="0" w:color="auto"/>
              <w:right w:val="single" w:sz="4" w:space="0" w:color="auto"/>
            </w:tcBorders>
          </w:tcPr>
          <w:p w14:paraId="2B475F90" w14:textId="77777777" w:rsidR="00AB6818" w:rsidRPr="009A7F35" w:rsidRDefault="00AB6818" w:rsidP="00B36A04">
            <w:pPr>
              <w:keepNext/>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1 (33)</w:t>
            </w:r>
          </w:p>
        </w:tc>
        <w:tc>
          <w:tcPr>
            <w:tcW w:w="1350" w:type="dxa"/>
            <w:tcBorders>
              <w:left w:val="single" w:sz="2" w:space="0" w:color="000000"/>
              <w:bottom w:val="single" w:sz="4" w:space="0" w:color="auto"/>
              <w:right w:val="single" w:sz="4" w:space="0" w:color="auto"/>
            </w:tcBorders>
          </w:tcPr>
          <w:p w14:paraId="6C29EF6D" w14:textId="77777777" w:rsidR="00AB6818" w:rsidRPr="009A7F35" w:rsidRDefault="00AB6818" w:rsidP="00B36A04">
            <w:pPr>
              <w:keepNext/>
              <w:adjustRightInd w:val="0"/>
              <w:spacing w:before="60" w:after="60"/>
              <w:jc w:val="center"/>
              <w:rPr>
                <w:rFonts w:ascii="Times New Roman" w:hAnsi="Times New Roman" w:cs="Times New Roman"/>
                <w:color w:val="000000"/>
                <w:sz w:val="18"/>
                <w:szCs w:val="18"/>
              </w:rPr>
            </w:pPr>
            <w:r w:rsidRPr="009A7F35">
              <w:rPr>
                <w:rFonts w:ascii="Times New Roman" w:hAnsi="Times New Roman" w:cs="Times New Roman"/>
                <w:color w:val="000000"/>
                <w:sz w:val="18"/>
                <w:szCs w:val="18"/>
              </w:rPr>
              <w:t>5 (26)</w:t>
            </w:r>
          </w:p>
        </w:tc>
      </w:tr>
    </w:tbl>
    <w:p w14:paraId="00922C17" w14:textId="77777777" w:rsidR="00AB6818" w:rsidRDefault="00AB6818" w:rsidP="00AB6818">
      <w:pPr>
        <w:rPr>
          <w:rFonts w:ascii="Times New Roman" w:hAnsi="Times New Roman" w:cs="Times New Roman"/>
          <w:sz w:val="18"/>
        </w:rPr>
      </w:pPr>
    </w:p>
    <w:p w14:paraId="02B21493" w14:textId="54ECA760" w:rsidR="00AB6818" w:rsidRPr="00A945D0" w:rsidRDefault="00AB6818" w:rsidP="00AB6818">
      <w:pPr>
        <w:rPr>
          <w:rFonts w:ascii="Times New Roman" w:hAnsi="Times New Roman" w:cs="Times New Roman"/>
          <w:b/>
        </w:rPr>
      </w:pPr>
      <w:r w:rsidRPr="009A7F35">
        <w:rPr>
          <w:rFonts w:ascii="Times New Roman" w:hAnsi="Times New Roman" w:cs="Times New Roman"/>
          <w:sz w:val="18"/>
        </w:rPr>
        <w:t xml:space="preserve">Abbreviations: </w:t>
      </w:r>
      <w:r w:rsidR="006C16BD">
        <w:rPr>
          <w:rFonts w:ascii="Times New Roman" w:hAnsi="Times New Roman" w:cs="Times New Roman"/>
          <w:sz w:val="18"/>
        </w:rPr>
        <w:t xml:space="preserve">N, number; </w:t>
      </w:r>
      <w:r w:rsidRPr="009A7F35">
        <w:rPr>
          <w:rFonts w:ascii="Times New Roman" w:hAnsi="Times New Roman" w:cs="Times New Roman"/>
          <w:sz w:val="18"/>
        </w:rPr>
        <w:t>TRAE, treatment-related adverse events; SAE, serious adverse events; TRSAE, treatment-related serious adverse events; DLT, dose limiting toxicity</w:t>
      </w:r>
      <w:r>
        <w:rPr>
          <w:rFonts w:ascii="Times New Roman" w:hAnsi="Times New Roman" w:cs="Times New Roman"/>
          <w:sz w:val="18"/>
        </w:rPr>
        <w:t>;</w:t>
      </w:r>
      <w:r w:rsidRPr="003C7C3C">
        <w:t xml:space="preserve"> </w:t>
      </w:r>
      <w:r w:rsidRPr="003C7C3C">
        <w:rPr>
          <w:rFonts w:ascii="Times New Roman" w:hAnsi="Times New Roman" w:cs="Times New Roman"/>
          <w:sz w:val="18"/>
        </w:rPr>
        <w:t>FOLFIRI</w:t>
      </w:r>
      <w:r>
        <w:rPr>
          <w:rFonts w:ascii="Times New Roman" w:hAnsi="Times New Roman" w:cs="Times New Roman"/>
          <w:sz w:val="18"/>
        </w:rPr>
        <w:t xml:space="preserve">, </w:t>
      </w:r>
      <w:r w:rsidR="00511379" w:rsidRPr="00511379">
        <w:rPr>
          <w:rFonts w:ascii="Times New Roman" w:hAnsi="Times New Roman" w:cs="Times New Roman"/>
          <w:sz w:val="18"/>
        </w:rPr>
        <w:t>5-fluorouracil, leucovorin, and irinotecan</w:t>
      </w:r>
      <w:r w:rsidRPr="003C7C3C">
        <w:rPr>
          <w:rFonts w:ascii="Times New Roman" w:hAnsi="Times New Roman" w:cs="Times New Roman"/>
          <w:sz w:val="18"/>
        </w:rPr>
        <w:t xml:space="preserve">; </w:t>
      </w:r>
      <w:r>
        <w:rPr>
          <w:rFonts w:ascii="Times New Roman" w:hAnsi="Times New Roman" w:cs="Times New Roman"/>
          <w:sz w:val="18"/>
        </w:rPr>
        <w:t>XELOX,</w:t>
      </w:r>
      <w:r w:rsidRPr="003C7C3C">
        <w:rPr>
          <w:rFonts w:ascii="Times New Roman" w:hAnsi="Times New Roman" w:cs="Times New Roman"/>
          <w:sz w:val="18"/>
        </w:rPr>
        <w:t xml:space="preserve"> capecitabine and oxaliplatin</w:t>
      </w:r>
      <w:r w:rsidRPr="009A7F35">
        <w:rPr>
          <w:rFonts w:ascii="Times New Roman" w:hAnsi="Times New Roman" w:cs="Times New Roman"/>
          <w:sz w:val="18"/>
        </w:rPr>
        <w:t>.</w:t>
      </w:r>
    </w:p>
    <w:p w14:paraId="04CBF0F2" w14:textId="77777777" w:rsidR="00AB6818" w:rsidRPr="009A7F35" w:rsidRDefault="00AB6818" w:rsidP="00AB6818">
      <w:pPr>
        <w:spacing w:line="240" w:lineRule="auto"/>
        <w:rPr>
          <w:rFonts w:ascii="Times New Roman" w:hAnsi="Times New Roman" w:cs="Times New Roman"/>
          <w:sz w:val="18"/>
        </w:rPr>
      </w:pPr>
    </w:p>
    <w:p w14:paraId="1EE732F7" w14:textId="77777777" w:rsidR="00AB6818" w:rsidRPr="009A7F35" w:rsidRDefault="00AB6818" w:rsidP="00AB6818">
      <w:pPr>
        <w:spacing w:line="240" w:lineRule="auto"/>
        <w:rPr>
          <w:rFonts w:ascii="Times New Roman" w:hAnsi="Times New Roman" w:cs="Times New Roman"/>
          <w:sz w:val="18"/>
        </w:rPr>
      </w:pPr>
      <w:r w:rsidRPr="009A7F35">
        <w:rPr>
          <w:vertAlign w:val="superscript"/>
        </w:rPr>
        <w:t xml:space="preserve">a </w:t>
      </w:r>
      <w:r w:rsidRPr="009A7F35">
        <w:rPr>
          <w:rFonts w:ascii="Times New Roman" w:hAnsi="Times New Roman" w:cs="Times New Roman"/>
          <w:sz w:val="18"/>
        </w:rPr>
        <w:t>One patient had SAE from treatment-related grade 3 febrile neutropenia.</w:t>
      </w:r>
    </w:p>
    <w:p w14:paraId="269AFE07" w14:textId="77777777" w:rsidR="00AB6818" w:rsidRPr="009A7F35" w:rsidRDefault="00AB6818" w:rsidP="00AB6818">
      <w:pPr>
        <w:spacing w:line="240" w:lineRule="auto"/>
        <w:rPr>
          <w:rFonts w:ascii="Times New Roman" w:hAnsi="Times New Roman" w:cs="Times New Roman"/>
          <w:sz w:val="18"/>
        </w:rPr>
      </w:pPr>
      <w:r w:rsidRPr="009A7F35">
        <w:rPr>
          <w:vertAlign w:val="superscript"/>
        </w:rPr>
        <w:t>b</w:t>
      </w:r>
      <w:r w:rsidRPr="009A7F35">
        <w:rPr>
          <w:rFonts w:ascii="Times New Roman" w:hAnsi="Times New Roman" w:cs="Times New Roman"/>
          <w:sz w:val="18"/>
        </w:rPr>
        <w:t xml:space="preserve"> One patient receiving s</w:t>
      </w:r>
      <w:r w:rsidRPr="009A7F35">
        <w:rPr>
          <w:rFonts w:ascii="Times New Roman" w:hAnsi="Times New Roman" w:cs="Times New Roman"/>
          <w:sz w:val="18"/>
          <w:szCs w:val="18"/>
        </w:rPr>
        <w:t xml:space="preserve">elinexor at </w:t>
      </w:r>
      <w:r w:rsidRPr="009A7F35">
        <w:rPr>
          <w:rFonts w:ascii="Times New Roman" w:hAnsi="Times New Roman" w:cs="Times New Roman"/>
          <w:sz w:val="18"/>
        </w:rPr>
        <w:t>60 mg twice weekly experienced DLTs with grade 3 leukopenia and grade 4 neutropenia.</w:t>
      </w:r>
    </w:p>
    <w:p w14:paraId="23101A2D" w14:textId="77777777" w:rsidR="00AB6818" w:rsidRPr="009A7F35" w:rsidRDefault="00AB6818" w:rsidP="00AB6818">
      <w:pPr>
        <w:spacing w:line="240" w:lineRule="auto"/>
        <w:rPr>
          <w:rFonts w:ascii="Times New Roman" w:hAnsi="Times New Roman" w:cs="Times New Roman"/>
          <w:sz w:val="18"/>
        </w:rPr>
      </w:pPr>
      <w:r w:rsidRPr="009A7F35">
        <w:rPr>
          <w:vertAlign w:val="superscript"/>
        </w:rPr>
        <w:t xml:space="preserve">c </w:t>
      </w:r>
      <w:r w:rsidRPr="009A7F35">
        <w:rPr>
          <w:rFonts w:ascii="Times New Roman" w:hAnsi="Times New Roman" w:cs="Times New Roman"/>
          <w:sz w:val="18"/>
        </w:rPr>
        <w:t xml:space="preserve">Two patients had SAE; one patient had treatment-related grade 3 febrile neutropenia while the other had grade 2 pancreatitis unrelated to treatment. </w:t>
      </w:r>
    </w:p>
    <w:p w14:paraId="3BC8FCB3" w14:textId="77777777" w:rsidR="00AB6818" w:rsidRPr="009A7F35" w:rsidRDefault="00AB6818" w:rsidP="00AB6818">
      <w:pPr>
        <w:spacing w:line="240" w:lineRule="auto"/>
        <w:rPr>
          <w:rFonts w:ascii="Times New Roman" w:hAnsi="Times New Roman" w:cs="Times New Roman"/>
          <w:sz w:val="18"/>
        </w:rPr>
      </w:pPr>
      <w:r w:rsidRPr="009A7F35">
        <w:rPr>
          <w:vertAlign w:val="superscript"/>
        </w:rPr>
        <w:t>d</w:t>
      </w:r>
      <w:r w:rsidRPr="009A7F35">
        <w:rPr>
          <w:rFonts w:ascii="Times New Roman" w:hAnsi="Times New Roman" w:cs="Times New Roman"/>
          <w:sz w:val="18"/>
        </w:rPr>
        <w:t xml:space="preserve"> One patient receiving s</w:t>
      </w:r>
      <w:r w:rsidRPr="009A7F35">
        <w:rPr>
          <w:rFonts w:ascii="Times New Roman" w:hAnsi="Times New Roman" w:cs="Times New Roman"/>
          <w:sz w:val="18"/>
          <w:szCs w:val="18"/>
        </w:rPr>
        <w:t>elinexor</w:t>
      </w:r>
      <w:r w:rsidRPr="009A7F35">
        <w:rPr>
          <w:rFonts w:ascii="Times New Roman" w:hAnsi="Times New Roman" w:cs="Times New Roman"/>
          <w:sz w:val="18"/>
        </w:rPr>
        <w:t xml:space="preserve"> at 40 mg once weekly experienced a DLT with grade 3 febrile neutropenia.</w:t>
      </w:r>
    </w:p>
    <w:p w14:paraId="28933C64" w14:textId="77777777" w:rsidR="00AB6818" w:rsidRPr="009A7F35" w:rsidRDefault="00AB6818" w:rsidP="00AB6818">
      <w:pPr>
        <w:spacing w:line="240" w:lineRule="auto"/>
        <w:rPr>
          <w:rFonts w:ascii="Times New Roman" w:hAnsi="Times New Roman" w:cs="Times New Roman"/>
          <w:sz w:val="18"/>
        </w:rPr>
      </w:pPr>
      <w:r w:rsidRPr="009A7F35">
        <w:rPr>
          <w:vertAlign w:val="superscript"/>
        </w:rPr>
        <w:t xml:space="preserve">e </w:t>
      </w:r>
      <w:r w:rsidRPr="009A7F35">
        <w:rPr>
          <w:rFonts w:ascii="Times New Roman" w:hAnsi="Times New Roman" w:cs="Times New Roman"/>
          <w:sz w:val="18"/>
        </w:rPr>
        <w:t xml:space="preserve">One patient had SAE from treatment-related grade 3 diarrhea and grade 3 dyspnea and skin infection unrelated to treatment. </w:t>
      </w:r>
    </w:p>
    <w:p w14:paraId="3380883E" w14:textId="77777777" w:rsidR="00AB6818" w:rsidRPr="009A7F35" w:rsidRDefault="00AB6818" w:rsidP="00AB6818">
      <w:pPr>
        <w:spacing w:line="240" w:lineRule="auto"/>
        <w:rPr>
          <w:rFonts w:ascii="Times New Roman" w:hAnsi="Times New Roman" w:cs="Times New Roman"/>
          <w:sz w:val="18"/>
        </w:rPr>
      </w:pPr>
      <w:proofErr w:type="gramStart"/>
      <w:r w:rsidRPr="009A7F35">
        <w:rPr>
          <w:vertAlign w:val="superscript"/>
        </w:rPr>
        <w:t>f</w:t>
      </w:r>
      <w:proofErr w:type="gramEnd"/>
      <w:r w:rsidRPr="009A7F35">
        <w:rPr>
          <w:rFonts w:ascii="Times New Roman" w:hAnsi="Times New Roman" w:cs="Times New Roman"/>
          <w:sz w:val="18"/>
        </w:rPr>
        <w:t xml:space="preserve"> One patient receiving s</w:t>
      </w:r>
      <w:r w:rsidRPr="009A7F35">
        <w:rPr>
          <w:rFonts w:ascii="Times New Roman" w:hAnsi="Times New Roman" w:cs="Times New Roman"/>
          <w:sz w:val="18"/>
          <w:szCs w:val="18"/>
        </w:rPr>
        <w:t>elinexor</w:t>
      </w:r>
      <w:r w:rsidRPr="009A7F35">
        <w:rPr>
          <w:rFonts w:ascii="Times New Roman" w:hAnsi="Times New Roman" w:cs="Times New Roman"/>
          <w:sz w:val="18"/>
        </w:rPr>
        <w:t xml:space="preserve"> at 40 mg once weekly experienced a DLT with grade 3 diarrhea.</w:t>
      </w:r>
    </w:p>
    <w:p w14:paraId="7B4EF4CC" w14:textId="5DB5D786" w:rsidR="00AB6818" w:rsidRPr="00AB6818" w:rsidRDefault="00AB6818" w:rsidP="00AB6818">
      <w:pPr>
        <w:rPr>
          <w:sz w:val="20"/>
          <w:szCs w:val="20"/>
        </w:rPr>
      </w:pPr>
      <w:r w:rsidRPr="00BA0ECE">
        <w:rPr>
          <w:rFonts w:ascii="Times New Roman" w:hAnsi="Times New Roman" w:cs="Times New Roman"/>
          <w:b/>
          <w:bCs/>
        </w:rPr>
        <w:lastRenderedPageBreak/>
        <w:t xml:space="preserve">Table </w:t>
      </w:r>
      <w:bookmarkStart w:id="0" w:name="_Hlk76387947"/>
      <w:r w:rsidR="00E126FE">
        <w:rPr>
          <w:rFonts w:ascii="Times New Roman" w:hAnsi="Times New Roman" w:cs="Times New Roman"/>
          <w:b/>
          <w:bCs/>
        </w:rPr>
        <w:t>S</w:t>
      </w:r>
      <w:r>
        <w:rPr>
          <w:rFonts w:ascii="Times New Roman" w:hAnsi="Times New Roman" w:cs="Times New Roman"/>
          <w:b/>
          <w:bCs/>
        </w:rPr>
        <w:t xml:space="preserve">2. </w:t>
      </w:r>
      <w:r w:rsidRPr="009A7F35">
        <w:rPr>
          <w:rFonts w:ascii="Times New Roman" w:hAnsi="Times New Roman" w:cs="Times New Roman"/>
          <w:b/>
          <w:bCs/>
        </w:rPr>
        <w:t xml:space="preserve">Summary of treatment-emergent adverse events (TEAE) </w:t>
      </w:r>
      <w:r w:rsidRPr="00663B12">
        <w:rPr>
          <w:rFonts w:ascii="Times New Roman" w:hAnsi="Times New Roman" w:cs="Times New Roman"/>
          <w:b/>
          <w:bCs/>
        </w:rPr>
        <w:t>in all grades of severity</w:t>
      </w:r>
      <w:bookmarkEnd w:id="0"/>
    </w:p>
    <w:tbl>
      <w:tblPr>
        <w:tblStyle w:val="TableGrid"/>
        <w:tblW w:w="13759" w:type="dxa"/>
        <w:tblInd w:w="-425" w:type="dxa"/>
        <w:tblLayout w:type="fixed"/>
        <w:tblLook w:val="04A0" w:firstRow="1" w:lastRow="0" w:firstColumn="1" w:lastColumn="0" w:noHBand="0" w:noVBand="1"/>
      </w:tblPr>
      <w:tblGrid>
        <w:gridCol w:w="2123"/>
        <w:gridCol w:w="981"/>
        <w:gridCol w:w="959"/>
        <w:gridCol w:w="1022"/>
        <w:gridCol w:w="1167"/>
        <w:gridCol w:w="1048"/>
        <w:gridCol w:w="934"/>
        <w:gridCol w:w="932"/>
        <w:gridCol w:w="933"/>
        <w:gridCol w:w="932"/>
        <w:gridCol w:w="849"/>
        <w:gridCol w:w="1016"/>
        <w:gridCol w:w="855"/>
        <w:gridCol w:w="8"/>
      </w:tblGrid>
      <w:tr w:rsidR="00AB6818" w:rsidRPr="009A7F35" w14:paraId="15858944" w14:textId="77777777" w:rsidTr="00B36A04">
        <w:trPr>
          <w:trHeight w:val="522"/>
        </w:trPr>
        <w:tc>
          <w:tcPr>
            <w:tcW w:w="2124" w:type="dxa"/>
            <w:vMerge w:val="restart"/>
          </w:tcPr>
          <w:p w14:paraId="1F123CFC" w14:textId="77777777" w:rsidR="00AB6818" w:rsidRPr="009A7F35" w:rsidRDefault="00AB6818" w:rsidP="00B36A04">
            <w:pPr>
              <w:rPr>
                <w:rFonts w:ascii="Times New Roman" w:hAnsi="Times New Roman" w:cs="Times New Roman"/>
                <w:color w:val="000000" w:themeColor="text1"/>
                <w:sz w:val="18"/>
                <w:szCs w:val="20"/>
              </w:rPr>
            </w:pPr>
          </w:p>
        </w:tc>
        <w:tc>
          <w:tcPr>
            <w:tcW w:w="1940" w:type="dxa"/>
            <w:gridSpan w:val="2"/>
            <w:vAlign w:val="bottom"/>
          </w:tcPr>
          <w:p w14:paraId="19BA413A" w14:textId="77777777" w:rsidR="00AB6818" w:rsidRDefault="00AB6818" w:rsidP="00B36A04">
            <w:pPr>
              <w:jc w:val="center"/>
              <w:rPr>
                <w:rFonts w:ascii="Times New Roman" w:hAnsi="Times New Roman" w:cs="Times New Roman"/>
                <w:b/>
                <w:bCs/>
                <w:sz w:val="18"/>
                <w:szCs w:val="18"/>
              </w:rPr>
            </w:pPr>
            <w:r w:rsidRPr="009A7F35">
              <w:rPr>
                <w:rFonts w:ascii="Times New Roman" w:hAnsi="Times New Roman" w:cs="Times New Roman"/>
                <w:b/>
                <w:bCs/>
                <w:sz w:val="18"/>
                <w:szCs w:val="18"/>
              </w:rPr>
              <w:t>Selinexor</w:t>
            </w:r>
            <w:r>
              <w:rPr>
                <w:rFonts w:ascii="Times New Roman" w:hAnsi="Times New Roman" w:cs="Times New Roman"/>
                <w:b/>
                <w:bCs/>
                <w:sz w:val="18"/>
                <w:szCs w:val="18"/>
              </w:rPr>
              <w:t xml:space="preserve"> 60mg QW/ BIW</w:t>
            </w:r>
            <w:r w:rsidRPr="009A7F35">
              <w:rPr>
                <w:rFonts w:ascii="Times New Roman" w:hAnsi="Times New Roman" w:cs="Times New Roman"/>
                <w:b/>
                <w:bCs/>
                <w:sz w:val="18"/>
                <w:szCs w:val="18"/>
              </w:rPr>
              <w:t xml:space="preserve"> + carboplatin</w:t>
            </w:r>
            <w:r>
              <w:rPr>
                <w:rFonts w:ascii="Times New Roman" w:hAnsi="Times New Roman" w:cs="Times New Roman"/>
                <w:b/>
                <w:bCs/>
                <w:sz w:val="18"/>
                <w:szCs w:val="18"/>
              </w:rPr>
              <w:t xml:space="preserve"> 6 AUC Q3W</w:t>
            </w:r>
          </w:p>
          <w:p w14:paraId="196511F5"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b/>
                <w:bCs/>
                <w:color w:val="000000"/>
                <w:sz w:val="18"/>
                <w:szCs w:val="18"/>
              </w:rPr>
              <w:t>(</w:t>
            </w:r>
            <w:r w:rsidRPr="00CE0B51">
              <w:rPr>
                <w:rFonts w:ascii="Times New Roman" w:hAnsi="Times New Roman" w:cs="Times New Roman"/>
                <w:b/>
                <w:bCs/>
                <w:i/>
                <w:iCs/>
                <w:color w:val="000000"/>
                <w:sz w:val="18"/>
                <w:szCs w:val="18"/>
              </w:rPr>
              <w:t>N=6</w:t>
            </w:r>
            <w:r w:rsidRPr="009A7F35">
              <w:rPr>
                <w:rFonts w:ascii="Times New Roman" w:hAnsi="Times New Roman" w:cs="Times New Roman"/>
                <w:b/>
                <w:bCs/>
                <w:color w:val="000000"/>
                <w:sz w:val="18"/>
                <w:szCs w:val="18"/>
              </w:rPr>
              <w:t>)</w:t>
            </w:r>
          </w:p>
        </w:tc>
        <w:tc>
          <w:tcPr>
            <w:tcW w:w="2189" w:type="dxa"/>
            <w:gridSpan w:val="2"/>
            <w:vAlign w:val="bottom"/>
          </w:tcPr>
          <w:p w14:paraId="556EAD35" w14:textId="77777777" w:rsidR="00AB6818" w:rsidRDefault="00AB6818" w:rsidP="00B36A04">
            <w:pPr>
              <w:jc w:val="center"/>
              <w:rPr>
                <w:rFonts w:ascii="Times New Roman" w:hAnsi="Times New Roman" w:cs="Times New Roman"/>
                <w:b/>
                <w:bCs/>
                <w:sz w:val="18"/>
                <w:szCs w:val="18"/>
              </w:rPr>
            </w:pPr>
            <w:r w:rsidRPr="009A7F35">
              <w:rPr>
                <w:rFonts w:ascii="Times New Roman" w:hAnsi="Times New Roman" w:cs="Times New Roman"/>
                <w:b/>
                <w:bCs/>
                <w:sz w:val="18"/>
                <w:szCs w:val="18"/>
              </w:rPr>
              <w:t>Selinexor</w:t>
            </w:r>
            <w:r>
              <w:rPr>
                <w:rFonts w:ascii="Times New Roman" w:hAnsi="Times New Roman" w:cs="Times New Roman"/>
                <w:b/>
                <w:bCs/>
                <w:sz w:val="18"/>
                <w:szCs w:val="18"/>
              </w:rPr>
              <w:t xml:space="preserve"> 60mg QW/ BIW</w:t>
            </w:r>
            <w:r w:rsidRPr="009A7F35">
              <w:rPr>
                <w:rFonts w:ascii="Times New Roman" w:hAnsi="Times New Roman" w:cs="Times New Roman"/>
                <w:b/>
                <w:bCs/>
                <w:sz w:val="18"/>
                <w:szCs w:val="18"/>
              </w:rPr>
              <w:t xml:space="preserve"> + doxorubicin </w:t>
            </w:r>
            <w:r>
              <w:rPr>
                <w:rFonts w:ascii="Times New Roman" w:hAnsi="Times New Roman" w:cs="Times New Roman"/>
                <w:b/>
                <w:bCs/>
                <w:sz w:val="18"/>
                <w:szCs w:val="18"/>
              </w:rPr>
              <w:t>60 mg/m</w:t>
            </w:r>
            <w:r w:rsidRPr="00043D2B">
              <w:rPr>
                <w:rFonts w:ascii="Times New Roman" w:hAnsi="Times New Roman" w:cs="Times New Roman"/>
                <w:b/>
                <w:bCs/>
                <w:sz w:val="18"/>
                <w:szCs w:val="18"/>
                <w:vertAlign w:val="superscript"/>
              </w:rPr>
              <w:t>2</w:t>
            </w:r>
            <w:r>
              <w:rPr>
                <w:rFonts w:ascii="Times New Roman" w:hAnsi="Times New Roman" w:cs="Times New Roman"/>
                <w:b/>
                <w:bCs/>
                <w:sz w:val="18"/>
                <w:szCs w:val="18"/>
              </w:rPr>
              <w:t xml:space="preserve"> </w:t>
            </w:r>
            <w:r w:rsidRPr="009A7F35">
              <w:rPr>
                <w:rFonts w:ascii="Times New Roman" w:hAnsi="Times New Roman" w:cs="Times New Roman"/>
                <w:b/>
                <w:bCs/>
                <w:sz w:val="18"/>
                <w:szCs w:val="18"/>
              </w:rPr>
              <w:t>+ cyclophosphamide</w:t>
            </w:r>
            <w:r>
              <w:rPr>
                <w:rFonts w:ascii="Times New Roman" w:hAnsi="Times New Roman" w:cs="Times New Roman"/>
                <w:b/>
                <w:bCs/>
                <w:sz w:val="18"/>
                <w:szCs w:val="18"/>
              </w:rPr>
              <w:t xml:space="preserve"> 600mg/m</w:t>
            </w:r>
            <w:r w:rsidRPr="00741917">
              <w:rPr>
                <w:rFonts w:ascii="Times New Roman" w:hAnsi="Times New Roman" w:cs="Times New Roman"/>
                <w:b/>
                <w:bCs/>
                <w:sz w:val="18"/>
                <w:szCs w:val="18"/>
                <w:vertAlign w:val="superscript"/>
              </w:rPr>
              <w:t>2</w:t>
            </w:r>
            <w:r>
              <w:rPr>
                <w:rFonts w:ascii="Times New Roman" w:hAnsi="Times New Roman" w:cs="Times New Roman"/>
                <w:b/>
                <w:bCs/>
                <w:sz w:val="18"/>
                <w:szCs w:val="18"/>
              </w:rPr>
              <w:t xml:space="preserve"> Q3W</w:t>
            </w:r>
          </w:p>
          <w:p w14:paraId="11F7B5D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b/>
                <w:bCs/>
                <w:color w:val="000000"/>
                <w:sz w:val="18"/>
                <w:szCs w:val="18"/>
              </w:rPr>
              <w:t>(</w:t>
            </w:r>
            <w:r w:rsidRPr="00CE0B51">
              <w:rPr>
                <w:rFonts w:ascii="Times New Roman" w:hAnsi="Times New Roman" w:cs="Times New Roman"/>
                <w:b/>
                <w:bCs/>
                <w:i/>
                <w:iCs/>
                <w:color w:val="000000"/>
                <w:sz w:val="18"/>
                <w:szCs w:val="18"/>
              </w:rPr>
              <w:t>N=4</w:t>
            </w:r>
            <w:r w:rsidRPr="009A7F35">
              <w:rPr>
                <w:rFonts w:ascii="Times New Roman" w:hAnsi="Times New Roman" w:cs="Times New Roman"/>
                <w:b/>
                <w:bCs/>
                <w:color w:val="000000"/>
                <w:sz w:val="18"/>
                <w:szCs w:val="18"/>
              </w:rPr>
              <w:t>)</w:t>
            </w:r>
          </w:p>
        </w:tc>
        <w:tc>
          <w:tcPr>
            <w:tcW w:w="1982" w:type="dxa"/>
            <w:gridSpan w:val="2"/>
            <w:vAlign w:val="bottom"/>
          </w:tcPr>
          <w:p w14:paraId="67083FBD" w14:textId="77777777" w:rsidR="00AB6818" w:rsidRDefault="00AB6818" w:rsidP="00B36A04">
            <w:pPr>
              <w:jc w:val="center"/>
              <w:rPr>
                <w:rFonts w:ascii="Times New Roman" w:hAnsi="Times New Roman" w:cs="Times New Roman"/>
                <w:b/>
                <w:bCs/>
                <w:sz w:val="18"/>
                <w:szCs w:val="18"/>
              </w:rPr>
            </w:pPr>
            <w:r w:rsidRPr="009A7F35">
              <w:rPr>
                <w:rFonts w:ascii="Times New Roman" w:hAnsi="Times New Roman" w:cs="Times New Roman"/>
                <w:b/>
                <w:bCs/>
                <w:sz w:val="18"/>
                <w:szCs w:val="18"/>
              </w:rPr>
              <w:t>Selinexor</w:t>
            </w:r>
            <w:r>
              <w:rPr>
                <w:rFonts w:ascii="Times New Roman" w:hAnsi="Times New Roman" w:cs="Times New Roman"/>
                <w:b/>
                <w:bCs/>
                <w:sz w:val="18"/>
                <w:szCs w:val="18"/>
              </w:rPr>
              <w:t xml:space="preserve"> 40mg QW</w:t>
            </w:r>
            <w:r w:rsidRPr="009A7F35">
              <w:rPr>
                <w:rFonts w:ascii="Times New Roman" w:hAnsi="Times New Roman" w:cs="Times New Roman"/>
                <w:b/>
                <w:bCs/>
                <w:sz w:val="18"/>
                <w:szCs w:val="18"/>
              </w:rPr>
              <w:t xml:space="preserve"> + FOLFIRI</w:t>
            </w:r>
            <w:r>
              <w:rPr>
                <w:rFonts w:ascii="Times New Roman" w:hAnsi="Times New Roman" w:cs="Times New Roman"/>
                <w:b/>
                <w:bCs/>
                <w:sz w:val="18"/>
                <w:szCs w:val="18"/>
              </w:rPr>
              <w:t>*</w:t>
            </w:r>
          </w:p>
          <w:p w14:paraId="428223CE"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b/>
                <w:bCs/>
                <w:color w:val="000000"/>
                <w:sz w:val="18"/>
                <w:szCs w:val="18"/>
              </w:rPr>
              <w:t>(</w:t>
            </w:r>
            <w:r w:rsidRPr="00CE0B51">
              <w:rPr>
                <w:rFonts w:ascii="Times New Roman" w:hAnsi="Times New Roman" w:cs="Times New Roman"/>
                <w:b/>
                <w:bCs/>
                <w:i/>
                <w:iCs/>
                <w:color w:val="000000"/>
                <w:sz w:val="18"/>
                <w:szCs w:val="18"/>
              </w:rPr>
              <w:t>N=3</w:t>
            </w:r>
            <w:r w:rsidRPr="009A7F35">
              <w:rPr>
                <w:rFonts w:ascii="Times New Roman" w:hAnsi="Times New Roman" w:cs="Times New Roman"/>
                <w:b/>
                <w:bCs/>
                <w:color w:val="000000"/>
                <w:sz w:val="18"/>
                <w:szCs w:val="18"/>
              </w:rPr>
              <w:t>)</w:t>
            </w:r>
          </w:p>
        </w:tc>
        <w:tc>
          <w:tcPr>
            <w:tcW w:w="1865" w:type="dxa"/>
            <w:gridSpan w:val="2"/>
            <w:vAlign w:val="bottom"/>
          </w:tcPr>
          <w:p w14:paraId="15A47021" w14:textId="77777777" w:rsidR="00AB6818" w:rsidRDefault="00AB6818" w:rsidP="00B36A04">
            <w:pPr>
              <w:jc w:val="center"/>
              <w:rPr>
                <w:rFonts w:ascii="Times New Roman" w:hAnsi="Times New Roman" w:cs="Times New Roman"/>
                <w:b/>
                <w:bCs/>
                <w:sz w:val="18"/>
                <w:szCs w:val="18"/>
              </w:rPr>
            </w:pPr>
            <w:r w:rsidRPr="009A7F35">
              <w:rPr>
                <w:rFonts w:ascii="Times New Roman" w:hAnsi="Times New Roman" w:cs="Times New Roman"/>
                <w:b/>
                <w:bCs/>
                <w:sz w:val="18"/>
                <w:szCs w:val="18"/>
              </w:rPr>
              <w:t xml:space="preserve">Selinexor </w:t>
            </w:r>
            <w:r>
              <w:rPr>
                <w:rFonts w:ascii="Times New Roman" w:hAnsi="Times New Roman" w:cs="Times New Roman"/>
                <w:b/>
                <w:bCs/>
                <w:sz w:val="18"/>
                <w:szCs w:val="18"/>
              </w:rPr>
              <w:t>60mg QW</w:t>
            </w:r>
            <w:r w:rsidRPr="009A7F35">
              <w:rPr>
                <w:rFonts w:ascii="Times New Roman" w:hAnsi="Times New Roman" w:cs="Times New Roman"/>
                <w:b/>
                <w:bCs/>
                <w:sz w:val="18"/>
                <w:szCs w:val="18"/>
              </w:rPr>
              <w:t xml:space="preserve">+ </w:t>
            </w:r>
            <w:r>
              <w:rPr>
                <w:rFonts w:ascii="Times New Roman" w:hAnsi="Times New Roman" w:cs="Times New Roman"/>
                <w:b/>
                <w:bCs/>
                <w:sz w:val="18"/>
                <w:szCs w:val="18"/>
              </w:rPr>
              <w:t>i</w:t>
            </w:r>
            <w:r w:rsidRPr="009A7F35">
              <w:rPr>
                <w:rFonts w:ascii="Times New Roman" w:hAnsi="Times New Roman" w:cs="Times New Roman"/>
                <w:b/>
                <w:bCs/>
                <w:sz w:val="18"/>
                <w:szCs w:val="18"/>
              </w:rPr>
              <w:t>rinotecan</w:t>
            </w:r>
            <w:r>
              <w:rPr>
                <w:rFonts w:ascii="Times New Roman" w:hAnsi="Times New Roman" w:cs="Times New Roman"/>
                <w:b/>
                <w:bCs/>
                <w:sz w:val="18"/>
                <w:szCs w:val="18"/>
              </w:rPr>
              <w:t xml:space="preserve"> 125 mg/m</w:t>
            </w:r>
            <w:r w:rsidRPr="007047FB">
              <w:rPr>
                <w:rFonts w:ascii="Times New Roman" w:hAnsi="Times New Roman" w:cs="Times New Roman"/>
                <w:b/>
                <w:bCs/>
                <w:sz w:val="18"/>
                <w:szCs w:val="18"/>
                <w:vertAlign w:val="superscript"/>
              </w:rPr>
              <w:t>2</w:t>
            </w:r>
            <w:r>
              <w:rPr>
                <w:rFonts w:ascii="Times New Roman" w:hAnsi="Times New Roman" w:cs="Times New Roman"/>
                <w:b/>
                <w:bCs/>
                <w:sz w:val="18"/>
                <w:szCs w:val="18"/>
              </w:rPr>
              <w:t xml:space="preserve"> D1 &amp; 8 Q3W</w:t>
            </w:r>
          </w:p>
          <w:p w14:paraId="606E50BE"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b/>
                <w:bCs/>
                <w:color w:val="000000"/>
                <w:sz w:val="18"/>
                <w:szCs w:val="18"/>
              </w:rPr>
              <w:t>(</w:t>
            </w:r>
            <w:r w:rsidRPr="00CE0B51">
              <w:rPr>
                <w:rFonts w:ascii="Times New Roman" w:hAnsi="Times New Roman" w:cs="Times New Roman"/>
                <w:b/>
                <w:bCs/>
                <w:i/>
                <w:iCs/>
                <w:color w:val="000000"/>
                <w:sz w:val="18"/>
                <w:szCs w:val="18"/>
              </w:rPr>
              <w:t>N=3</w:t>
            </w:r>
            <w:r w:rsidRPr="009A7F35">
              <w:rPr>
                <w:rFonts w:ascii="Times New Roman" w:hAnsi="Times New Roman" w:cs="Times New Roman"/>
                <w:b/>
                <w:bCs/>
                <w:color w:val="000000"/>
                <w:sz w:val="18"/>
                <w:szCs w:val="18"/>
              </w:rPr>
              <w:t>)</w:t>
            </w:r>
          </w:p>
        </w:tc>
        <w:tc>
          <w:tcPr>
            <w:tcW w:w="1781" w:type="dxa"/>
            <w:gridSpan w:val="2"/>
            <w:vAlign w:val="bottom"/>
          </w:tcPr>
          <w:p w14:paraId="031C700E" w14:textId="77777777" w:rsidR="00AB6818" w:rsidRDefault="00AB6818" w:rsidP="00B36A04">
            <w:pPr>
              <w:jc w:val="center"/>
              <w:rPr>
                <w:rFonts w:ascii="Times New Roman" w:hAnsi="Times New Roman" w:cs="Times New Roman"/>
                <w:b/>
                <w:bCs/>
                <w:color w:val="000000"/>
                <w:sz w:val="18"/>
                <w:szCs w:val="18"/>
              </w:rPr>
            </w:pPr>
            <w:r w:rsidRPr="009A7F35">
              <w:rPr>
                <w:rFonts w:ascii="Times New Roman" w:hAnsi="Times New Roman" w:cs="Times New Roman"/>
                <w:b/>
                <w:bCs/>
                <w:sz w:val="18"/>
                <w:szCs w:val="18"/>
              </w:rPr>
              <w:t>Selinexor</w:t>
            </w:r>
            <w:r w:rsidRPr="009A7F35">
              <w:rPr>
                <w:rFonts w:ascii="Times New Roman" w:hAnsi="Times New Roman" w:cs="Times New Roman"/>
                <w:b/>
                <w:bCs/>
                <w:color w:val="000000"/>
                <w:sz w:val="18"/>
                <w:szCs w:val="18"/>
              </w:rPr>
              <w:t xml:space="preserve"> </w:t>
            </w:r>
            <w:r>
              <w:rPr>
                <w:rFonts w:ascii="Times New Roman" w:hAnsi="Times New Roman" w:cs="Times New Roman"/>
                <w:b/>
                <w:bCs/>
                <w:color w:val="000000"/>
                <w:sz w:val="18"/>
                <w:szCs w:val="18"/>
              </w:rPr>
              <w:t>40mg QW</w:t>
            </w:r>
            <w:r w:rsidRPr="009A7F35">
              <w:rPr>
                <w:rFonts w:ascii="Times New Roman" w:hAnsi="Times New Roman" w:cs="Times New Roman"/>
                <w:b/>
                <w:bCs/>
                <w:color w:val="000000"/>
                <w:sz w:val="18"/>
                <w:szCs w:val="18"/>
              </w:rPr>
              <w:t xml:space="preserve"> + XELOX</w:t>
            </w:r>
            <w:r>
              <w:rPr>
                <w:rFonts w:ascii="Times New Roman" w:hAnsi="Times New Roman" w:cs="Times New Roman"/>
                <w:b/>
                <w:bCs/>
                <w:color w:val="000000"/>
                <w:sz w:val="18"/>
                <w:szCs w:val="18"/>
              </w:rPr>
              <w:t>**</w:t>
            </w:r>
          </w:p>
          <w:p w14:paraId="7503733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b/>
                <w:bCs/>
                <w:color w:val="000000"/>
                <w:sz w:val="18"/>
                <w:szCs w:val="18"/>
              </w:rPr>
              <w:t>(</w:t>
            </w:r>
            <w:r w:rsidRPr="00CE0B51">
              <w:rPr>
                <w:rFonts w:ascii="Times New Roman" w:hAnsi="Times New Roman" w:cs="Times New Roman"/>
                <w:b/>
                <w:bCs/>
                <w:i/>
                <w:iCs/>
                <w:color w:val="000000"/>
                <w:sz w:val="18"/>
                <w:szCs w:val="18"/>
              </w:rPr>
              <w:t>N=3</w:t>
            </w:r>
            <w:r w:rsidRPr="009A7F35">
              <w:rPr>
                <w:rFonts w:ascii="Times New Roman" w:hAnsi="Times New Roman" w:cs="Times New Roman"/>
                <w:b/>
                <w:bCs/>
                <w:color w:val="000000"/>
                <w:sz w:val="18"/>
                <w:szCs w:val="18"/>
              </w:rPr>
              <w:t>)</w:t>
            </w:r>
          </w:p>
        </w:tc>
        <w:tc>
          <w:tcPr>
            <w:tcW w:w="1878" w:type="dxa"/>
            <w:gridSpan w:val="3"/>
          </w:tcPr>
          <w:p w14:paraId="20672228" w14:textId="77777777" w:rsidR="00AB6818" w:rsidRPr="009A7F35" w:rsidRDefault="00AB6818" w:rsidP="00B36A04">
            <w:pPr>
              <w:jc w:val="center"/>
              <w:rPr>
                <w:rFonts w:ascii="Times New Roman" w:hAnsi="Times New Roman" w:cs="Times New Roman"/>
                <w:b/>
                <w:bCs/>
                <w:color w:val="000000"/>
                <w:sz w:val="18"/>
                <w:szCs w:val="18"/>
              </w:rPr>
            </w:pPr>
          </w:p>
          <w:p w14:paraId="2F960C9C" w14:textId="77777777" w:rsidR="00AB6818" w:rsidRPr="009A7F35" w:rsidRDefault="00AB6818" w:rsidP="00B36A04">
            <w:pPr>
              <w:jc w:val="center"/>
              <w:rPr>
                <w:rFonts w:ascii="Times New Roman" w:hAnsi="Times New Roman" w:cs="Times New Roman"/>
                <w:b/>
                <w:bCs/>
                <w:color w:val="000000"/>
                <w:sz w:val="18"/>
                <w:szCs w:val="18"/>
              </w:rPr>
            </w:pPr>
          </w:p>
          <w:p w14:paraId="2A6E795E" w14:textId="77777777" w:rsidR="00AB6818" w:rsidRDefault="00AB6818" w:rsidP="00B36A04">
            <w:pPr>
              <w:jc w:val="center"/>
              <w:rPr>
                <w:rFonts w:ascii="Times New Roman" w:hAnsi="Times New Roman" w:cs="Times New Roman"/>
                <w:b/>
                <w:bCs/>
                <w:color w:val="000000"/>
                <w:sz w:val="18"/>
                <w:szCs w:val="18"/>
              </w:rPr>
            </w:pPr>
            <w:r w:rsidRPr="009A7F35">
              <w:rPr>
                <w:rFonts w:ascii="Times New Roman" w:hAnsi="Times New Roman" w:cs="Times New Roman"/>
                <w:b/>
                <w:bCs/>
                <w:color w:val="000000"/>
                <w:sz w:val="18"/>
                <w:szCs w:val="18"/>
              </w:rPr>
              <w:t>All Patients</w:t>
            </w:r>
          </w:p>
          <w:p w14:paraId="6B32C39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b/>
                <w:bCs/>
                <w:color w:val="000000"/>
                <w:sz w:val="18"/>
                <w:szCs w:val="18"/>
              </w:rPr>
              <w:t>(</w:t>
            </w:r>
            <w:r w:rsidRPr="00DB4E67">
              <w:rPr>
                <w:rFonts w:ascii="Times New Roman" w:hAnsi="Times New Roman" w:cs="Times New Roman"/>
                <w:b/>
                <w:bCs/>
                <w:i/>
                <w:iCs/>
                <w:color w:val="000000"/>
                <w:sz w:val="18"/>
                <w:szCs w:val="18"/>
              </w:rPr>
              <w:t>N=19</w:t>
            </w:r>
            <w:r w:rsidRPr="009A7F35">
              <w:rPr>
                <w:rFonts w:ascii="Times New Roman" w:hAnsi="Times New Roman" w:cs="Times New Roman"/>
                <w:b/>
                <w:bCs/>
                <w:color w:val="000000"/>
                <w:sz w:val="18"/>
                <w:szCs w:val="18"/>
              </w:rPr>
              <w:t>)</w:t>
            </w:r>
          </w:p>
        </w:tc>
      </w:tr>
      <w:tr w:rsidR="00AB6818" w:rsidRPr="009A7F35" w14:paraId="78AD5B9E" w14:textId="77777777" w:rsidTr="00B36A04">
        <w:trPr>
          <w:gridAfter w:val="1"/>
          <w:wAfter w:w="8" w:type="dxa"/>
          <w:trHeight w:val="533"/>
        </w:trPr>
        <w:tc>
          <w:tcPr>
            <w:tcW w:w="2124" w:type="dxa"/>
            <w:vMerge/>
            <w:tcBorders>
              <w:bottom w:val="nil"/>
            </w:tcBorders>
          </w:tcPr>
          <w:p w14:paraId="3EEFA548" w14:textId="77777777" w:rsidR="00AB6818" w:rsidRPr="009A7F35" w:rsidRDefault="00AB6818" w:rsidP="00B36A04">
            <w:pPr>
              <w:spacing w:after="0"/>
              <w:rPr>
                <w:rFonts w:ascii="Times New Roman" w:hAnsi="Times New Roman" w:cs="Times New Roman"/>
                <w:color w:val="000000" w:themeColor="text1"/>
                <w:sz w:val="18"/>
                <w:szCs w:val="20"/>
              </w:rPr>
            </w:pPr>
          </w:p>
        </w:tc>
        <w:tc>
          <w:tcPr>
            <w:tcW w:w="981" w:type="dxa"/>
            <w:vMerge w:val="restart"/>
          </w:tcPr>
          <w:p w14:paraId="0AA4A21C" w14:textId="77777777" w:rsidR="00AB6818" w:rsidRPr="009A7F35" w:rsidRDefault="00AB6818" w:rsidP="00B36A04">
            <w:pPr>
              <w:spacing w:after="0"/>
              <w:jc w:val="center"/>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All Grades</w:t>
            </w:r>
          </w:p>
        </w:tc>
        <w:tc>
          <w:tcPr>
            <w:tcW w:w="959" w:type="dxa"/>
            <w:vMerge w:val="restart"/>
          </w:tcPr>
          <w:p w14:paraId="68EBD5AD" w14:textId="77777777" w:rsidR="00AB6818" w:rsidRPr="009A7F35" w:rsidRDefault="00AB6818" w:rsidP="00B36A04">
            <w:pPr>
              <w:spacing w:after="0"/>
              <w:jc w:val="center"/>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 xml:space="preserve">Grade </w:t>
            </w:r>
            <w:r w:rsidRPr="009A7F35">
              <w:rPr>
                <w:rFonts w:ascii="Times New Roman" w:hAnsi="Times New Roman" w:cs="Times New Roman"/>
                <w:color w:val="000000" w:themeColor="text1"/>
                <w:sz w:val="18"/>
                <w:szCs w:val="20"/>
              </w:rPr>
              <w:t>3/4</w:t>
            </w:r>
          </w:p>
        </w:tc>
        <w:tc>
          <w:tcPr>
            <w:tcW w:w="1022" w:type="dxa"/>
            <w:vMerge w:val="restart"/>
          </w:tcPr>
          <w:p w14:paraId="3A712EF5" w14:textId="77777777" w:rsidR="00AB6818" w:rsidRPr="009A7F35" w:rsidRDefault="00AB6818" w:rsidP="00B36A04">
            <w:pPr>
              <w:spacing w:after="0"/>
              <w:jc w:val="center"/>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All Grades</w:t>
            </w:r>
          </w:p>
        </w:tc>
        <w:tc>
          <w:tcPr>
            <w:tcW w:w="1167" w:type="dxa"/>
            <w:vMerge w:val="restart"/>
          </w:tcPr>
          <w:p w14:paraId="23233011" w14:textId="77777777" w:rsidR="00AB6818" w:rsidRPr="009A7F35" w:rsidRDefault="00AB6818" w:rsidP="00B36A04">
            <w:pPr>
              <w:spacing w:after="0"/>
              <w:jc w:val="center"/>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 xml:space="preserve">Grade </w:t>
            </w:r>
            <w:r w:rsidRPr="009A7F35">
              <w:rPr>
                <w:rFonts w:ascii="Times New Roman" w:hAnsi="Times New Roman" w:cs="Times New Roman"/>
                <w:color w:val="000000" w:themeColor="text1"/>
                <w:sz w:val="18"/>
                <w:szCs w:val="20"/>
              </w:rPr>
              <w:t>3/4</w:t>
            </w:r>
          </w:p>
        </w:tc>
        <w:tc>
          <w:tcPr>
            <w:tcW w:w="1048" w:type="dxa"/>
            <w:vMerge w:val="restart"/>
          </w:tcPr>
          <w:p w14:paraId="17F7C575" w14:textId="77777777" w:rsidR="00AB6818" w:rsidRPr="009A7F35" w:rsidRDefault="00AB6818" w:rsidP="00B36A04">
            <w:pPr>
              <w:spacing w:after="0"/>
              <w:jc w:val="center"/>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All Grades</w:t>
            </w:r>
          </w:p>
        </w:tc>
        <w:tc>
          <w:tcPr>
            <w:tcW w:w="934" w:type="dxa"/>
            <w:vMerge w:val="restart"/>
          </w:tcPr>
          <w:p w14:paraId="175EE5B5" w14:textId="77777777" w:rsidR="00AB6818" w:rsidRPr="009A7F35" w:rsidRDefault="00AB6818" w:rsidP="00B36A04">
            <w:pPr>
              <w:spacing w:after="0"/>
              <w:jc w:val="center"/>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 xml:space="preserve">Grade </w:t>
            </w:r>
            <w:r w:rsidRPr="009A7F35">
              <w:rPr>
                <w:rFonts w:ascii="Times New Roman" w:hAnsi="Times New Roman" w:cs="Times New Roman"/>
                <w:color w:val="000000" w:themeColor="text1"/>
                <w:sz w:val="18"/>
                <w:szCs w:val="20"/>
              </w:rPr>
              <w:t>3/4</w:t>
            </w:r>
          </w:p>
        </w:tc>
        <w:tc>
          <w:tcPr>
            <w:tcW w:w="932" w:type="dxa"/>
            <w:vMerge w:val="restart"/>
          </w:tcPr>
          <w:p w14:paraId="2E9F202E" w14:textId="77777777" w:rsidR="00AB6818" w:rsidRPr="009A7F35" w:rsidRDefault="00AB6818" w:rsidP="00B36A04">
            <w:pPr>
              <w:spacing w:after="0"/>
              <w:jc w:val="center"/>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All Grades</w:t>
            </w:r>
          </w:p>
        </w:tc>
        <w:tc>
          <w:tcPr>
            <w:tcW w:w="933" w:type="dxa"/>
            <w:vMerge w:val="restart"/>
          </w:tcPr>
          <w:p w14:paraId="29A24CDE" w14:textId="77777777" w:rsidR="00AB6818" w:rsidRPr="009A7F35" w:rsidRDefault="00AB6818" w:rsidP="00B36A04">
            <w:pPr>
              <w:spacing w:after="0"/>
              <w:jc w:val="center"/>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 xml:space="preserve">Grade </w:t>
            </w:r>
            <w:r w:rsidRPr="009A7F35">
              <w:rPr>
                <w:rFonts w:ascii="Times New Roman" w:hAnsi="Times New Roman" w:cs="Times New Roman"/>
                <w:color w:val="000000" w:themeColor="text1"/>
                <w:sz w:val="18"/>
                <w:szCs w:val="20"/>
              </w:rPr>
              <w:t>3/4</w:t>
            </w:r>
          </w:p>
        </w:tc>
        <w:tc>
          <w:tcPr>
            <w:tcW w:w="932" w:type="dxa"/>
            <w:vMerge w:val="restart"/>
          </w:tcPr>
          <w:p w14:paraId="526BB76A" w14:textId="77777777" w:rsidR="00AB6818" w:rsidRPr="009A7F35" w:rsidRDefault="00AB6818" w:rsidP="00B36A04">
            <w:pPr>
              <w:spacing w:after="0"/>
              <w:jc w:val="center"/>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All Grades</w:t>
            </w:r>
          </w:p>
        </w:tc>
        <w:tc>
          <w:tcPr>
            <w:tcW w:w="848" w:type="dxa"/>
            <w:vMerge w:val="restart"/>
          </w:tcPr>
          <w:p w14:paraId="09684463" w14:textId="77777777" w:rsidR="00AB6818" w:rsidRPr="009A7F35" w:rsidRDefault="00AB6818" w:rsidP="00B36A04">
            <w:pPr>
              <w:spacing w:after="0"/>
              <w:jc w:val="center"/>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 xml:space="preserve">Grade </w:t>
            </w:r>
            <w:r w:rsidRPr="009A7F35">
              <w:rPr>
                <w:rFonts w:ascii="Times New Roman" w:hAnsi="Times New Roman" w:cs="Times New Roman"/>
                <w:color w:val="000000" w:themeColor="text1"/>
                <w:sz w:val="18"/>
                <w:szCs w:val="20"/>
              </w:rPr>
              <w:t>3/4</w:t>
            </w:r>
          </w:p>
        </w:tc>
        <w:tc>
          <w:tcPr>
            <w:tcW w:w="1016" w:type="dxa"/>
            <w:vMerge w:val="restart"/>
          </w:tcPr>
          <w:p w14:paraId="00144C81" w14:textId="77777777" w:rsidR="00AB6818" w:rsidRPr="009A7F35" w:rsidRDefault="00AB6818" w:rsidP="00B36A04">
            <w:pPr>
              <w:spacing w:after="0"/>
              <w:jc w:val="center"/>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All Grades</w:t>
            </w:r>
          </w:p>
        </w:tc>
        <w:tc>
          <w:tcPr>
            <w:tcW w:w="855" w:type="dxa"/>
            <w:vMerge w:val="restart"/>
          </w:tcPr>
          <w:p w14:paraId="25C7AFBB" w14:textId="77777777" w:rsidR="00AB6818" w:rsidRPr="009A7F35" w:rsidRDefault="00AB6818" w:rsidP="00B36A04">
            <w:pPr>
              <w:spacing w:after="0"/>
              <w:jc w:val="center"/>
              <w:rPr>
                <w:rFonts w:ascii="Times New Roman" w:hAnsi="Times New Roman" w:cs="Times New Roman"/>
                <w:color w:val="000000" w:themeColor="text1"/>
                <w:sz w:val="18"/>
                <w:szCs w:val="20"/>
              </w:rPr>
            </w:pPr>
            <w:r>
              <w:rPr>
                <w:rFonts w:ascii="Times New Roman" w:hAnsi="Times New Roman" w:cs="Times New Roman"/>
                <w:color w:val="000000" w:themeColor="text1"/>
                <w:sz w:val="18"/>
                <w:szCs w:val="20"/>
              </w:rPr>
              <w:t xml:space="preserve">Grade </w:t>
            </w:r>
            <w:r w:rsidRPr="009A7F35">
              <w:rPr>
                <w:rFonts w:ascii="Times New Roman" w:hAnsi="Times New Roman" w:cs="Times New Roman"/>
                <w:color w:val="000000" w:themeColor="text1"/>
                <w:sz w:val="18"/>
                <w:szCs w:val="20"/>
              </w:rPr>
              <w:t>3/4</w:t>
            </w:r>
          </w:p>
        </w:tc>
      </w:tr>
      <w:tr w:rsidR="00AB6818" w:rsidRPr="009A7F35" w14:paraId="6762F056" w14:textId="77777777" w:rsidTr="00B36A04">
        <w:trPr>
          <w:gridAfter w:val="1"/>
          <w:wAfter w:w="8" w:type="dxa"/>
          <w:trHeight w:val="229"/>
        </w:trPr>
        <w:tc>
          <w:tcPr>
            <w:tcW w:w="2124" w:type="dxa"/>
            <w:tcBorders>
              <w:top w:val="nil"/>
            </w:tcBorders>
          </w:tcPr>
          <w:p w14:paraId="2DA0BD34" w14:textId="77777777" w:rsidR="00AB6818" w:rsidRPr="00DB4E67" w:rsidRDefault="00AB6818" w:rsidP="00B36A04">
            <w:pPr>
              <w:rPr>
                <w:rFonts w:ascii="Times New Roman" w:hAnsi="Times New Roman" w:cs="Times New Roman"/>
                <w:i/>
                <w:iCs/>
                <w:color w:val="000000" w:themeColor="text1"/>
                <w:sz w:val="18"/>
                <w:szCs w:val="20"/>
              </w:rPr>
            </w:pPr>
            <w:r w:rsidRPr="00DB4E67">
              <w:rPr>
                <w:rFonts w:ascii="Times New Roman" w:hAnsi="Times New Roman" w:cs="Times New Roman"/>
                <w:i/>
                <w:iCs/>
                <w:color w:val="000000" w:themeColor="text1"/>
                <w:sz w:val="18"/>
                <w:szCs w:val="20"/>
              </w:rPr>
              <w:t>n (%)</w:t>
            </w:r>
          </w:p>
        </w:tc>
        <w:tc>
          <w:tcPr>
            <w:tcW w:w="981" w:type="dxa"/>
            <w:vMerge/>
          </w:tcPr>
          <w:p w14:paraId="0A8730A9" w14:textId="77777777" w:rsidR="00AB6818" w:rsidRPr="009A7F35" w:rsidRDefault="00AB6818" w:rsidP="00B36A04">
            <w:pPr>
              <w:jc w:val="center"/>
              <w:rPr>
                <w:rFonts w:ascii="Times New Roman" w:hAnsi="Times New Roman" w:cs="Times New Roman"/>
                <w:color w:val="000000" w:themeColor="text1"/>
                <w:sz w:val="18"/>
                <w:szCs w:val="20"/>
              </w:rPr>
            </w:pPr>
          </w:p>
        </w:tc>
        <w:tc>
          <w:tcPr>
            <w:tcW w:w="959" w:type="dxa"/>
            <w:vMerge/>
          </w:tcPr>
          <w:p w14:paraId="7F6282C8" w14:textId="77777777" w:rsidR="00AB6818" w:rsidRPr="009A7F35" w:rsidRDefault="00AB6818" w:rsidP="00B36A04">
            <w:pPr>
              <w:jc w:val="center"/>
              <w:rPr>
                <w:rFonts w:ascii="Times New Roman" w:hAnsi="Times New Roman" w:cs="Times New Roman"/>
                <w:color w:val="000000" w:themeColor="text1"/>
                <w:sz w:val="18"/>
                <w:szCs w:val="20"/>
              </w:rPr>
            </w:pPr>
          </w:p>
        </w:tc>
        <w:tc>
          <w:tcPr>
            <w:tcW w:w="1022" w:type="dxa"/>
            <w:vMerge/>
          </w:tcPr>
          <w:p w14:paraId="01402620" w14:textId="77777777" w:rsidR="00AB6818" w:rsidRPr="009A7F35" w:rsidRDefault="00AB6818" w:rsidP="00B36A04">
            <w:pPr>
              <w:jc w:val="center"/>
              <w:rPr>
                <w:rFonts w:ascii="Times New Roman" w:hAnsi="Times New Roman" w:cs="Times New Roman"/>
                <w:color w:val="000000" w:themeColor="text1"/>
                <w:sz w:val="18"/>
                <w:szCs w:val="20"/>
              </w:rPr>
            </w:pPr>
          </w:p>
        </w:tc>
        <w:tc>
          <w:tcPr>
            <w:tcW w:w="1167" w:type="dxa"/>
            <w:vMerge/>
          </w:tcPr>
          <w:p w14:paraId="150349A8" w14:textId="77777777" w:rsidR="00AB6818" w:rsidRPr="009A7F35" w:rsidRDefault="00AB6818" w:rsidP="00B36A04">
            <w:pPr>
              <w:jc w:val="center"/>
              <w:rPr>
                <w:rFonts w:ascii="Times New Roman" w:hAnsi="Times New Roman" w:cs="Times New Roman"/>
                <w:color w:val="000000" w:themeColor="text1"/>
                <w:sz w:val="18"/>
                <w:szCs w:val="20"/>
              </w:rPr>
            </w:pPr>
          </w:p>
        </w:tc>
        <w:tc>
          <w:tcPr>
            <w:tcW w:w="1048" w:type="dxa"/>
            <w:vMerge/>
          </w:tcPr>
          <w:p w14:paraId="3A2D7611" w14:textId="77777777" w:rsidR="00AB6818" w:rsidRPr="009A7F35" w:rsidRDefault="00AB6818" w:rsidP="00B36A04">
            <w:pPr>
              <w:jc w:val="center"/>
              <w:rPr>
                <w:rFonts w:ascii="Times New Roman" w:hAnsi="Times New Roman" w:cs="Times New Roman"/>
                <w:color w:val="000000" w:themeColor="text1"/>
                <w:sz w:val="18"/>
                <w:szCs w:val="20"/>
              </w:rPr>
            </w:pPr>
          </w:p>
        </w:tc>
        <w:tc>
          <w:tcPr>
            <w:tcW w:w="934" w:type="dxa"/>
            <w:vMerge/>
          </w:tcPr>
          <w:p w14:paraId="7D174CD1" w14:textId="77777777" w:rsidR="00AB6818" w:rsidRPr="009A7F35" w:rsidRDefault="00AB6818" w:rsidP="00B36A04">
            <w:pPr>
              <w:jc w:val="center"/>
              <w:rPr>
                <w:rFonts w:ascii="Times New Roman" w:hAnsi="Times New Roman" w:cs="Times New Roman"/>
                <w:color w:val="000000" w:themeColor="text1"/>
                <w:sz w:val="18"/>
                <w:szCs w:val="20"/>
              </w:rPr>
            </w:pPr>
          </w:p>
        </w:tc>
        <w:tc>
          <w:tcPr>
            <w:tcW w:w="932" w:type="dxa"/>
            <w:vMerge/>
          </w:tcPr>
          <w:p w14:paraId="01EADFF9" w14:textId="77777777" w:rsidR="00AB6818" w:rsidRPr="009A7F35" w:rsidRDefault="00AB6818" w:rsidP="00B36A04">
            <w:pPr>
              <w:jc w:val="center"/>
              <w:rPr>
                <w:rFonts w:ascii="Times New Roman" w:hAnsi="Times New Roman" w:cs="Times New Roman"/>
                <w:color w:val="000000" w:themeColor="text1"/>
                <w:sz w:val="18"/>
                <w:szCs w:val="20"/>
              </w:rPr>
            </w:pPr>
          </w:p>
        </w:tc>
        <w:tc>
          <w:tcPr>
            <w:tcW w:w="933" w:type="dxa"/>
            <w:vMerge/>
          </w:tcPr>
          <w:p w14:paraId="2A9EF241" w14:textId="77777777" w:rsidR="00AB6818" w:rsidRPr="009A7F35" w:rsidRDefault="00AB6818" w:rsidP="00B36A04">
            <w:pPr>
              <w:jc w:val="center"/>
              <w:rPr>
                <w:rFonts w:ascii="Times New Roman" w:hAnsi="Times New Roman" w:cs="Times New Roman"/>
                <w:color w:val="000000" w:themeColor="text1"/>
                <w:sz w:val="18"/>
                <w:szCs w:val="20"/>
              </w:rPr>
            </w:pPr>
          </w:p>
        </w:tc>
        <w:tc>
          <w:tcPr>
            <w:tcW w:w="932" w:type="dxa"/>
            <w:vMerge/>
          </w:tcPr>
          <w:p w14:paraId="2EC07432" w14:textId="77777777" w:rsidR="00AB6818" w:rsidRPr="009A7F35" w:rsidRDefault="00AB6818" w:rsidP="00B36A04">
            <w:pPr>
              <w:jc w:val="center"/>
              <w:rPr>
                <w:rFonts w:ascii="Times New Roman" w:hAnsi="Times New Roman" w:cs="Times New Roman"/>
                <w:color w:val="000000" w:themeColor="text1"/>
                <w:sz w:val="18"/>
                <w:szCs w:val="20"/>
              </w:rPr>
            </w:pPr>
          </w:p>
        </w:tc>
        <w:tc>
          <w:tcPr>
            <w:tcW w:w="848" w:type="dxa"/>
            <w:vMerge/>
          </w:tcPr>
          <w:p w14:paraId="28365EB5" w14:textId="77777777" w:rsidR="00AB6818" w:rsidRPr="009A7F35" w:rsidRDefault="00AB6818" w:rsidP="00B36A04">
            <w:pPr>
              <w:jc w:val="center"/>
              <w:rPr>
                <w:rFonts w:ascii="Times New Roman" w:hAnsi="Times New Roman" w:cs="Times New Roman"/>
                <w:color w:val="000000" w:themeColor="text1"/>
                <w:sz w:val="18"/>
                <w:szCs w:val="20"/>
              </w:rPr>
            </w:pPr>
          </w:p>
        </w:tc>
        <w:tc>
          <w:tcPr>
            <w:tcW w:w="1016" w:type="dxa"/>
            <w:vMerge/>
          </w:tcPr>
          <w:p w14:paraId="48DC169A" w14:textId="77777777" w:rsidR="00AB6818" w:rsidRPr="009A7F35" w:rsidRDefault="00AB6818" w:rsidP="00B36A04">
            <w:pPr>
              <w:jc w:val="center"/>
              <w:rPr>
                <w:rFonts w:ascii="Times New Roman" w:hAnsi="Times New Roman" w:cs="Times New Roman"/>
                <w:color w:val="000000" w:themeColor="text1"/>
                <w:sz w:val="18"/>
                <w:szCs w:val="20"/>
              </w:rPr>
            </w:pPr>
          </w:p>
        </w:tc>
        <w:tc>
          <w:tcPr>
            <w:tcW w:w="855" w:type="dxa"/>
            <w:vMerge/>
          </w:tcPr>
          <w:p w14:paraId="3E5BEB69" w14:textId="77777777" w:rsidR="00AB6818" w:rsidRPr="009A7F35" w:rsidRDefault="00AB6818" w:rsidP="00B36A04">
            <w:pPr>
              <w:jc w:val="center"/>
              <w:rPr>
                <w:rFonts w:ascii="Times New Roman" w:hAnsi="Times New Roman" w:cs="Times New Roman"/>
                <w:color w:val="000000" w:themeColor="text1"/>
                <w:sz w:val="18"/>
                <w:szCs w:val="20"/>
              </w:rPr>
            </w:pPr>
          </w:p>
        </w:tc>
      </w:tr>
      <w:tr w:rsidR="00AB6818" w:rsidRPr="009A7F35" w14:paraId="2EF91F79" w14:textId="77777777" w:rsidTr="00B36A04">
        <w:trPr>
          <w:gridAfter w:val="1"/>
          <w:wAfter w:w="8" w:type="dxa"/>
          <w:trHeight w:val="522"/>
        </w:trPr>
        <w:tc>
          <w:tcPr>
            <w:tcW w:w="2124" w:type="dxa"/>
          </w:tcPr>
          <w:p w14:paraId="59AB013C"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Anemia</w:t>
            </w:r>
          </w:p>
        </w:tc>
        <w:tc>
          <w:tcPr>
            <w:tcW w:w="981" w:type="dxa"/>
          </w:tcPr>
          <w:p w14:paraId="105B4D8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5 (83)</w:t>
            </w:r>
          </w:p>
        </w:tc>
        <w:tc>
          <w:tcPr>
            <w:tcW w:w="959" w:type="dxa"/>
          </w:tcPr>
          <w:p w14:paraId="19B977F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(33)</w:t>
            </w:r>
          </w:p>
        </w:tc>
        <w:tc>
          <w:tcPr>
            <w:tcW w:w="1022" w:type="dxa"/>
          </w:tcPr>
          <w:p w14:paraId="7B3B8B8D"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(50)</w:t>
            </w:r>
          </w:p>
        </w:tc>
        <w:tc>
          <w:tcPr>
            <w:tcW w:w="1167" w:type="dxa"/>
          </w:tcPr>
          <w:p w14:paraId="36659E1A"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736F2B47"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4" w:type="dxa"/>
          </w:tcPr>
          <w:p w14:paraId="0ADC28D9"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3B17CF9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(67)</w:t>
            </w:r>
          </w:p>
        </w:tc>
        <w:tc>
          <w:tcPr>
            <w:tcW w:w="933" w:type="dxa"/>
          </w:tcPr>
          <w:p w14:paraId="1B83CDFE"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2" w:type="dxa"/>
          </w:tcPr>
          <w:p w14:paraId="2A823F99"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848" w:type="dxa"/>
          </w:tcPr>
          <w:p w14:paraId="61CE9E8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1016" w:type="dxa"/>
          </w:tcPr>
          <w:p w14:paraId="4EA3B77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11 (58)</w:t>
            </w:r>
          </w:p>
        </w:tc>
        <w:tc>
          <w:tcPr>
            <w:tcW w:w="855" w:type="dxa"/>
          </w:tcPr>
          <w:p w14:paraId="79C2530D"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4 (21)</w:t>
            </w:r>
          </w:p>
        </w:tc>
      </w:tr>
      <w:tr w:rsidR="00AB6818" w:rsidRPr="009A7F35" w14:paraId="49C0C70C" w14:textId="77777777" w:rsidTr="00B36A04">
        <w:trPr>
          <w:gridAfter w:val="1"/>
          <w:wAfter w:w="8" w:type="dxa"/>
          <w:trHeight w:val="538"/>
        </w:trPr>
        <w:tc>
          <w:tcPr>
            <w:tcW w:w="2124" w:type="dxa"/>
          </w:tcPr>
          <w:p w14:paraId="26392147"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Leukopenia</w:t>
            </w:r>
          </w:p>
        </w:tc>
        <w:tc>
          <w:tcPr>
            <w:tcW w:w="981" w:type="dxa"/>
          </w:tcPr>
          <w:p w14:paraId="78BE5CB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4 (75)</w:t>
            </w:r>
          </w:p>
        </w:tc>
        <w:tc>
          <w:tcPr>
            <w:tcW w:w="959" w:type="dxa"/>
          </w:tcPr>
          <w:p w14:paraId="39F87E2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(17)</w:t>
            </w:r>
          </w:p>
        </w:tc>
        <w:tc>
          <w:tcPr>
            <w:tcW w:w="1022" w:type="dxa"/>
          </w:tcPr>
          <w:p w14:paraId="0D0B65C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(75)</w:t>
            </w:r>
          </w:p>
        </w:tc>
        <w:tc>
          <w:tcPr>
            <w:tcW w:w="1167" w:type="dxa"/>
          </w:tcPr>
          <w:p w14:paraId="094C0FB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(75)</w:t>
            </w:r>
          </w:p>
        </w:tc>
        <w:tc>
          <w:tcPr>
            <w:tcW w:w="1048" w:type="dxa"/>
          </w:tcPr>
          <w:p w14:paraId="4604589E"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(100)</w:t>
            </w:r>
          </w:p>
        </w:tc>
        <w:tc>
          <w:tcPr>
            <w:tcW w:w="934" w:type="dxa"/>
          </w:tcPr>
          <w:p w14:paraId="2FC87D8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3983FBC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3" w:type="dxa"/>
          </w:tcPr>
          <w:p w14:paraId="175FF949"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57EB2B2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(67)</w:t>
            </w:r>
          </w:p>
        </w:tc>
        <w:tc>
          <w:tcPr>
            <w:tcW w:w="848" w:type="dxa"/>
          </w:tcPr>
          <w:p w14:paraId="73E2610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1016" w:type="dxa"/>
          </w:tcPr>
          <w:p w14:paraId="4EB089A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13 (68)</w:t>
            </w:r>
          </w:p>
        </w:tc>
        <w:tc>
          <w:tcPr>
            <w:tcW w:w="855" w:type="dxa"/>
          </w:tcPr>
          <w:p w14:paraId="659CC1B9"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5 (26)</w:t>
            </w:r>
          </w:p>
        </w:tc>
      </w:tr>
      <w:tr w:rsidR="00AB6818" w:rsidRPr="009A7F35" w14:paraId="61087C6C" w14:textId="77777777" w:rsidTr="00B36A04">
        <w:trPr>
          <w:gridAfter w:val="1"/>
          <w:wAfter w:w="8" w:type="dxa"/>
          <w:trHeight w:val="533"/>
        </w:trPr>
        <w:tc>
          <w:tcPr>
            <w:tcW w:w="2124" w:type="dxa"/>
          </w:tcPr>
          <w:p w14:paraId="03A10655"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Neutropenia</w:t>
            </w:r>
          </w:p>
        </w:tc>
        <w:tc>
          <w:tcPr>
            <w:tcW w:w="981" w:type="dxa"/>
          </w:tcPr>
          <w:p w14:paraId="537C9EBA"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4 (75)</w:t>
            </w:r>
          </w:p>
        </w:tc>
        <w:tc>
          <w:tcPr>
            <w:tcW w:w="959" w:type="dxa"/>
          </w:tcPr>
          <w:p w14:paraId="6EE23A15"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(33)</w:t>
            </w:r>
          </w:p>
        </w:tc>
        <w:tc>
          <w:tcPr>
            <w:tcW w:w="1022" w:type="dxa"/>
          </w:tcPr>
          <w:p w14:paraId="77DB22C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(75)</w:t>
            </w:r>
          </w:p>
        </w:tc>
        <w:tc>
          <w:tcPr>
            <w:tcW w:w="1167" w:type="dxa"/>
          </w:tcPr>
          <w:p w14:paraId="2CD1FC8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(75)</w:t>
            </w:r>
          </w:p>
        </w:tc>
        <w:tc>
          <w:tcPr>
            <w:tcW w:w="1048" w:type="dxa"/>
          </w:tcPr>
          <w:p w14:paraId="0ED228A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(67)</w:t>
            </w:r>
          </w:p>
        </w:tc>
        <w:tc>
          <w:tcPr>
            <w:tcW w:w="934" w:type="dxa"/>
          </w:tcPr>
          <w:p w14:paraId="2F6E657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2" w:type="dxa"/>
          </w:tcPr>
          <w:p w14:paraId="39363A3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(67)</w:t>
            </w:r>
          </w:p>
        </w:tc>
        <w:tc>
          <w:tcPr>
            <w:tcW w:w="933" w:type="dxa"/>
          </w:tcPr>
          <w:p w14:paraId="70639F6D"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2" w:type="dxa"/>
          </w:tcPr>
          <w:p w14:paraId="38E7FDD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848" w:type="dxa"/>
          </w:tcPr>
          <w:p w14:paraId="370170C7"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1016" w:type="dxa"/>
          </w:tcPr>
          <w:p w14:paraId="4D50561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12 (63)</w:t>
            </w:r>
          </w:p>
        </w:tc>
        <w:tc>
          <w:tcPr>
            <w:tcW w:w="855" w:type="dxa"/>
          </w:tcPr>
          <w:p w14:paraId="1E02808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8 (42)</w:t>
            </w:r>
          </w:p>
        </w:tc>
      </w:tr>
      <w:tr w:rsidR="00AB6818" w:rsidRPr="009A7F35" w14:paraId="583E4E46" w14:textId="77777777" w:rsidTr="00B36A04">
        <w:trPr>
          <w:gridAfter w:val="1"/>
          <w:wAfter w:w="8" w:type="dxa"/>
          <w:trHeight w:val="522"/>
        </w:trPr>
        <w:tc>
          <w:tcPr>
            <w:tcW w:w="2124" w:type="dxa"/>
          </w:tcPr>
          <w:p w14:paraId="1D9A37D8"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Thrombocytopenia</w:t>
            </w:r>
          </w:p>
        </w:tc>
        <w:tc>
          <w:tcPr>
            <w:tcW w:w="981" w:type="dxa"/>
          </w:tcPr>
          <w:p w14:paraId="405D0F91" w14:textId="0CFE8971"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 xml:space="preserve">6 </w:t>
            </w:r>
            <w:r w:rsidR="00582E4B">
              <w:rPr>
                <w:rFonts w:ascii="Times New Roman" w:hAnsi="Times New Roman" w:cs="Times New Roman"/>
                <w:color w:val="000000" w:themeColor="text1"/>
                <w:sz w:val="18"/>
                <w:szCs w:val="20"/>
              </w:rPr>
              <w:t>(</w:t>
            </w:r>
            <w:r w:rsidRPr="009A7F35">
              <w:rPr>
                <w:rFonts w:ascii="Times New Roman" w:hAnsi="Times New Roman" w:cs="Times New Roman"/>
                <w:color w:val="000000" w:themeColor="text1"/>
                <w:sz w:val="18"/>
                <w:szCs w:val="20"/>
              </w:rPr>
              <w:t>100)</w:t>
            </w:r>
          </w:p>
        </w:tc>
        <w:tc>
          <w:tcPr>
            <w:tcW w:w="959" w:type="dxa"/>
          </w:tcPr>
          <w:p w14:paraId="4D2B0D0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(50)</w:t>
            </w:r>
          </w:p>
        </w:tc>
        <w:tc>
          <w:tcPr>
            <w:tcW w:w="1022" w:type="dxa"/>
          </w:tcPr>
          <w:p w14:paraId="07A0DB0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(75)</w:t>
            </w:r>
          </w:p>
        </w:tc>
        <w:tc>
          <w:tcPr>
            <w:tcW w:w="1167" w:type="dxa"/>
          </w:tcPr>
          <w:p w14:paraId="4100836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4BBEB02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(67)</w:t>
            </w:r>
          </w:p>
        </w:tc>
        <w:tc>
          <w:tcPr>
            <w:tcW w:w="934" w:type="dxa"/>
          </w:tcPr>
          <w:p w14:paraId="6D79CEC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74FE314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(67)</w:t>
            </w:r>
          </w:p>
        </w:tc>
        <w:tc>
          <w:tcPr>
            <w:tcW w:w="933" w:type="dxa"/>
          </w:tcPr>
          <w:p w14:paraId="56B58F9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0E51839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(100)</w:t>
            </w:r>
          </w:p>
        </w:tc>
        <w:tc>
          <w:tcPr>
            <w:tcW w:w="848" w:type="dxa"/>
          </w:tcPr>
          <w:p w14:paraId="68332B59"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16" w:type="dxa"/>
          </w:tcPr>
          <w:p w14:paraId="0E12E53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16 (84)</w:t>
            </w:r>
          </w:p>
        </w:tc>
        <w:tc>
          <w:tcPr>
            <w:tcW w:w="855" w:type="dxa"/>
          </w:tcPr>
          <w:p w14:paraId="05EFB6A3"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(16)</w:t>
            </w:r>
          </w:p>
        </w:tc>
      </w:tr>
      <w:tr w:rsidR="00AB6818" w:rsidRPr="009A7F35" w14:paraId="4F73F576" w14:textId="77777777" w:rsidTr="00B36A04">
        <w:trPr>
          <w:gridAfter w:val="1"/>
          <w:wAfter w:w="8" w:type="dxa"/>
          <w:trHeight w:val="501"/>
        </w:trPr>
        <w:tc>
          <w:tcPr>
            <w:tcW w:w="2124" w:type="dxa"/>
          </w:tcPr>
          <w:p w14:paraId="694DC312"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Constipation</w:t>
            </w:r>
          </w:p>
        </w:tc>
        <w:tc>
          <w:tcPr>
            <w:tcW w:w="981" w:type="dxa"/>
          </w:tcPr>
          <w:p w14:paraId="67417C1A"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59" w:type="dxa"/>
          </w:tcPr>
          <w:p w14:paraId="5642E73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22" w:type="dxa"/>
          </w:tcPr>
          <w:p w14:paraId="5FADB0F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167" w:type="dxa"/>
          </w:tcPr>
          <w:p w14:paraId="256A5769"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7BA817A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4" w:type="dxa"/>
          </w:tcPr>
          <w:p w14:paraId="7AA070ED"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78193FB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3" w:type="dxa"/>
          </w:tcPr>
          <w:p w14:paraId="7BAD2C0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3D8035A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848" w:type="dxa"/>
          </w:tcPr>
          <w:p w14:paraId="7A9751C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16" w:type="dxa"/>
          </w:tcPr>
          <w:p w14:paraId="1A28769D"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(16)</w:t>
            </w:r>
          </w:p>
        </w:tc>
        <w:tc>
          <w:tcPr>
            <w:tcW w:w="855" w:type="dxa"/>
          </w:tcPr>
          <w:p w14:paraId="1D5B37A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r>
      <w:tr w:rsidR="00AB6818" w:rsidRPr="009A7F35" w14:paraId="70FF5F89" w14:textId="77777777" w:rsidTr="00B36A04">
        <w:trPr>
          <w:gridAfter w:val="1"/>
          <w:wAfter w:w="8" w:type="dxa"/>
          <w:trHeight w:val="510"/>
        </w:trPr>
        <w:tc>
          <w:tcPr>
            <w:tcW w:w="2124" w:type="dxa"/>
          </w:tcPr>
          <w:p w14:paraId="2E9C953F"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Diarrhea</w:t>
            </w:r>
          </w:p>
        </w:tc>
        <w:tc>
          <w:tcPr>
            <w:tcW w:w="981" w:type="dxa"/>
          </w:tcPr>
          <w:p w14:paraId="4816628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(33)</w:t>
            </w:r>
          </w:p>
        </w:tc>
        <w:tc>
          <w:tcPr>
            <w:tcW w:w="959" w:type="dxa"/>
          </w:tcPr>
          <w:p w14:paraId="1DCE0027"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22" w:type="dxa"/>
          </w:tcPr>
          <w:p w14:paraId="02E8935E"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167" w:type="dxa"/>
          </w:tcPr>
          <w:p w14:paraId="2F6A1D4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14F29D2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4" w:type="dxa"/>
          </w:tcPr>
          <w:p w14:paraId="3A8439B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7DA6D2B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(100)</w:t>
            </w:r>
          </w:p>
        </w:tc>
        <w:tc>
          <w:tcPr>
            <w:tcW w:w="933" w:type="dxa"/>
          </w:tcPr>
          <w:p w14:paraId="03EE508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6895398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848" w:type="dxa"/>
          </w:tcPr>
          <w:p w14:paraId="3FCC664D"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1016" w:type="dxa"/>
          </w:tcPr>
          <w:p w14:paraId="1F7D80A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7 (37)</w:t>
            </w:r>
          </w:p>
        </w:tc>
        <w:tc>
          <w:tcPr>
            <w:tcW w:w="855" w:type="dxa"/>
          </w:tcPr>
          <w:p w14:paraId="2CBD30A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(5)</w:t>
            </w:r>
          </w:p>
        </w:tc>
      </w:tr>
      <w:tr w:rsidR="00AB6818" w:rsidRPr="009A7F35" w14:paraId="6EBB91BD" w14:textId="77777777" w:rsidTr="00B36A04">
        <w:trPr>
          <w:gridAfter w:val="1"/>
          <w:wAfter w:w="8" w:type="dxa"/>
          <w:trHeight w:val="510"/>
        </w:trPr>
        <w:tc>
          <w:tcPr>
            <w:tcW w:w="2124" w:type="dxa"/>
          </w:tcPr>
          <w:p w14:paraId="1000FCD0"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Nausea</w:t>
            </w:r>
          </w:p>
        </w:tc>
        <w:tc>
          <w:tcPr>
            <w:tcW w:w="981" w:type="dxa"/>
          </w:tcPr>
          <w:p w14:paraId="10EF7CB9"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4 (75)</w:t>
            </w:r>
          </w:p>
        </w:tc>
        <w:tc>
          <w:tcPr>
            <w:tcW w:w="959" w:type="dxa"/>
          </w:tcPr>
          <w:p w14:paraId="4E9091C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22" w:type="dxa"/>
          </w:tcPr>
          <w:p w14:paraId="1B3597ED"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4 (100)</w:t>
            </w:r>
          </w:p>
        </w:tc>
        <w:tc>
          <w:tcPr>
            <w:tcW w:w="1167" w:type="dxa"/>
          </w:tcPr>
          <w:p w14:paraId="721212A5"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3A6242F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4" w:type="dxa"/>
          </w:tcPr>
          <w:p w14:paraId="66AF134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6582A08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3" w:type="dxa"/>
          </w:tcPr>
          <w:p w14:paraId="5F55DEF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7C57AE33"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(100)</w:t>
            </w:r>
          </w:p>
        </w:tc>
        <w:tc>
          <w:tcPr>
            <w:tcW w:w="848" w:type="dxa"/>
          </w:tcPr>
          <w:p w14:paraId="4AC2E02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16" w:type="dxa"/>
          </w:tcPr>
          <w:p w14:paraId="311D005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13 (68)</w:t>
            </w:r>
          </w:p>
        </w:tc>
        <w:tc>
          <w:tcPr>
            <w:tcW w:w="855" w:type="dxa"/>
          </w:tcPr>
          <w:p w14:paraId="40A400B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r>
      <w:tr w:rsidR="00AB6818" w:rsidRPr="009A7F35" w14:paraId="2C43CB98" w14:textId="77777777" w:rsidTr="00B36A04">
        <w:trPr>
          <w:gridAfter w:val="1"/>
          <w:wAfter w:w="8" w:type="dxa"/>
          <w:trHeight w:val="470"/>
        </w:trPr>
        <w:tc>
          <w:tcPr>
            <w:tcW w:w="2124" w:type="dxa"/>
          </w:tcPr>
          <w:p w14:paraId="2CD30123"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Vomiting</w:t>
            </w:r>
          </w:p>
        </w:tc>
        <w:tc>
          <w:tcPr>
            <w:tcW w:w="981" w:type="dxa"/>
          </w:tcPr>
          <w:p w14:paraId="35DF70C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4 (75)</w:t>
            </w:r>
          </w:p>
        </w:tc>
        <w:tc>
          <w:tcPr>
            <w:tcW w:w="959" w:type="dxa"/>
          </w:tcPr>
          <w:p w14:paraId="57F5A289"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22" w:type="dxa"/>
          </w:tcPr>
          <w:p w14:paraId="0569365E"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(75)</w:t>
            </w:r>
          </w:p>
        </w:tc>
        <w:tc>
          <w:tcPr>
            <w:tcW w:w="1167" w:type="dxa"/>
          </w:tcPr>
          <w:p w14:paraId="30576A6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2499920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4" w:type="dxa"/>
          </w:tcPr>
          <w:p w14:paraId="3283577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73BED93A"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3" w:type="dxa"/>
          </w:tcPr>
          <w:p w14:paraId="7BA068F9"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53E80FA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(67)</w:t>
            </w:r>
          </w:p>
        </w:tc>
        <w:tc>
          <w:tcPr>
            <w:tcW w:w="848" w:type="dxa"/>
          </w:tcPr>
          <w:p w14:paraId="08ADECAA"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16" w:type="dxa"/>
          </w:tcPr>
          <w:p w14:paraId="135CEB8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10 (53)</w:t>
            </w:r>
          </w:p>
        </w:tc>
        <w:tc>
          <w:tcPr>
            <w:tcW w:w="855" w:type="dxa"/>
          </w:tcPr>
          <w:p w14:paraId="6EC59075"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r>
      <w:tr w:rsidR="00AB6818" w:rsidRPr="009A7F35" w14:paraId="5D1691D0" w14:textId="77777777" w:rsidTr="00B36A04">
        <w:trPr>
          <w:gridAfter w:val="1"/>
          <w:wAfter w:w="8" w:type="dxa"/>
          <w:trHeight w:val="538"/>
        </w:trPr>
        <w:tc>
          <w:tcPr>
            <w:tcW w:w="2124" w:type="dxa"/>
          </w:tcPr>
          <w:p w14:paraId="3FE6600F"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Elevated AST/ALT</w:t>
            </w:r>
          </w:p>
        </w:tc>
        <w:tc>
          <w:tcPr>
            <w:tcW w:w="981" w:type="dxa"/>
          </w:tcPr>
          <w:p w14:paraId="03FFF12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59" w:type="dxa"/>
          </w:tcPr>
          <w:p w14:paraId="0CD20BA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22" w:type="dxa"/>
          </w:tcPr>
          <w:p w14:paraId="7115D3E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167" w:type="dxa"/>
          </w:tcPr>
          <w:p w14:paraId="6D6EC3F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4D5FE6F7"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(67)</w:t>
            </w:r>
          </w:p>
        </w:tc>
        <w:tc>
          <w:tcPr>
            <w:tcW w:w="934" w:type="dxa"/>
          </w:tcPr>
          <w:p w14:paraId="732C79A7"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0C43F967"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(100)</w:t>
            </w:r>
          </w:p>
        </w:tc>
        <w:tc>
          <w:tcPr>
            <w:tcW w:w="933" w:type="dxa"/>
          </w:tcPr>
          <w:p w14:paraId="26C3901A"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377C0B5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848" w:type="dxa"/>
          </w:tcPr>
          <w:p w14:paraId="2CCADC0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16" w:type="dxa"/>
          </w:tcPr>
          <w:p w14:paraId="7D6885F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6 (32)</w:t>
            </w:r>
          </w:p>
        </w:tc>
        <w:tc>
          <w:tcPr>
            <w:tcW w:w="855" w:type="dxa"/>
          </w:tcPr>
          <w:p w14:paraId="2DE8F54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r>
      <w:tr w:rsidR="00AB6818" w:rsidRPr="009A7F35" w14:paraId="0C56FFF8" w14:textId="77777777" w:rsidTr="00B36A04">
        <w:trPr>
          <w:gridAfter w:val="1"/>
          <w:wAfter w:w="8" w:type="dxa"/>
          <w:trHeight w:val="476"/>
        </w:trPr>
        <w:tc>
          <w:tcPr>
            <w:tcW w:w="2124" w:type="dxa"/>
          </w:tcPr>
          <w:p w14:paraId="45E4BD6A"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Mucositis</w:t>
            </w:r>
          </w:p>
        </w:tc>
        <w:tc>
          <w:tcPr>
            <w:tcW w:w="981" w:type="dxa"/>
          </w:tcPr>
          <w:p w14:paraId="73437813"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59" w:type="dxa"/>
          </w:tcPr>
          <w:p w14:paraId="7E6278A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22" w:type="dxa"/>
          </w:tcPr>
          <w:p w14:paraId="22BC3D6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167" w:type="dxa"/>
          </w:tcPr>
          <w:p w14:paraId="2A8D111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00D60D7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4" w:type="dxa"/>
          </w:tcPr>
          <w:p w14:paraId="2ECFE4E7"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788D34C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3" w:type="dxa"/>
          </w:tcPr>
          <w:p w14:paraId="5C2DB65A"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60B98205"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848" w:type="dxa"/>
          </w:tcPr>
          <w:p w14:paraId="47BDE62A"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16" w:type="dxa"/>
          </w:tcPr>
          <w:p w14:paraId="5B33A5C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(5)</w:t>
            </w:r>
          </w:p>
        </w:tc>
        <w:tc>
          <w:tcPr>
            <w:tcW w:w="855" w:type="dxa"/>
          </w:tcPr>
          <w:p w14:paraId="676AEEC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r>
      <w:tr w:rsidR="00AB6818" w:rsidRPr="009A7F35" w14:paraId="1A158668" w14:textId="77777777" w:rsidTr="00B36A04">
        <w:trPr>
          <w:gridAfter w:val="1"/>
          <w:wAfter w:w="8" w:type="dxa"/>
          <w:trHeight w:val="578"/>
        </w:trPr>
        <w:tc>
          <w:tcPr>
            <w:tcW w:w="2124" w:type="dxa"/>
          </w:tcPr>
          <w:p w14:paraId="00A67F00"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Fatigue</w:t>
            </w:r>
          </w:p>
        </w:tc>
        <w:tc>
          <w:tcPr>
            <w:tcW w:w="981" w:type="dxa"/>
          </w:tcPr>
          <w:p w14:paraId="0E62D56E"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4 (75)</w:t>
            </w:r>
          </w:p>
        </w:tc>
        <w:tc>
          <w:tcPr>
            <w:tcW w:w="959" w:type="dxa"/>
          </w:tcPr>
          <w:p w14:paraId="00A299C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22" w:type="dxa"/>
          </w:tcPr>
          <w:p w14:paraId="78F345B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(50)</w:t>
            </w:r>
          </w:p>
        </w:tc>
        <w:tc>
          <w:tcPr>
            <w:tcW w:w="1167" w:type="dxa"/>
          </w:tcPr>
          <w:p w14:paraId="27C5954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61FD40ED"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4" w:type="dxa"/>
          </w:tcPr>
          <w:p w14:paraId="4BB0A667"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52ECA33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(100)</w:t>
            </w:r>
          </w:p>
        </w:tc>
        <w:tc>
          <w:tcPr>
            <w:tcW w:w="933" w:type="dxa"/>
          </w:tcPr>
          <w:p w14:paraId="5B3F7BF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2" w:type="dxa"/>
          </w:tcPr>
          <w:p w14:paraId="2D83383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848" w:type="dxa"/>
          </w:tcPr>
          <w:p w14:paraId="1E0FE05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16" w:type="dxa"/>
          </w:tcPr>
          <w:p w14:paraId="621DF49E"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11 (58)</w:t>
            </w:r>
          </w:p>
        </w:tc>
        <w:tc>
          <w:tcPr>
            <w:tcW w:w="855" w:type="dxa"/>
          </w:tcPr>
          <w:p w14:paraId="323E4623"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(5)</w:t>
            </w:r>
          </w:p>
        </w:tc>
      </w:tr>
      <w:tr w:rsidR="00AB6818" w:rsidRPr="009A7F35" w14:paraId="5EE43CD1" w14:textId="77777777" w:rsidTr="00B36A04">
        <w:trPr>
          <w:gridAfter w:val="1"/>
          <w:wAfter w:w="8" w:type="dxa"/>
          <w:trHeight w:val="454"/>
        </w:trPr>
        <w:tc>
          <w:tcPr>
            <w:tcW w:w="2124" w:type="dxa"/>
          </w:tcPr>
          <w:p w14:paraId="46D20784"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lastRenderedPageBreak/>
              <w:t>Anorexia</w:t>
            </w:r>
          </w:p>
        </w:tc>
        <w:tc>
          <w:tcPr>
            <w:tcW w:w="981" w:type="dxa"/>
          </w:tcPr>
          <w:p w14:paraId="02773497"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(17)</w:t>
            </w:r>
          </w:p>
        </w:tc>
        <w:tc>
          <w:tcPr>
            <w:tcW w:w="959" w:type="dxa"/>
          </w:tcPr>
          <w:p w14:paraId="32292BF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22" w:type="dxa"/>
          </w:tcPr>
          <w:p w14:paraId="70889BE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167" w:type="dxa"/>
          </w:tcPr>
          <w:p w14:paraId="43D15FA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524F842D"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4" w:type="dxa"/>
          </w:tcPr>
          <w:p w14:paraId="4F8E8B83"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2A8B004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(67)</w:t>
            </w:r>
          </w:p>
        </w:tc>
        <w:tc>
          <w:tcPr>
            <w:tcW w:w="933" w:type="dxa"/>
          </w:tcPr>
          <w:p w14:paraId="3196558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6F5CA6B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(67)</w:t>
            </w:r>
          </w:p>
        </w:tc>
        <w:tc>
          <w:tcPr>
            <w:tcW w:w="848" w:type="dxa"/>
          </w:tcPr>
          <w:p w14:paraId="50747F9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16" w:type="dxa"/>
          </w:tcPr>
          <w:p w14:paraId="204EA37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5 (26)</w:t>
            </w:r>
          </w:p>
        </w:tc>
        <w:tc>
          <w:tcPr>
            <w:tcW w:w="855" w:type="dxa"/>
          </w:tcPr>
          <w:p w14:paraId="03E0B74A"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r>
      <w:tr w:rsidR="00AB6818" w:rsidRPr="009A7F35" w14:paraId="63950FD9" w14:textId="77777777" w:rsidTr="00B36A04">
        <w:trPr>
          <w:gridAfter w:val="1"/>
          <w:wAfter w:w="8" w:type="dxa"/>
          <w:trHeight w:val="567"/>
        </w:trPr>
        <w:tc>
          <w:tcPr>
            <w:tcW w:w="2124" w:type="dxa"/>
          </w:tcPr>
          <w:p w14:paraId="74FDFAD5"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Hyponatremia</w:t>
            </w:r>
          </w:p>
        </w:tc>
        <w:tc>
          <w:tcPr>
            <w:tcW w:w="981" w:type="dxa"/>
          </w:tcPr>
          <w:p w14:paraId="4E8CC69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(50)</w:t>
            </w:r>
          </w:p>
        </w:tc>
        <w:tc>
          <w:tcPr>
            <w:tcW w:w="959" w:type="dxa"/>
          </w:tcPr>
          <w:p w14:paraId="09AABF5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(33)</w:t>
            </w:r>
          </w:p>
        </w:tc>
        <w:tc>
          <w:tcPr>
            <w:tcW w:w="1022" w:type="dxa"/>
          </w:tcPr>
          <w:p w14:paraId="767BEA9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167" w:type="dxa"/>
          </w:tcPr>
          <w:p w14:paraId="0AE459BD"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75534CE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4" w:type="dxa"/>
          </w:tcPr>
          <w:p w14:paraId="17B9F7F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2" w:type="dxa"/>
          </w:tcPr>
          <w:p w14:paraId="546A5B2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3" w:type="dxa"/>
          </w:tcPr>
          <w:p w14:paraId="0F36D4C3"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458CF32A"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848" w:type="dxa"/>
          </w:tcPr>
          <w:p w14:paraId="4B59602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1016" w:type="dxa"/>
          </w:tcPr>
          <w:p w14:paraId="3ECBC15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6 (32)</w:t>
            </w:r>
          </w:p>
        </w:tc>
        <w:tc>
          <w:tcPr>
            <w:tcW w:w="855" w:type="dxa"/>
          </w:tcPr>
          <w:p w14:paraId="29C41CE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4 (21)</w:t>
            </w:r>
          </w:p>
        </w:tc>
      </w:tr>
      <w:tr w:rsidR="00AB6818" w:rsidRPr="009A7F35" w14:paraId="7C822448" w14:textId="77777777" w:rsidTr="00B36A04">
        <w:trPr>
          <w:gridAfter w:val="1"/>
          <w:wAfter w:w="8" w:type="dxa"/>
          <w:trHeight w:val="690"/>
        </w:trPr>
        <w:tc>
          <w:tcPr>
            <w:tcW w:w="2124" w:type="dxa"/>
          </w:tcPr>
          <w:p w14:paraId="688DDA6F"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Hypomagnesemia</w:t>
            </w:r>
          </w:p>
        </w:tc>
        <w:tc>
          <w:tcPr>
            <w:tcW w:w="981" w:type="dxa"/>
          </w:tcPr>
          <w:p w14:paraId="2501D607"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(17)</w:t>
            </w:r>
          </w:p>
        </w:tc>
        <w:tc>
          <w:tcPr>
            <w:tcW w:w="959" w:type="dxa"/>
          </w:tcPr>
          <w:p w14:paraId="527C8E2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22" w:type="dxa"/>
          </w:tcPr>
          <w:p w14:paraId="0F655BB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167" w:type="dxa"/>
          </w:tcPr>
          <w:p w14:paraId="3E7B1E4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1445F54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4" w:type="dxa"/>
          </w:tcPr>
          <w:p w14:paraId="5AE0141D"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61707C8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(67)</w:t>
            </w:r>
          </w:p>
        </w:tc>
        <w:tc>
          <w:tcPr>
            <w:tcW w:w="933" w:type="dxa"/>
          </w:tcPr>
          <w:p w14:paraId="3365C7F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62B4494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848" w:type="dxa"/>
          </w:tcPr>
          <w:p w14:paraId="396C3C1A"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16" w:type="dxa"/>
          </w:tcPr>
          <w:p w14:paraId="084A8F5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5 (26)</w:t>
            </w:r>
          </w:p>
        </w:tc>
        <w:tc>
          <w:tcPr>
            <w:tcW w:w="855" w:type="dxa"/>
          </w:tcPr>
          <w:p w14:paraId="2F697A3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r>
      <w:tr w:rsidR="00AB6818" w:rsidRPr="009A7F35" w14:paraId="38A29D39" w14:textId="77777777" w:rsidTr="00B36A04">
        <w:trPr>
          <w:gridAfter w:val="1"/>
          <w:wAfter w:w="8" w:type="dxa"/>
          <w:trHeight w:val="690"/>
        </w:trPr>
        <w:tc>
          <w:tcPr>
            <w:tcW w:w="2124" w:type="dxa"/>
          </w:tcPr>
          <w:p w14:paraId="27B6E6FA"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Hypoalbuminemia</w:t>
            </w:r>
          </w:p>
        </w:tc>
        <w:tc>
          <w:tcPr>
            <w:tcW w:w="981" w:type="dxa"/>
          </w:tcPr>
          <w:p w14:paraId="2EC7D25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59" w:type="dxa"/>
          </w:tcPr>
          <w:p w14:paraId="42DE6047"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22" w:type="dxa"/>
          </w:tcPr>
          <w:p w14:paraId="68204E7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167" w:type="dxa"/>
          </w:tcPr>
          <w:p w14:paraId="3A703BA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7EAD1D27"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4" w:type="dxa"/>
          </w:tcPr>
          <w:p w14:paraId="524456CE"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22C2FD9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3" w:type="dxa"/>
          </w:tcPr>
          <w:p w14:paraId="2D86909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1E6701A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848" w:type="dxa"/>
          </w:tcPr>
          <w:p w14:paraId="70B707A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16" w:type="dxa"/>
          </w:tcPr>
          <w:p w14:paraId="38ACB2E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(11)</w:t>
            </w:r>
          </w:p>
        </w:tc>
        <w:tc>
          <w:tcPr>
            <w:tcW w:w="855" w:type="dxa"/>
          </w:tcPr>
          <w:p w14:paraId="54576AA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r>
      <w:tr w:rsidR="00AB6818" w:rsidRPr="009A7F35" w14:paraId="1FCD564F" w14:textId="77777777" w:rsidTr="00B36A04">
        <w:trPr>
          <w:gridAfter w:val="1"/>
          <w:wAfter w:w="8" w:type="dxa"/>
          <w:trHeight w:val="533"/>
        </w:trPr>
        <w:tc>
          <w:tcPr>
            <w:tcW w:w="2124" w:type="dxa"/>
          </w:tcPr>
          <w:p w14:paraId="51765B6A"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Dyspnea</w:t>
            </w:r>
          </w:p>
        </w:tc>
        <w:tc>
          <w:tcPr>
            <w:tcW w:w="981" w:type="dxa"/>
          </w:tcPr>
          <w:p w14:paraId="449DC4D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59" w:type="dxa"/>
          </w:tcPr>
          <w:p w14:paraId="7394D24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22" w:type="dxa"/>
          </w:tcPr>
          <w:p w14:paraId="2F52EE4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167" w:type="dxa"/>
          </w:tcPr>
          <w:p w14:paraId="1B8B7ADA"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50F4AFF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4" w:type="dxa"/>
          </w:tcPr>
          <w:p w14:paraId="5610A95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583C86E7"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3" w:type="dxa"/>
          </w:tcPr>
          <w:p w14:paraId="25103D23"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7B062CC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(67)</w:t>
            </w:r>
          </w:p>
        </w:tc>
        <w:tc>
          <w:tcPr>
            <w:tcW w:w="848" w:type="dxa"/>
          </w:tcPr>
          <w:p w14:paraId="36F17A15"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1016" w:type="dxa"/>
          </w:tcPr>
          <w:p w14:paraId="68E547BA"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(11)</w:t>
            </w:r>
          </w:p>
        </w:tc>
        <w:tc>
          <w:tcPr>
            <w:tcW w:w="855" w:type="dxa"/>
          </w:tcPr>
          <w:p w14:paraId="3EFD8B14"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(5)</w:t>
            </w:r>
          </w:p>
        </w:tc>
      </w:tr>
      <w:tr w:rsidR="00AB6818" w:rsidRPr="009A7F35" w14:paraId="7EEFA6A9" w14:textId="77777777" w:rsidTr="00B36A04">
        <w:trPr>
          <w:gridAfter w:val="1"/>
          <w:wAfter w:w="8" w:type="dxa"/>
          <w:trHeight w:val="522"/>
        </w:trPr>
        <w:tc>
          <w:tcPr>
            <w:tcW w:w="2124" w:type="dxa"/>
          </w:tcPr>
          <w:p w14:paraId="2374D896"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Cough</w:t>
            </w:r>
          </w:p>
        </w:tc>
        <w:tc>
          <w:tcPr>
            <w:tcW w:w="981" w:type="dxa"/>
          </w:tcPr>
          <w:p w14:paraId="54A5BBB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59" w:type="dxa"/>
          </w:tcPr>
          <w:p w14:paraId="751E874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22" w:type="dxa"/>
          </w:tcPr>
          <w:p w14:paraId="2F37E8E3"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167" w:type="dxa"/>
          </w:tcPr>
          <w:p w14:paraId="0EEE1453"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5E8E6F0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4" w:type="dxa"/>
          </w:tcPr>
          <w:p w14:paraId="1946F05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517FBA75"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3" w:type="dxa"/>
          </w:tcPr>
          <w:p w14:paraId="2C210DD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0B1BF9A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(67)</w:t>
            </w:r>
          </w:p>
        </w:tc>
        <w:tc>
          <w:tcPr>
            <w:tcW w:w="848" w:type="dxa"/>
          </w:tcPr>
          <w:p w14:paraId="4B4600C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16" w:type="dxa"/>
          </w:tcPr>
          <w:p w14:paraId="5799464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(11)</w:t>
            </w:r>
          </w:p>
        </w:tc>
        <w:tc>
          <w:tcPr>
            <w:tcW w:w="855" w:type="dxa"/>
          </w:tcPr>
          <w:p w14:paraId="2E293C0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r>
      <w:tr w:rsidR="00AB6818" w:rsidRPr="009A7F35" w14:paraId="382C72CB" w14:textId="77777777" w:rsidTr="00B36A04">
        <w:trPr>
          <w:gridAfter w:val="1"/>
          <w:wAfter w:w="8" w:type="dxa"/>
          <w:trHeight w:val="538"/>
        </w:trPr>
        <w:tc>
          <w:tcPr>
            <w:tcW w:w="2124" w:type="dxa"/>
          </w:tcPr>
          <w:p w14:paraId="4AD9995B"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Elevated CPK</w:t>
            </w:r>
          </w:p>
        </w:tc>
        <w:tc>
          <w:tcPr>
            <w:tcW w:w="981" w:type="dxa"/>
          </w:tcPr>
          <w:p w14:paraId="18DD0A8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(17)</w:t>
            </w:r>
          </w:p>
        </w:tc>
        <w:tc>
          <w:tcPr>
            <w:tcW w:w="959" w:type="dxa"/>
          </w:tcPr>
          <w:p w14:paraId="72EAC2E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22" w:type="dxa"/>
          </w:tcPr>
          <w:p w14:paraId="3343DF2D"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167" w:type="dxa"/>
          </w:tcPr>
          <w:p w14:paraId="4DD5914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1533E32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4" w:type="dxa"/>
          </w:tcPr>
          <w:p w14:paraId="029F3BF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31CD68C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3" w:type="dxa"/>
          </w:tcPr>
          <w:p w14:paraId="3039442E"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1FF977C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848" w:type="dxa"/>
          </w:tcPr>
          <w:p w14:paraId="407593D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16" w:type="dxa"/>
          </w:tcPr>
          <w:p w14:paraId="79B58AED"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(16)</w:t>
            </w:r>
          </w:p>
        </w:tc>
        <w:tc>
          <w:tcPr>
            <w:tcW w:w="855" w:type="dxa"/>
          </w:tcPr>
          <w:p w14:paraId="449F8E8C"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r>
      <w:tr w:rsidR="00AB6818" w:rsidRPr="009A7F35" w14:paraId="511157B3" w14:textId="77777777" w:rsidTr="00B36A04">
        <w:trPr>
          <w:gridAfter w:val="1"/>
          <w:wAfter w:w="8" w:type="dxa"/>
          <w:trHeight w:val="533"/>
        </w:trPr>
        <w:tc>
          <w:tcPr>
            <w:tcW w:w="2124" w:type="dxa"/>
          </w:tcPr>
          <w:p w14:paraId="1C3C98BC"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Infection or infestation</w:t>
            </w:r>
          </w:p>
        </w:tc>
        <w:tc>
          <w:tcPr>
            <w:tcW w:w="981" w:type="dxa"/>
          </w:tcPr>
          <w:p w14:paraId="5BBC269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59" w:type="dxa"/>
          </w:tcPr>
          <w:p w14:paraId="5C21FEFE"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22" w:type="dxa"/>
          </w:tcPr>
          <w:p w14:paraId="1F404BB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167" w:type="dxa"/>
          </w:tcPr>
          <w:p w14:paraId="00A46A9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3E9AF46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4" w:type="dxa"/>
          </w:tcPr>
          <w:p w14:paraId="599F1EC9"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486CE4A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3" w:type="dxa"/>
          </w:tcPr>
          <w:p w14:paraId="148BC5A3"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2" w:type="dxa"/>
          </w:tcPr>
          <w:p w14:paraId="5129CD3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(67)</w:t>
            </w:r>
          </w:p>
        </w:tc>
        <w:tc>
          <w:tcPr>
            <w:tcW w:w="848" w:type="dxa"/>
          </w:tcPr>
          <w:p w14:paraId="4BB19582"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1016" w:type="dxa"/>
          </w:tcPr>
          <w:p w14:paraId="76C18BB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4 (21)</w:t>
            </w:r>
          </w:p>
        </w:tc>
        <w:tc>
          <w:tcPr>
            <w:tcW w:w="855" w:type="dxa"/>
          </w:tcPr>
          <w:p w14:paraId="7A19F678"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(11)</w:t>
            </w:r>
          </w:p>
        </w:tc>
      </w:tr>
      <w:tr w:rsidR="00AB6818" w:rsidRPr="009A7F35" w14:paraId="5F60202C" w14:textId="77777777" w:rsidTr="00B36A04">
        <w:trPr>
          <w:gridAfter w:val="1"/>
          <w:wAfter w:w="8" w:type="dxa"/>
          <w:trHeight w:val="522"/>
        </w:trPr>
        <w:tc>
          <w:tcPr>
            <w:tcW w:w="2124" w:type="dxa"/>
          </w:tcPr>
          <w:p w14:paraId="215E3C7B" w14:textId="77777777" w:rsidR="00AB6818" w:rsidRPr="009A7F35" w:rsidRDefault="00AB6818" w:rsidP="00B36A04">
            <w:pP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Elevated Lipase</w:t>
            </w:r>
          </w:p>
        </w:tc>
        <w:tc>
          <w:tcPr>
            <w:tcW w:w="981" w:type="dxa"/>
          </w:tcPr>
          <w:p w14:paraId="3742F4F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(17)</w:t>
            </w:r>
          </w:p>
        </w:tc>
        <w:tc>
          <w:tcPr>
            <w:tcW w:w="959" w:type="dxa"/>
          </w:tcPr>
          <w:p w14:paraId="1EBD00CD"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(17)</w:t>
            </w:r>
          </w:p>
        </w:tc>
        <w:tc>
          <w:tcPr>
            <w:tcW w:w="1022" w:type="dxa"/>
          </w:tcPr>
          <w:p w14:paraId="53D4741D"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167" w:type="dxa"/>
          </w:tcPr>
          <w:p w14:paraId="18776CDB"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48" w:type="dxa"/>
          </w:tcPr>
          <w:p w14:paraId="3897CBC0"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(67)</w:t>
            </w:r>
          </w:p>
        </w:tc>
        <w:tc>
          <w:tcPr>
            <w:tcW w:w="934" w:type="dxa"/>
          </w:tcPr>
          <w:p w14:paraId="32705573"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1 (33)</w:t>
            </w:r>
          </w:p>
        </w:tc>
        <w:tc>
          <w:tcPr>
            <w:tcW w:w="932" w:type="dxa"/>
          </w:tcPr>
          <w:p w14:paraId="1A8AE84F"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3" w:type="dxa"/>
          </w:tcPr>
          <w:p w14:paraId="5DFED5C5"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932" w:type="dxa"/>
          </w:tcPr>
          <w:p w14:paraId="145BD3D1"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848" w:type="dxa"/>
          </w:tcPr>
          <w:p w14:paraId="21D9A5F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0</w:t>
            </w:r>
          </w:p>
        </w:tc>
        <w:tc>
          <w:tcPr>
            <w:tcW w:w="1016" w:type="dxa"/>
          </w:tcPr>
          <w:p w14:paraId="35C0883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3 (16)</w:t>
            </w:r>
          </w:p>
        </w:tc>
        <w:tc>
          <w:tcPr>
            <w:tcW w:w="855" w:type="dxa"/>
          </w:tcPr>
          <w:p w14:paraId="36366226" w14:textId="77777777" w:rsidR="00AB6818" w:rsidRPr="009A7F35" w:rsidRDefault="00AB6818" w:rsidP="00B36A04">
            <w:pPr>
              <w:jc w:val="center"/>
              <w:rPr>
                <w:rFonts w:ascii="Times New Roman" w:hAnsi="Times New Roman" w:cs="Times New Roman"/>
                <w:color w:val="000000" w:themeColor="text1"/>
                <w:sz w:val="18"/>
                <w:szCs w:val="20"/>
              </w:rPr>
            </w:pPr>
            <w:r w:rsidRPr="009A7F35">
              <w:rPr>
                <w:rFonts w:ascii="Times New Roman" w:hAnsi="Times New Roman" w:cs="Times New Roman"/>
                <w:color w:val="000000" w:themeColor="text1"/>
                <w:sz w:val="18"/>
                <w:szCs w:val="20"/>
              </w:rPr>
              <w:t>2 (11)</w:t>
            </w:r>
          </w:p>
        </w:tc>
      </w:tr>
    </w:tbl>
    <w:p w14:paraId="05BF260F" w14:textId="77777777" w:rsidR="00AB6818" w:rsidRDefault="00AB6818" w:rsidP="00AB6818">
      <w:pPr>
        <w:rPr>
          <w:rFonts w:ascii="Times New Roman" w:hAnsi="Times New Roman" w:cs="Times New Roman"/>
          <w:sz w:val="18"/>
        </w:rPr>
      </w:pPr>
    </w:p>
    <w:p w14:paraId="1123BA69" w14:textId="77777777" w:rsidR="00AB6818" w:rsidRDefault="00AB6818" w:rsidP="00AB6818">
      <w:pPr>
        <w:rPr>
          <w:rFonts w:ascii="Times New Roman" w:hAnsi="Times New Roman" w:cs="Times New Roman"/>
          <w:sz w:val="18"/>
        </w:rPr>
      </w:pPr>
      <w:r>
        <w:rPr>
          <w:rFonts w:ascii="Times New Roman" w:hAnsi="Times New Roman" w:cs="Times New Roman"/>
          <w:sz w:val="18"/>
        </w:rPr>
        <w:t xml:space="preserve">* FOLFIRI - </w:t>
      </w:r>
      <w:r w:rsidRPr="007D05AC">
        <w:rPr>
          <w:rFonts w:ascii="Times New Roman" w:hAnsi="Times New Roman" w:cs="Times New Roman"/>
          <w:sz w:val="18"/>
        </w:rPr>
        <w:t>irinotecan of 180 mg/m</w:t>
      </w:r>
      <w:r w:rsidRPr="002D6375">
        <w:rPr>
          <w:rFonts w:ascii="Times New Roman" w:hAnsi="Times New Roman" w:cs="Times New Roman"/>
          <w:sz w:val="18"/>
          <w:vertAlign w:val="superscript"/>
        </w:rPr>
        <w:t>2</w:t>
      </w:r>
      <w:r w:rsidRPr="007D05AC">
        <w:rPr>
          <w:rFonts w:ascii="Times New Roman" w:hAnsi="Times New Roman" w:cs="Times New Roman"/>
          <w:sz w:val="18"/>
        </w:rPr>
        <w:t>, 5-FU continuous infusion of 2400 mg/m</w:t>
      </w:r>
      <w:r w:rsidRPr="002D6375">
        <w:rPr>
          <w:rFonts w:ascii="Times New Roman" w:hAnsi="Times New Roman" w:cs="Times New Roman"/>
          <w:sz w:val="18"/>
          <w:vertAlign w:val="superscript"/>
        </w:rPr>
        <w:t>2</w:t>
      </w:r>
      <w:r w:rsidRPr="007D05AC">
        <w:rPr>
          <w:rFonts w:ascii="Times New Roman" w:hAnsi="Times New Roman" w:cs="Times New Roman"/>
          <w:sz w:val="18"/>
        </w:rPr>
        <w:t>, 5-FU bolus of 400 mg/m</w:t>
      </w:r>
      <w:r w:rsidRPr="002D6375">
        <w:rPr>
          <w:rFonts w:ascii="Times New Roman" w:hAnsi="Times New Roman" w:cs="Times New Roman"/>
          <w:sz w:val="18"/>
          <w:vertAlign w:val="superscript"/>
        </w:rPr>
        <w:t>2</w:t>
      </w:r>
      <w:r w:rsidRPr="007D05AC">
        <w:rPr>
          <w:rFonts w:ascii="Times New Roman" w:hAnsi="Times New Roman" w:cs="Times New Roman"/>
          <w:sz w:val="18"/>
        </w:rPr>
        <w:t>, and leucovorin of 400 mg/m</w:t>
      </w:r>
      <w:r w:rsidRPr="002D6375">
        <w:rPr>
          <w:rFonts w:ascii="Times New Roman" w:hAnsi="Times New Roman" w:cs="Times New Roman"/>
          <w:sz w:val="18"/>
          <w:vertAlign w:val="superscript"/>
        </w:rPr>
        <w:t>2</w:t>
      </w:r>
      <w:r>
        <w:rPr>
          <w:rFonts w:ascii="Times New Roman" w:hAnsi="Times New Roman" w:cs="Times New Roman"/>
          <w:sz w:val="18"/>
        </w:rPr>
        <w:t xml:space="preserve"> on days 1, and 15</w:t>
      </w:r>
    </w:p>
    <w:p w14:paraId="22B30106" w14:textId="77777777" w:rsidR="00AB6818" w:rsidRDefault="00AB6818" w:rsidP="00AB6818">
      <w:pPr>
        <w:rPr>
          <w:rFonts w:ascii="Times New Roman" w:hAnsi="Times New Roman" w:cs="Times New Roman"/>
          <w:sz w:val="18"/>
        </w:rPr>
      </w:pPr>
      <w:r>
        <w:rPr>
          <w:rFonts w:ascii="Times New Roman" w:hAnsi="Times New Roman" w:cs="Times New Roman"/>
          <w:sz w:val="18"/>
        </w:rPr>
        <w:t xml:space="preserve">** XELOX - </w:t>
      </w:r>
      <w:r w:rsidRPr="002D6375">
        <w:rPr>
          <w:rFonts w:ascii="Times New Roman" w:hAnsi="Times New Roman" w:cs="Times New Roman"/>
          <w:sz w:val="18"/>
        </w:rPr>
        <w:t>capecitabine was dosed at 900 mg/m</w:t>
      </w:r>
      <w:r w:rsidRPr="002D6375">
        <w:rPr>
          <w:rFonts w:ascii="Times New Roman" w:hAnsi="Times New Roman" w:cs="Times New Roman"/>
          <w:sz w:val="18"/>
          <w:vertAlign w:val="superscript"/>
        </w:rPr>
        <w:t>2</w:t>
      </w:r>
      <w:r w:rsidRPr="002D6375">
        <w:rPr>
          <w:rFonts w:ascii="Times New Roman" w:hAnsi="Times New Roman" w:cs="Times New Roman"/>
          <w:sz w:val="18"/>
        </w:rPr>
        <w:t xml:space="preserve"> orally (PO) divided into 2 doses on days 1-14, along with oxaliplatin of 130 mg/m</w:t>
      </w:r>
      <w:r w:rsidRPr="002D6375">
        <w:rPr>
          <w:rFonts w:ascii="Times New Roman" w:hAnsi="Times New Roman" w:cs="Times New Roman"/>
          <w:sz w:val="18"/>
          <w:vertAlign w:val="superscript"/>
        </w:rPr>
        <w:t>2</w:t>
      </w:r>
      <w:r w:rsidRPr="002D6375">
        <w:rPr>
          <w:rFonts w:ascii="Times New Roman" w:hAnsi="Times New Roman" w:cs="Times New Roman"/>
          <w:sz w:val="18"/>
        </w:rPr>
        <w:t xml:space="preserve"> IV Q3W</w:t>
      </w:r>
      <w:r>
        <w:rPr>
          <w:rFonts w:ascii="Times New Roman" w:hAnsi="Times New Roman" w:cs="Times New Roman"/>
          <w:sz w:val="18"/>
        </w:rPr>
        <w:t>.</w:t>
      </w:r>
    </w:p>
    <w:p w14:paraId="483B0378" w14:textId="04924C99" w:rsidR="00AB6818" w:rsidRPr="00E20A28" w:rsidRDefault="00AB6818" w:rsidP="00AB6818">
      <w:r w:rsidRPr="009A7F35">
        <w:rPr>
          <w:rFonts w:ascii="Times New Roman" w:hAnsi="Times New Roman" w:cs="Times New Roman"/>
          <w:sz w:val="18"/>
        </w:rPr>
        <w:t xml:space="preserve">Abbreviations: </w:t>
      </w:r>
      <w:r>
        <w:rPr>
          <w:rFonts w:ascii="Times New Roman" w:hAnsi="Times New Roman" w:cs="Times New Roman"/>
          <w:sz w:val="18"/>
          <w:szCs w:val="20"/>
        </w:rPr>
        <w:t>QW, once weekly; BIW, twice weekly; AUC, area under curve; mg/m</w:t>
      </w:r>
      <w:r w:rsidRPr="0094657A">
        <w:rPr>
          <w:rFonts w:ascii="Times New Roman" w:hAnsi="Times New Roman" w:cs="Times New Roman"/>
          <w:sz w:val="18"/>
          <w:szCs w:val="20"/>
          <w:vertAlign w:val="superscript"/>
        </w:rPr>
        <w:t>2</w:t>
      </w:r>
      <w:r>
        <w:rPr>
          <w:rFonts w:ascii="Times New Roman" w:hAnsi="Times New Roman" w:cs="Times New Roman"/>
          <w:sz w:val="18"/>
          <w:szCs w:val="20"/>
        </w:rPr>
        <w:t xml:space="preserve">, </w:t>
      </w:r>
      <w:r w:rsidRPr="0094657A">
        <w:rPr>
          <w:rFonts w:ascii="Times New Roman" w:hAnsi="Times New Roman" w:cs="Times New Roman"/>
          <w:sz w:val="18"/>
          <w:szCs w:val="20"/>
        </w:rPr>
        <w:t>milligrams per square meter</w:t>
      </w:r>
      <w:r>
        <w:rPr>
          <w:rFonts w:ascii="Times New Roman" w:hAnsi="Times New Roman" w:cs="Times New Roman"/>
          <w:sz w:val="18"/>
          <w:szCs w:val="20"/>
        </w:rPr>
        <w:t xml:space="preserve">; D1 &amp; 8, on days 1, and 8 of each cycle; Q3W, every 3 week; </w:t>
      </w:r>
      <w:r w:rsidRPr="009A7F35">
        <w:rPr>
          <w:rFonts w:ascii="Times New Roman" w:hAnsi="Times New Roman" w:cs="Times New Roman"/>
          <w:sz w:val="18"/>
        </w:rPr>
        <w:t>ALT, alanine aminotransferase; AST, aspartate aminotransferase; CPK, creatine phosphokinase</w:t>
      </w:r>
      <w:r>
        <w:rPr>
          <w:rFonts w:ascii="Times New Roman" w:hAnsi="Times New Roman" w:cs="Times New Roman"/>
          <w:sz w:val="18"/>
        </w:rPr>
        <w:t>;</w:t>
      </w:r>
      <w:r w:rsidRPr="003C7C3C">
        <w:t xml:space="preserve"> </w:t>
      </w:r>
      <w:r w:rsidRPr="003C7C3C">
        <w:rPr>
          <w:rFonts w:ascii="Times New Roman" w:hAnsi="Times New Roman" w:cs="Times New Roman"/>
          <w:sz w:val="18"/>
        </w:rPr>
        <w:t>FOLFIRI</w:t>
      </w:r>
      <w:r>
        <w:rPr>
          <w:rFonts w:ascii="Times New Roman" w:hAnsi="Times New Roman" w:cs="Times New Roman"/>
          <w:sz w:val="18"/>
        </w:rPr>
        <w:t xml:space="preserve">, </w:t>
      </w:r>
      <w:r w:rsidR="00B10D5B" w:rsidRPr="00B10D5B">
        <w:rPr>
          <w:rFonts w:ascii="Times New Roman" w:hAnsi="Times New Roman" w:cs="Times New Roman"/>
          <w:sz w:val="18"/>
        </w:rPr>
        <w:t>5-fluorouracil, leucovorin, and irinotecan</w:t>
      </w:r>
      <w:r w:rsidRPr="003C7C3C">
        <w:rPr>
          <w:rFonts w:ascii="Times New Roman" w:hAnsi="Times New Roman" w:cs="Times New Roman"/>
          <w:sz w:val="18"/>
        </w:rPr>
        <w:t xml:space="preserve">; </w:t>
      </w:r>
      <w:r>
        <w:rPr>
          <w:rFonts w:ascii="Times New Roman" w:hAnsi="Times New Roman" w:cs="Times New Roman"/>
          <w:sz w:val="18"/>
        </w:rPr>
        <w:t>XELOX,</w:t>
      </w:r>
      <w:r w:rsidRPr="003C7C3C">
        <w:rPr>
          <w:rFonts w:ascii="Times New Roman" w:hAnsi="Times New Roman" w:cs="Times New Roman"/>
          <w:sz w:val="18"/>
        </w:rPr>
        <w:t xml:space="preserve"> capecitabine and oxaliplatin</w:t>
      </w:r>
      <w:r w:rsidRPr="009A7F35">
        <w:rPr>
          <w:rFonts w:ascii="Times New Roman" w:hAnsi="Times New Roman" w:cs="Times New Roman"/>
          <w:sz w:val="18"/>
        </w:rPr>
        <w:t>.</w:t>
      </w:r>
    </w:p>
    <w:p w14:paraId="57308443" w14:textId="10E61D5D" w:rsidR="00AB6818" w:rsidRDefault="00AB6818" w:rsidP="005E03B3">
      <w:pPr>
        <w:autoSpaceDE w:val="0"/>
        <w:autoSpaceDN w:val="0"/>
        <w:adjustRightInd w:val="0"/>
        <w:spacing w:after="0" w:line="240" w:lineRule="auto"/>
        <w:rPr>
          <w:rFonts w:ascii="Times New Roman" w:hAnsi="Times New Roman" w:cs="Times New Roman"/>
          <w:b/>
          <w:noProof/>
        </w:rPr>
      </w:pPr>
    </w:p>
    <w:p w14:paraId="670126DD" w14:textId="323CE153" w:rsidR="00AB6818" w:rsidRDefault="00AB6818" w:rsidP="005E03B3">
      <w:pPr>
        <w:autoSpaceDE w:val="0"/>
        <w:autoSpaceDN w:val="0"/>
        <w:adjustRightInd w:val="0"/>
        <w:spacing w:after="0" w:line="240" w:lineRule="auto"/>
        <w:rPr>
          <w:rFonts w:ascii="Times New Roman" w:hAnsi="Times New Roman" w:cs="Times New Roman"/>
          <w:b/>
          <w:noProof/>
        </w:rPr>
      </w:pPr>
    </w:p>
    <w:p w14:paraId="649CFC5A" w14:textId="7589E24E" w:rsidR="00AB6818" w:rsidRDefault="00AB6818" w:rsidP="005E03B3">
      <w:pPr>
        <w:autoSpaceDE w:val="0"/>
        <w:autoSpaceDN w:val="0"/>
        <w:adjustRightInd w:val="0"/>
        <w:spacing w:after="0" w:line="240" w:lineRule="auto"/>
        <w:rPr>
          <w:rFonts w:ascii="Times New Roman" w:hAnsi="Times New Roman" w:cs="Times New Roman"/>
          <w:b/>
          <w:noProof/>
        </w:rPr>
      </w:pPr>
    </w:p>
    <w:p w14:paraId="45BBD3D4" w14:textId="51BA51D8" w:rsidR="00AB6818" w:rsidRDefault="00AB6818" w:rsidP="005E03B3">
      <w:pPr>
        <w:autoSpaceDE w:val="0"/>
        <w:autoSpaceDN w:val="0"/>
        <w:adjustRightInd w:val="0"/>
        <w:spacing w:after="0" w:line="240" w:lineRule="auto"/>
        <w:rPr>
          <w:rFonts w:ascii="Times New Roman" w:hAnsi="Times New Roman" w:cs="Times New Roman"/>
          <w:b/>
          <w:noProof/>
        </w:rPr>
      </w:pPr>
    </w:p>
    <w:p w14:paraId="73E29F89" w14:textId="580F4354" w:rsidR="00AB6818" w:rsidRDefault="00AB6818" w:rsidP="005E03B3">
      <w:pPr>
        <w:autoSpaceDE w:val="0"/>
        <w:autoSpaceDN w:val="0"/>
        <w:adjustRightInd w:val="0"/>
        <w:spacing w:after="0" w:line="240" w:lineRule="auto"/>
        <w:rPr>
          <w:rFonts w:ascii="Times New Roman" w:hAnsi="Times New Roman" w:cs="Times New Roman"/>
          <w:b/>
          <w:noProof/>
        </w:rPr>
      </w:pPr>
    </w:p>
    <w:p w14:paraId="5C96D165" w14:textId="20EBEE67" w:rsidR="00AB6818" w:rsidRDefault="00AB6818" w:rsidP="005E03B3">
      <w:pPr>
        <w:autoSpaceDE w:val="0"/>
        <w:autoSpaceDN w:val="0"/>
        <w:adjustRightInd w:val="0"/>
        <w:spacing w:after="0" w:line="240" w:lineRule="auto"/>
        <w:rPr>
          <w:rFonts w:ascii="Times New Roman" w:hAnsi="Times New Roman" w:cs="Times New Roman"/>
          <w:b/>
          <w:noProof/>
        </w:rPr>
      </w:pPr>
    </w:p>
    <w:p w14:paraId="1625AFAD" w14:textId="77777777" w:rsidR="00AB6818" w:rsidRDefault="00AB6818" w:rsidP="005E03B3">
      <w:pPr>
        <w:autoSpaceDE w:val="0"/>
        <w:autoSpaceDN w:val="0"/>
        <w:adjustRightInd w:val="0"/>
        <w:spacing w:after="0" w:line="240" w:lineRule="auto"/>
        <w:rPr>
          <w:rFonts w:ascii="Times New Roman" w:hAnsi="Times New Roman" w:cs="Times New Roman"/>
          <w:b/>
          <w:noProof/>
        </w:rPr>
      </w:pPr>
    </w:p>
    <w:p w14:paraId="70EEAFED" w14:textId="1614432E" w:rsidR="00524251" w:rsidRDefault="00524251" w:rsidP="00524251">
      <w:pPr>
        <w:rPr>
          <w:rFonts w:ascii="Times New Roman" w:hAnsi="Times New Roman" w:cs="Times New Roman"/>
          <w:b/>
          <w:bCs/>
        </w:rPr>
      </w:pPr>
      <w:r>
        <w:rPr>
          <w:rFonts w:ascii="Times New Roman" w:hAnsi="Times New Roman" w:cs="Times New Roman"/>
          <w:b/>
          <w:noProof/>
        </w:rPr>
        <w:lastRenderedPageBreak/>
        <w:t>F</w:t>
      </w:r>
      <w:r w:rsidRPr="003321F7">
        <w:rPr>
          <w:rFonts w:ascii="Times New Roman" w:hAnsi="Times New Roman" w:cs="Times New Roman"/>
          <w:b/>
          <w:noProof/>
        </w:rPr>
        <w:t>igure</w:t>
      </w:r>
      <w:r>
        <w:rPr>
          <w:rFonts w:ascii="Times New Roman" w:hAnsi="Times New Roman" w:cs="Times New Roman"/>
          <w:b/>
          <w:noProof/>
        </w:rPr>
        <w:t xml:space="preserve"> </w:t>
      </w:r>
      <w:r w:rsidR="00E126FE">
        <w:rPr>
          <w:rFonts w:ascii="Times New Roman" w:hAnsi="Times New Roman" w:cs="Times New Roman"/>
          <w:b/>
          <w:noProof/>
        </w:rPr>
        <w:t>S</w:t>
      </w:r>
      <w:r>
        <w:rPr>
          <w:rFonts w:ascii="Times New Roman" w:hAnsi="Times New Roman" w:cs="Times New Roman"/>
          <w:b/>
          <w:noProof/>
        </w:rPr>
        <w:t>1</w:t>
      </w:r>
      <w:r w:rsidRPr="0090033E">
        <w:rPr>
          <w:rFonts w:ascii="Times New Roman" w:hAnsi="Times New Roman" w:cs="Times New Roman"/>
          <w:b/>
          <w:bCs/>
        </w:rPr>
        <w:t xml:space="preserve">. </w:t>
      </w:r>
      <w:r w:rsidRPr="00C47DA9">
        <w:rPr>
          <w:rFonts w:ascii="Times New Roman" w:hAnsi="Times New Roman" w:cs="Times New Roman"/>
          <w:b/>
          <w:bCs/>
        </w:rPr>
        <w:t>Waterfall plot of maximum change in tumor measurements (per RECIST v1.1) for evaluable patients</w:t>
      </w:r>
    </w:p>
    <w:p w14:paraId="0FE011E9" w14:textId="77777777" w:rsidR="00524251" w:rsidRPr="0090033E" w:rsidRDefault="00524251" w:rsidP="00524251">
      <w:pPr>
        <w:rPr>
          <w:rFonts w:ascii="Times New Roman" w:hAnsi="Times New Roman" w:cs="Times New Roman"/>
        </w:rPr>
      </w:pPr>
    </w:p>
    <w:p w14:paraId="221BC008" w14:textId="77777777" w:rsidR="00524251" w:rsidRDefault="00524251" w:rsidP="00524251">
      <w:pPr>
        <w:rPr>
          <w:rFonts w:ascii="Times New Roman" w:hAnsi="Times New Roman" w:cs="Times New Roman"/>
        </w:rPr>
      </w:pPr>
      <w:r w:rsidRPr="00C47DA9">
        <w:rPr>
          <w:rFonts w:ascii="Times New Roman" w:hAnsi="Times New Roman" w:cs="Times New Roman"/>
          <w:noProof/>
        </w:rPr>
        <w:drawing>
          <wp:inline distT="0" distB="0" distL="0" distR="0" wp14:anchorId="2E221965" wp14:editId="6D35168C">
            <wp:extent cx="5162550" cy="3914775"/>
            <wp:effectExtent l="0" t="0" r="0" b="9525"/>
            <wp:docPr id="7" name="Picture 6" descr="A screenshot of a cell phon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5CF2D1-387F-4B1F-95B4-9CFC3647F4DF}"/>
                </a:ext>
              </a:extLst>
            </wp:docPr>
            <wp:cNvGraphicFramePr/>
            <a:graphic xmlns:a="http://schemas.openxmlformats.org/drawingml/2006/main">
              <a:graphicData uri="http://schemas.openxmlformats.org/drawingml/2006/picture">
                <pic:pic xmlns:pic="http://schemas.openxmlformats.org/drawingml/2006/picture">
                  <pic:nvPicPr>
                    <pic:cNvPr id="7" name="Picture 6" descr="A screenshot of a cell phon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5CF2D1-387F-4B1F-95B4-9CFC3647F4DF}"/>
                        </a:ext>
                      </a:extLst>
                    </pic:cNvPr>
                    <pic:cNvPicPr/>
                  </pic:nvPicPr>
                  <pic:blipFill rotWithShape="1">
                    <a:blip r:embed="rId5">
                      <a:extLst>
                        <a:ext uri="{28A0092B-C50C-407E-A947-70E740481C1C}">
                          <a14:useLocalDpi xmlns:a14="http://schemas.microsoft.com/office/drawing/2010/main" val="0"/>
                        </a:ext>
                      </a:extLst>
                    </a:blip>
                    <a:srcRect t="8793" b="11327"/>
                    <a:stretch/>
                  </pic:blipFill>
                  <pic:spPr bwMode="auto">
                    <a:xfrm>
                      <a:off x="0" y="0"/>
                      <a:ext cx="5163438" cy="3915448"/>
                    </a:xfrm>
                    <a:prstGeom prst="rect">
                      <a:avLst/>
                    </a:prstGeom>
                    <a:ln>
                      <a:noFill/>
                    </a:ln>
                    <a:extLst>
                      <a:ext uri="{53640926-AAD7-44D8-BBD7-CCE9431645EC}">
                        <a14:shadowObscured xmlns:a14="http://schemas.microsoft.com/office/drawing/2010/main"/>
                      </a:ext>
                    </a:extLst>
                  </pic:spPr>
                </pic:pic>
              </a:graphicData>
            </a:graphic>
          </wp:inline>
        </w:drawing>
      </w:r>
    </w:p>
    <w:p w14:paraId="1DA2C914" w14:textId="77777777" w:rsidR="00524251" w:rsidRPr="0090033E" w:rsidRDefault="00524251" w:rsidP="00524251">
      <w:pPr>
        <w:rPr>
          <w:rFonts w:ascii="Times New Roman" w:hAnsi="Times New Roman" w:cs="Times New Roman"/>
        </w:rPr>
      </w:pPr>
    </w:p>
    <w:p w14:paraId="0908B366" w14:textId="77777777" w:rsidR="00524251" w:rsidRPr="008072E5" w:rsidRDefault="00524251" w:rsidP="00524251">
      <w:pPr>
        <w:rPr>
          <w:rFonts w:ascii="Times New Roman" w:hAnsi="Times New Roman" w:cs="Times New Roman"/>
          <w:sz w:val="20"/>
          <w:szCs w:val="20"/>
        </w:rPr>
      </w:pPr>
      <w:r w:rsidRPr="00E255D7">
        <w:rPr>
          <w:rFonts w:ascii="Times New Roman" w:hAnsi="Times New Roman" w:cs="Times New Roman"/>
          <w:sz w:val="20"/>
          <w:szCs w:val="20"/>
        </w:rPr>
        <w:t>Abbreviation: RECIST v1.1, response evaluation criteria in solid tumors version 1.1; SD, stable disease; PD, progressive disease.</w:t>
      </w:r>
    </w:p>
    <w:p w14:paraId="2DD70D33" w14:textId="77777777" w:rsidR="00524251" w:rsidRPr="008072E5" w:rsidRDefault="00524251" w:rsidP="00524251">
      <w:pPr>
        <w:rPr>
          <w:rFonts w:ascii="Times New Roman" w:hAnsi="Times New Roman" w:cs="Times New Roman"/>
          <w:sz w:val="20"/>
          <w:szCs w:val="20"/>
        </w:rPr>
      </w:pPr>
      <w:proofErr w:type="spellStart"/>
      <w:r w:rsidRPr="008072E5">
        <w:rPr>
          <w:rFonts w:ascii="Times New Roman" w:hAnsi="Times New Roman" w:cs="Times New Roman"/>
          <w:sz w:val="20"/>
          <w:szCs w:val="20"/>
          <w:vertAlign w:val="superscript"/>
        </w:rPr>
        <w:t>a</w:t>
      </w:r>
      <w:r w:rsidRPr="008072E5">
        <w:rPr>
          <w:rFonts w:ascii="Times New Roman" w:hAnsi="Times New Roman" w:cs="Times New Roman"/>
          <w:sz w:val="20"/>
          <w:szCs w:val="20"/>
        </w:rPr>
        <w:t>One</w:t>
      </w:r>
      <w:proofErr w:type="spellEnd"/>
      <w:r w:rsidRPr="008072E5">
        <w:rPr>
          <w:rFonts w:ascii="Times New Roman" w:hAnsi="Times New Roman" w:cs="Times New Roman"/>
          <w:sz w:val="20"/>
          <w:szCs w:val="20"/>
        </w:rPr>
        <w:t xml:space="preserve"> patient with SD in the waterfall plot had a change of zero and one patient with SD had missing values for tumor change</w:t>
      </w:r>
      <w:r>
        <w:rPr>
          <w:rFonts w:ascii="Times New Roman" w:hAnsi="Times New Roman" w:cs="Times New Roman"/>
          <w:sz w:val="20"/>
          <w:szCs w:val="20"/>
        </w:rPr>
        <w:t>.</w:t>
      </w:r>
    </w:p>
    <w:p w14:paraId="2FEEA2F7" w14:textId="77777777" w:rsidR="00524251" w:rsidRDefault="00524251" w:rsidP="005E03B3">
      <w:pPr>
        <w:autoSpaceDE w:val="0"/>
        <w:autoSpaceDN w:val="0"/>
        <w:adjustRightInd w:val="0"/>
        <w:spacing w:after="0" w:line="240" w:lineRule="auto"/>
        <w:rPr>
          <w:rFonts w:ascii="Times New Roman" w:hAnsi="Times New Roman" w:cs="Times New Roman"/>
          <w:b/>
          <w:noProof/>
        </w:rPr>
      </w:pPr>
    </w:p>
    <w:p w14:paraId="02141E59" w14:textId="77777777" w:rsidR="00524251" w:rsidRDefault="00524251" w:rsidP="005E03B3">
      <w:pPr>
        <w:autoSpaceDE w:val="0"/>
        <w:autoSpaceDN w:val="0"/>
        <w:adjustRightInd w:val="0"/>
        <w:spacing w:after="0" w:line="240" w:lineRule="auto"/>
        <w:rPr>
          <w:rFonts w:ascii="Times New Roman" w:hAnsi="Times New Roman" w:cs="Times New Roman"/>
          <w:b/>
          <w:noProof/>
        </w:rPr>
      </w:pPr>
    </w:p>
    <w:p w14:paraId="3F359306" w14:textId="24EAB60A" w:rsidR="005E03B3" w:rsidRDefault="005E03B3" w:rsidP="005E03B3">
      <w:pPr>
        <w:autoSpaceDE w:val="0"/>
        <w:autoSpaceDN w:val="0"/>
        <w:adjustRightInd w:val="0"/>
        <w:spacing w:after="0" w:line="240" w:lineRule="auto"/>
        <w:rPr>
          <w:rFonts w:ascii="Times New Roman" w:hAnsi="Times New Roman" w:cs="Times New Roman"/>
          <w:b/>
        </w:rPr>
      </w:pPr>
      <w:r>
        <w:rPr>
          <w:rFonts w:ascii="Times New Roman" w:hAnsi="Times New Roman" w:cs="Times New Roman"/>
          <w:b/>
          <w:noProof/>
        </w:rPr>
        <w:lastRenderedPageBreak/>
        <w:t>F</w:t>
      </w:r>
      <w:r w:rsidRPr="003321F7">
        <w:rPr>
          <w:rFonts w:ascii="Times New Roman" w:hAnsi="Times New Roman" w:cs="Times New Roman"/>
          <w:b/>
          <w:noProof/>
        </w:rPr>
        <w:t>igure</w:t>
      </w:r>
      <w:r>
        <w:rPr>
          <w:rFonts w:ascii="Times New Roman" w:hAnsi="Times New Roman" w:cs="Times New Roman"/>
          <w:b/>
          <w:noProof/>
        </w:rPr>
        <w:t xml:space="preserve"> </w:t>
      </w:r>
      <w:r w:rsidR="00E126FE">
        <w:rPr>
          <w:rFonts w:ascii="Times New Roman" w:hAnsi="Times New Roman" w:cs="Times New Roman"/>
          <w:b/>
          <w:noProof/>
        </w:rPr>
        <w:t>S</w:t>
      </w:r>
      <w:r w:rsidR="00524251">
        <w:rPr>
          <w:rFonts w:ascii="Times New Roman" w:hAnsi="Times New Roman" w:cs="Times New Roman"/>
          <w:b/>
          <w:noProof/>
        </w:rPr>
        <w:t>2</w:t>
      </w:r>
      <w:r w:rsidRPr="003321F7">
        <w:rPr>
          <w:rFonts w:ascii="Times New Roman" w:hAnsi="Times New Roman" w:cs="Times New Roman"/>
          <w:b/>
          <w:noProof/>
        </w:rPr>
        <w:t xml:space="preserve">.  Kaplan-Meier plot showing </w:t>
      </w:r>
      <w:r w:rsidRPr="003321F7">
        <w:rPr>
          <w:rFonts w:ascii="Times New Roman" w:hAnsi="Times New Roman" w:cs="Times New Roman"/>
          <w:b/>
        </w:rPr>
        <w:t>progression</w:t>
      </w:r>
      <w:r w:rsidR="00B10D5B">
        <w:rPr>
          <w:rFonts w:ascii="Times New Roman" w:hAnsi="Times New Roman" w:cs="Times New Roman"/>
          <w:b/>
        </w:rPr>
        <w:t>-</w:t>
      </w:r>
      <w:r w:rsidRPr="003321F7">
        <w:rPr>
          <w:rFonts w:ascii="Times New Roman" w:hAnsi="Times New Roman" w:cs="Times New Roman"/>
          <w:b/>
        </w:rPr>
        <w:t>free survival (PFS) and overall survival (OS) for all treated patients</w:t>
      </w:r>
    </w:p>
    <w:p w14:paraId="097F7B00" w14:textId="77777777" w:rsidR="005E03B3" w:rsidRPr="003321F7" w:rsidRDefault="005E03B3" w:rsidP="005E03B3">
      <w:pPr>
        <w:autoSpaceDE w:val="0"/>
        <w:autoSpaceDN w:val="0"/>
        <w:adjustRightInd w:val="0"/>
        <w:spacing w:after="0" w:line="240" w:lineRule="auto"/>
        <w:rPr>
          <w:rFonts w:ascii="Times New Roman" w:hAnsi="Times New Roman" w:cs="Times New Roman"/>
          <w:b/>
        </w:rPr>
      </w:pPr>
    </w:p>
    <w:p w14:paraId="05561304" w14:textId="77777777" w:rsidR="005E03B3" w:rsidRPr="003321F7" w:rsidRDefault="005E03B3" w:rsidP="005E03B3">
      <w:pPr>
        <w:autoSpaceDE w:val="0"/>
        <w:autoSpaceDN w:val="0"/>
        <w:adjustRightInd w:val="0"/>
        <w:spacing w:after="0" w:line="240" w:lineRule="auto"/>
        <w:rPr>
          <w:rFonts w:ascii="Times New Roman" w:hAnsi="Times New Roman" w:cs="Times New Roman"/>
          <w:b/>
        </w:rPr>
      </w:pPr>
    </w:p>
    <w:p w14:paraId="52243F04" w14:textId="4A78F832" w:rsidR="005E03B3" w:rsidRDefault="00AB6818" w:rsidP="005E03B3">
      <w:pPr>
        <w:spacing w:line="480" w:lineRule="auto"/>
        <w:rPr>
          <w:noProof/>
        </w:rPr>
      </w:pPr>
      <w:r>
        <w:rPr>
          <w:noProof/>
        </w:rPr>
        <w:object w:dxaOrig="10075" w:dyaOrig="10060" w14:anchorId="56A8B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4.5pt;height:324pt;mso-width-percent:0;mso-height-percent:0;mso-width-percent:0;mso-height-percent:0" o:ole="">
            <v:imagedata r:id="rId6" o:title="" croptop="5021f" cropbottom="1763f" cropright="2365f"/>
          </v:shape>
          <o:OLEObject Type="Embed" ProgID="AcroExch.Document.11" ShapeID="_x0000_i1025" DrawAspect="Content" ObjectID="_1701607527" r:id="rId7"/>
        </w:object>
      </w:r>
    </w:p>
    <w:p w14:paraId="1DD681B0" w14:textId="785CB198" w:rsidR="00AB6818" w:rsidRPr="003321F7" w:rsidRDefault="00AB6818" w:rsidP="005E03B3">
      <w:pPr>
        <w:spacing w:line="480" w:lineRule="auto"/>
        <w:rPr>
          <w:rFonts w:ascii="Times New Roman" w:hAnsi="Times New Roman" w:cs="Times New Roman"/>
          <w:b/>
          <w:szCs w:val="24"/>
        </w:rPr>
      </w:pPr>
      <w:r>
        <w:rPr>
          <w:noProof/>
        </w:rPr>
        <w:object w:dxaOrig="10075" w:dyaOrig="10060" w14:anchorId="493A0984">
          <v:shape id="_x0000_i1026" type="#_x0000_t75" alt="" style="width:6in;height:5in;mso-width-percent:0;mso-height-percent:0;mso-width-percent:0;mso-height-percent:0" o:ole="">
            <v:imagedata r:id="rId8" o:title="" croptop="5724f" cropbottom="1494f" cropright="1750f"/>
          </v:shape>
          <o:OLEObject Type="Embed" ProgID="AcroExch.Document.11" ShapeID="_x0000_i1026" DrawAspect="Content" ObjectID="_1701607528" r:id="rId9"/>
        </w:object>
      </w:r>
    </w:p>
    <w:p w14:paraId="3ED50C3B" w14:textId="55BB47AF" w:rsidR="005E03B3" w:rsidRPr="00B10D5B" w:rsidRDefault="00B10D5B">
      <w:pPr>
        <w:rPr>
          <w:rFonts w:ascii="Times New Roman" w:hAnsi="Times New Roman" w:cs="Times New Roman"/>
          <w:b/>
        </w:rPr>
      </w:pPr>
      <w:r w:rsidRPr="009A7F35">
        <w:rPr>
          <w:rFonts w:ascii="Times New Roman" w:hAnsi="Times New Roman" w:cs="Times New Roman"/>
          <w:sz w:val="18"/>
        </w:rPr>
        <w:t xml:space="preserve">Abbreviations: </w:t>
      </w:r>
      <w:r w:rsidR="00B152BD">
        <w:rPr>
          <w:rFonts w:ascii="Times New Roman" w:hAnsi="Times New Roman" w:cs="Times New Roman"/>
          <w:sz w:val="18"/>
        </w:rPr>
        <w:t xml:space="preserve">n, number; </w:t>
      </w:r>
      <w:r>
        <w:rPr>
          <w:rFonts w:ascii="Times New Roman" w:hAnsi="Times New Roman" w:cs="Times New Roman"/>
          <w:sz w:val="18"/>
        </w:rPr>
        <w:t>S, selinexor</w:t>
      </w:r>
      <w:r w:rsidRPr="009A7F35">
        <w:rPr>
          <w:rFonts w:ascii="Times New Roman" w:hAnsi="Times New Roman" w:cs="Times New Roman"/>
          <w:sz w:val="18"/>
        </w:rPr>
        <w:t xml:space="preserve">; </w:t>
      </w:r>
      <w:r>
        <w:rPr>
          <w:rFonts w:ascii="Times New Roman" w:hAnsi="Times New Roman" w:cs="Times New Roman"/>
          <w:sz w:val="18"/>
        </w:rPr>
        <w:t xml:space="preserve">C, </w:t>
      </w:r>
      <w:r w:rsidR="00841A2E" w:rsidRPr="00841A2E">
        <w:rPr>
          <w:rFonts w:ascii="Times New Roman" w:hAnsi="Times New Roman" w:cs="Times New Roman"/>
          <w:sz w:val="18"/>
        </w:rPr>
        <w:t>carboplatin</w:t>
      </w:r>
      <w:r w:rsidRPr="009A7F35">
        <w:rPr>
          <w:rFonts w:ascii="Times New Roman" w:hAnsi="Times New Roman" w:cs="Times New Roman"/>
          <w:sz w:val="18"/>
        </w:rPr>
        <w:t xml:space="preserve">; </w:t>
      </w:r>
      <w:r w:rsidR="00841A2E">
        <w:rPr>
          <w:rFonts w:ascii="Times New Roman" w:hAnsi="Times New Roman" w:cs="Times New Roman"/>
          <w:sz w:val="18"/>
        </w:rPr>
        <w:t>I, irinotecan</w:t>
      </w:r>
      <w:r w:rsidRPr="009A7F35">
        <w:rPr>
          <w:rFonts w:ascii="Times New Roman" w:hAnsi="Times New Roman" w:cs="Times New Roman"/>
          <w:sz w:val="18"/>
        </w:rPr>
        <w:t xml:space="preserve">; </w:t>
      </w:r>
      <w:r w:rsidR="00841A2E">
        <w:rPr>
          <w:rFonts w:ascii="Times New Roman" w:hAnsi="Times New Roman" w:cs="Times New Roman"/>
          <w:sz w:val="18"/>
        </w:rPr>
        <w:t>DC,</w:t>
      </w:r>
      <w:r w:rsidR="005E005F">
        <w:rPr>
          <w:rFonts w:ascii="Times New Roman" w:hAnsi="Times New Roman" w:cs="Times New Roman"/>
          <w:sz w:val="18"/>
        </w:rPr>
        <w:t xml:space="preserve"> </w:t>
      </w:r>
      <w:r w:rsidR="005E005F" w:rsidRPr="005E005F">
        <w:rPr>
          <w:rFonts w:ascii="Times New Roman" w:hAnsi="Times New Roman" w:cs="Times New Roman"/>
          <w:sz w:val="18"/>
        </w:rPr>
        <w:t>cyclophosphamide and doxorubicin</w:t>
      </w:r>
      <w:r>
        <w:rPr>
          <w:rFonts w:ascii="Times New Roman" w:hAnsi="Times New Roman" w:cs="Times New Roman"/>
          <w:sz w:val="18"/>
        </w:rPr>
        <w:t>;</w:t>
      </w:r>
      <w:r w:rsidRPr="003C7C3C">
        <w:t xml:space="preserve"> </w:t>
      </w:r>
      <w:r w:rsidR="005E005F">
        <w:rPr>
          <w:rFonts w:ascii="Times New Roman" w:hAnsi="Times New Roman" w:cs="Times New Roman"/>
          <w:sz w:val="18"/>
        </w:rPr>
        <w:t>F (FOLFIRI)</w:t>
      </w:r>
      <w:r>
        <w:rPr>
          <w:rFonts w:ascii="Times New Roman" w:hAnsi="Times New Roman" w:cs="Times New Roman"/>
          <w:sz w:val="18"/>
        </w:rPr>
        <w:t xml:space="preserve">, </w:t>
      </w:r>
      <w:r w:rsidRPr="00511379">
        <w:rPr>
          <w:rFonts w:ascii="Times New Roman" w:hAnsi="Times New Roman" w:cs="Times New Roman"/>
          <w:sz w:val="18"/>
        </w:rPr>
        <w:t>5-fluorouracil, leucovorin, and irinotecan</w:t>
      </w:r>
      <w:r w:rsidRPr="003C7C3C">
        <w:rPr>
          <w:rFonts w:ascii="Times New Roman" w:hAnsi="Times New Roman" w:cs="Times New Roman"/>
          <w:sz w:val="18"/>
        </w:rPr>
        <w:t xml:space="preserve">; </w:t>
      </w:r>
      <w:r w:rsidR="005E005F">
        <w:rPr>
          <w:rFonts w:ascii="Times New Roman" w:hAnsi="Times New Roman" w:cs="Times New Roman"/>
          <w:sz w:val="18"/>
        </w:rPr>
        <w:t>X (</w:t>
      </w:r>
      <w:r>
        <w:rPr>
          <w:rFonts w:ascii="Times New Roman" w:hAnsi="Times New Roman" w:cs="Times New Roman"/>
          <w:sz w:val="18"/>
        </w:rPr>
        <w:t>XELOX</w:t>
      </w:r>
      <w:r w:rsidR="005E005F">
        <w:rPr>
          <w:rFonts w:ascii="Times New Roman" w:hAnsi="Times New Roman" w:cs="Times New Roman"/>
          <w:sz w:val="18"/>
        </w:rPr>
        <w:t>)</w:t>
      </w:r>
      <w:r>
        <w:rPr>
          <w:rFonts w:ascii="Times New Roman" w:hAnsi="Times New Roman" w:cs="Times New Roman"/>
          <w:sz w:val="18"/>
        </w:rPr>
        <w:t>,</w:t>
      </w:r>
      <w:r w:rsidRPr="003C7C3C">
        <w:rPr>
          <w:rFonts w:ascii="Times New Roman" w:hAnsi="Times New Roman" w:cs="Times New Roman"/>
          <w:sz w:val="18"/>
        </w:rPr>
        <w:t xml:space="preserve"> capecitabine and oxaliplatin</w:t>
      </w:r>
      <w:r w:rsidRPr="009A7F35">
        <w:rPr>
          <w:rFonts w:ascii="Times New Roman" w:hAnsi="Times New Roman" w:cs="Times New Roman"/>
          <w:sz w:val="18"/>
        </w:rPr>
        <w:t>.</w:t>
      </w:r>
    </w:p>
    <w:p w14:paraId="57687B74" w14:textId="5E54E2A9" w:rsidR="007834D6" w:rsidRDefault="007834D6">
      <w:pPr>
        <w:rPr>
          <w:sz w:val="20"/>
          <w:szCs w:val="20"/>
        </w:rPr>
      </w:pPr>
    </w:p>
    <w:p w14:paraId="79885F35" w14:textId="7FB97115" w:rsidR="007834D6" w:rsidRDefault="007834D6">
      <w:pPr>
        <w:rPr>
          <w:sz w:val="20"/>
          <w:szCs w:val="20"/>
        </w:rPr>
      </w:pPr>
    </w:p>
    <w:p w14:paraId="63ABB387" w14:textId="1512AD3C" w:rsidR="007834D6" w:rsidRDefault="007834D6" w:rsidP="007834D6">
      <w:pPr>
        <w:autoSpaceDE w:val="0"/>
        <w:autoSpaceDN w:val="0"/>
        <w:adjustRightInd w:val="0"/>
        <w:spacing w:line="480" w:lineRule="auto"/>
        <w:rPr>
          <w:rFonts w:ascii="Times New Roman" w:hAnsi="Times New Roman" w:cs="Times New Roman"/>
          <w:sz w:val="18"/>
          <w:szCs w:val="18"/>
        </w:rPr>
      </w:pPr>
      <w:bookmarkStart w:id="1" w:name="_Hlk62499749"/>
      <w:r>
        <w:rPr>
          <w:rFonts w:ascii="Times New Roman" w:hAnsi="Times New Roman" w:cs="Times New Roman"/>
          <w:sz w:val="18"/>
          <w:szCs w:val="18"/>
        </w:rPr>
        <w:lastRenderedPageBreak/>
        <w:t>(Trial registration: NCT02419495. Registered 14 April 2015, https://clinicaltrials.gov/ct2/show/NCT02419495)</w:t>
      </w:r>
    </w:p>
    <w:bookmarkEnd w:id="1"/>
    <w:p w14:paraId="13EC08DD" w14:textId="77777777" w:rsidR="00104C70" w:rsidRDefault="00104C70" w:rsidP="007834D6">
      <w:pPr>
        <w:spacing w:line="360" w:lineRule="auto"/>
        <w:rPr>
          <w:rFonts w:ascii="Times New Roman" w:hAnsi="Times New Roman" w:cs="Times New Roman"/>
          <w:b/>
        </w:rPr>
      </w:pPr>
    </w:p>
    <w:p w14:paraId="4D1340BF" w14:textId="73FB8A0D" w:rsidR="007834D6" w:rsidRDefault="007834D6" w:rsidP="007834D6">
      <w:pPr>
        <w:spacing w:line="360" w:lineRule="auto"/>
        <w:rPr>
          <w:rFonts w:ascii="Times New Roman" w:hAnsi="Times New Roman" w:cs="Times New Roman"/>
          <w:b/>
        </w:rPr>
      </w:pPr>
      <w:r>
        <w:rPr>
          <w:rFonts w:ascii="Times New Roman" w:hAnsi="Times New Roman" w:cs="Times New Roman"/>
          <w:b/>
        </w:rPr>
        <w:t>TRIAL INFORMATION</w:t>
      </w:r>
    </w:p>
    <w:p w14:paraId="76A7BF24" w14:textId="77777777" w:rsidR="007834D6" w:rsidRDefault="007834D6" w:rsidP="007834D6">
      <w:pPr>
        <w:spacing w:line="360" w:lineRule="auto"/>
        <w:rPr>
          <w:rFonts w:ascii="Times New Roman" w:hAnsi="Times New Roman" w:cs="Times New Roman"/>
        </w:rPr>
      </w:pPr>
      <w:r>
        <w:rPr>
          <w:rFonts w:ascii="Times New Roman" w:hAnsi="Times New Roman" w:cs="Times New Roman"/>
        </w:rPr>
        <w:t>• ClinicalTrials.gov Identifier: NCT02419495</w:t>
      </w:r>
    </w:p>
    <w:p w14:paraId="1C5CCD87" w14:textId="77777777" w:rsidR="007834D6" w:rsidRDefault="007834D6" w:rsidP="007834D6">
      <w:pPr>
        <w:spacing w:line="360" w:lineRule="auto"/>
        <w:rPr>
          <w:rFonts w:ascii="Times New Roman" w:hAnsi="Times New Roman" w:cs="Times New Roman"/>
        </w:rPr>
      </w:pPr>
      <w:r>
        <w:rPr>
          <w:rFonts w:ascii="Times New Roman" w:hAnsi="Times New Roman" w:cs="Times New Roman"/>
        </w:rPr>
        <w:t xml:space="preserve">• Sponsor(s): </w:t>
      </w:r>
      <w:proofErr w:type="spellStart"/>
      <w:r>
        <w:rPr>
          <w:rFonts w:ascii="Times New Roman" w:hAnsi="Times New Roman" w:cs="Times New Roman"/>
        </w:rPr>
        <w:t>Karyopharm</w:t>
      </w:r>
      <w:proofErr w:type="spellEnd"/>
      <w:r>
        <w:rPr>
          <w:rFonts w:ascii="Times New Roman" w:hAnsi="Times New Roman" w:cs="Times New Roman"/>
        </w:rPr>
        <w:t xml:space="preserve"> Therapeutics</w:t>
      </w:r>
    </w:p>
    <w:p w14:paraId="3B602F18" w14:textId="77777777" w:rsidR="00104C70" w:rsidRDefault="00104C70" w:rsidP="007834D6">
      <w:pPr>
        <w:autoSpaceDE w:val="0"/>
        <w:autoSpaceDN w:val="0"/>
        <w:adjustRightInd w:val="0"/>
        <w:spacing w:line="360" w:lineRule="auto"/>
        <w:rPr>
          <w:rFonts w:ascii="Times New Roman" w:hAnsi="Times New Roman" w:cs="Times New Roman"/>
          <w:b/>
        </w:rPr>
      </w:pPr>
    </w:p>
    <w:p w14:paraId="2F457ADA" w14:textId="182AC1F9" w:rsidR="007834D6" w:rsidRDefault="007834D6" w:rsidP="007834D6">
      <w:pPr>
        <w:autoSpaceDE w:val="0"/>
        <w:autoSpaceDN w:val="0"/>
        <w:adjustRightInd w:val="0"/>
        <w:spacing w:line="360" w:lineRule="auto"/>
        <w:rPr>
          <w:rFonts w:ascii="Times New Roman" w:hAnsi="Times New Roman" w:cs="Times New Roman"/>
          <w:b/>
        </w:rPr>
      </w:pPr>
      <w:r>
        <w:rPr>
          <w:rFonts w:ascii="Times New Roman" w:hAnsi="Times New Roman" w:cs="Times New Roman"/>
          <w:b/>
        </w:rPr>
        <w:t>Funding</w:t>
      </w:r>
    </w:p>
    <w:p w14:paraId="1786C9A0" w14:textId="77777777" w:rsidR="007834D6" w:rsidRDefault="007834D6" w:rsidP="007834D6">
      <w:pPr>
        <w:pStyle w:val="ListParagraph"/>
        <w:numPr>
          <w:ilvl w:val="0"/>
          <w:numId w:val="1"/>
        </w:numPr>
        <w:autoSpaceDE w:val="0"/>
        <w:autoSpaceDN w:val="0"/>
        <w:adjustRightInd w:val="0"/>
        <w:spacing w:line="360" w:lineRule="auto"/>
        <w:rPr>
          <w:rFonts w:ascii="Times New Roman" w:hAnsi="Times New Roman" w:cs="Times New Roman"/>
        </w:rPr>
      </w:pPr>
      <w:proofErr w:type="spellStart"/>
      <w:r>
        <w:rPr>
          <w:rFonts w:ascii="Times New Roman" w:hAnsi="Times New Roman" w:cs="Times New Roman"/>
        </w:rPr>
        <w:t>Karyopharm</w:t>
      </w:r>
      <w:proofErr w:type="spellEnd"/>
      <w:r>
        <w:rPr>
          <w:rFonts w:ascii="Times New Roman" w:hAnsi="Times New Roman" w:cs="Times New Roman"/>
        </w:rPr>
        <w:t xml:space="preserve"> Therapeutics, Clinical and Translational Sciences Award (1UL1TR003167) (NIH/NCATS), and MD Anderson Cancer Support Grant (P30CA016672) (NIH-NCI)</w:t>
      </w:r>
    </w:p>
    <w:p w14:paraId="35D71AC5" w14:textId="77777777" w:rsidR="00104C70" w:rsidRDefault="00104C70" w:rsidP="007834D6">
      <w:pPr>
        <w:autoSpaceDE w:val="0"/>
        <w:autoSpaceDN w:val="0"/>
        <w:adjustRightInd w:val="0"/>
        <w:spacing w:after="0" w:line="480" w:lineRule="auto"/>
        <w:rPr>
          <w:rFonts w:ascii="Times New Roman" w:hAnsi="Times New Roman" w:cs="Times New Roman"/>
          <w:b/>
          <w:sz w:val="24"/>
        </w:rPr>
      </w:pPr>
    </w:p>
    <w:p w14:paraId="28F1BD18" w14:textId="25E74F3A" w:rsidR="007834D6" w:rsidRDefault="007834D6" w:rsidP="007834D6">
      <w:pPr>
        <w:autoSpaceDE w:val="0"/>
        <w:autoSpaceDN w:val="0"/>
        <w:adjustRightInd w:val="0"/>
        <w:spacing w:after="0" w:line="480" w:lineRule="auto"/>
        <w:rPr>
          <w:rFonts w:ascii="Times New Roman" w:hAnsi="Times New Roman" w:cs="Times New Roman"/>
          <w:sz w:val="20"/>
          <w:szCs w:val="20"/>
        </w:rPr>
      </w:pPr>
      <w:r>
        <w:rPr>
          <w:rFonts w:ascii="Times New Roman" w:hAnsi="Times New Roman" w:cs="Times New Roman"/>
          <w:b/>
          <w:sz w:val="24"/>
        </w:rPr>
        <w:t>Patients</w:t>
      </w:r>
    </w:p>
    <w:p w14:paraId="5CEFFD83" w14:textId="77777777" w:rsidR="007834D6" w:rsidRDefault="007834D6" w:rsidP="00302550">
      <w:pPr>
        <w:autoSpaceDE w:val="0"/>
        <w:autoSpaceDN w:val="0"/>
        <w:adjustRightInd w:val="0"/>
        <w:spacing w:after="0" w:line="480" w:lineRule="auto"/>
        <w:rPr>
          <w:rFonts w:ascii="Times New Roman" w:hAnsi="Times New Roman" w:cs="Times New Roman"/>
          <w:bCs/>
        </w:rPr>
      </w:pPr>
      <w:r>
        <w:rPr>
          <w:rFonts w:ascii="Times New Roman" w:hAnsi="Times New Roman" w:cs="Times New Roman"/>
          <w:bCs/>
        </w:rPr>
        <w:t xml:space="preserve">Adult (age ≥18 years) patients with histologically documented, advanced or metastatic solid tumors (excluding brain tumors) whose tumors were unresponsive or had relapsed following prior systemic therapy or where the addition of selinexor to standard chemotherapy deemed appropriate and acceptable were eligible. </w:t>
      </w:r>
      <w:r>
        <w:rPr>
          <w:rFonts w:ascii="Times New Roman" w:hAnsi="Times New Roman" w:cs="Times New Roman"/>
        </w:rPr>
        <w:t xml:space="preserve">Other key inclusion criteria included Eastern Cooperative Oncology Group (ECOG) performance status of 0 or 1 and </w:t>
      </w:r>
      <w:bookmarkStart w:id="2" w:name="_GoBack"/>
      <w:bookmarkEnd w:id="2"/>
      <w:r>
        <w:rPr>
          <w:rFonts w:ascii="Times New Roman" w:hAnsi="Times New Roman" w:cs="Times New Roman"/>
        </w:rPr>
        <w:t xml:space="preserve">adequate organ function. The number of prior treatments was not limited. Patients in the study had to have at least one measurable target lesion as defined by Response Evaluation Criteria in Solid Tumors (RECIST v1.1) </w:t>
      </w:r>
      <w:r>
        <w:rPr>
          <w:rFonts w:ascii="Times New Roman" w:hAnsi="Times New Roman" w:cs="Times New Roman"/>
        </w:rPr>
        <w:fldChar w:fldCharType="begin">
          <w:fldData xml:space="preserve">PEVuZE5vdGU+PENpdGU+PEF1dGhvcj5FaXNlbmhhdWVyPC9BdXRob3I+PFllYXI+MjAwOTwvWWVh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PEVuZE5vdGU+PENpdGU+PEF1dGhvcj5FaXNlbmhhdWVyPC9BdXRob3I+PFllYXI+MjAwOTwvWWVh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 2]</w:t>
      </w:r>
      <w:r>
        <w:rPr>
          <w:rFonts w:ascii="Times New Roman" w:hAnsi="Times New Roman" w:cs="Times New Roman"/>
        </w:rPr>
        <w:fldChar w:fldCharType="end"/>
      </w:r>
      <w:r>
        <w:rPr>
          <w:rFonts w:ascii="Times New Roman" w:hAnsi="Times New Roman" w:cs="Times New Roman"/>
        </w:rPr>
        <w:t xml:space="preserve"> criteria for solid tumors, except for patients with castrate resistant prostate cancer (CRPC) where prostate cancer working group 2 (PCWG2) criteria was utilized.</w:t>
      </w:r>
      <w:r>
        <w:rPr>
          <w:rFonts w:ascii="Times New Roman" w:hAnsi="Times New Roman" w:cs="Times New Roman"/>
        </w:rPr>
        <w:fldChar w:fldCharType="begin">
          <w:fldData xml:space="preserve">PEVuZE5vdGU+PENpdGU+PEF1dGhvcj5Tb25wYXZkZTwvQXV0aG9yPjxZZWFyPjIwMTQ8L1llYXI+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PEVuZE5vdGU+PENpdGU+PEF1dGhvcj5Tb25wYXZkZTwvQXV0aG9yPjxZZWFyPjIwMTQ8L1llYXI+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w:t>
      </w:r>
      <w:r>
        <w:rPr>
          <w:rFonts w:ascii="Times New Roman" w:hAnsi="Times New Roman" w:cs="Times New Roman"/>
        </w:rPr>
        <w:fldChar w:fldCharType="end"/>
      </w:r>
      <w:r>
        <w:rPr>
          <w:rFonts w:ascii="Times New Roman" w:hAnsi="Times New Roman" w:cs="Times New Roman"/>
        </w:rPr>
        <w:t xml:space="preserve"> Key exclusions were patients with primary CNS </w:t>
      </w:r>
      <w:r>
        <w:rPr>
          <w:rFonts w:ascii="Times New Roman" w:hAnsi="Times New Roman" w:cs="Times New Roman"/>
        </w:rPr>
        <w:lastRenderedPageBreak/>
        <w:t xml:space="preserve">tumor or active CNS tumor involvement, evidence of complete or partial bowel obstruction or needing total parenteral nutrition, prior treatment with an agent targeting the exportin, and unstable cardiovascular functions. </w:t>
      </w:r>
    </w:p>
    <w:p w14:paraId="7DDD627A" w14:textId="77777777" w:rsidR="007834D6" w:rsidRDefault="007834D6" w:rsidP="007834D6">
      <w:pPr>
        <w:autoSpaceDE w:val="0"/>
        <w:autoSpaceDN w:val="0"/>
        <w:adjustRightInd w:val="0"/>
        <w:spacing w:after="0" w:line="480" w:lineRule="auto"/>
        <w:ind w:firstLine="360"/>
        <w:rPr>
          <w:rFonts w:ascii="Times New Roman" w:hAnsi="Times New Roman" w:cs="Times New Roman"/>
          <w:bCs/>
        </w:rPr>
      </w:pPr>
      <w:r>
        <w:rPr>
          <w:rFonts w:ascii="Times New Roman" w:hAnsi="Times New Roman" w:cs="Times New Roman"/>
        </w:rPr>
        <w:t>The primary objective was to establish the safety and tolerability of selinexor when given in combination with standard chemotherapy regimens; secondary objectives included determining the disease control rate (DCR) and progression free survival (PFS) of selinexor administered with standard chemotherapy treatments. The primary efficacy parameter was the tolerability according to National Cancer Institute Common Terminology Criteria for Adverse Events (CTCAE) version 4.03 and the secondary parameters were clinical benefit rate (CBR; percentage of complete response [CR], partial response [PR] plus stable disease [SD]), DCR (percentage of CR, PR plus SD for at least 6 months, assessed according to RECIST 1.1 criteria), the objective tumor response rate (CR+PR), assessed according to RECIST 1.1 criteria and PFS defined as the time between the cycle 1 start date and the date of disease progression or death, whichever is reported first.</w:t>
      </w:r>
    </w:p>
    <w:p w14:paraId="03534F45" w14:textId="77777777" w:rsidR="00AB6818" w:rsidRDefault="00AB6818" w:rsidP="007834D6">
      <w:pPr>
        <w:spacing w:line="480" w:lineRule="auto"/>
        <w:rPr>
          <w:rFonts w:ascii="Times New Roman" w:hAnsi="Times New Roman" w:cs="Times New Roman"/>
          <w:b/>
          <w:sz w:val="24"/>
        </w:rPr>
      </w:pPr>
    </w:p>
    <w:p w14:paraId="3117E4FF" w14:textId="155BF1AE" w:rsidR="007834D6" w:rsidRDefault="007834D6" w:rsidP="007834D6">
      <w:pPr>
        <w:spacing w:line="480" w:lineRule="auto"/>
        <w:rPr>
          <w:rFonts w:ascii="Times New Roman" w:hAnsi="Times New Roman" w:cs="Times New Roman"/>
          <w:sz w:val="20"/>
          <w:szCs w:val="20"/>
        </w:rPr>
      </w:pPr>
      <w:r>
        <w:rPr>
          <w:rFonts w:ascii="Times New Roman" w:hAnsi="Times New Roman" w:cs="Times New Roman"/>
          <w:b/>
          <w:sz w:val="24"/>
        </w:rPr>
        <w:t>Study design and treatment</w:t>
      </w:r>
    </w:p>
    <w:p w14:paraId="3668F4AB" w14:textId="77777777" w:rsidR="00254E00" w:rsidRPr="0072416C" w:rsidRDefault="00254E00" w:rsidP="00254E00">
      <w:pPr>
        <w:pStyle w:val="Default"/>
        <w:widowControl w:val="0"/>
        <w:spacing w:line="480" w:lineRule="auto"/>
      </w:pPr>
      <w:r w:rsidRPr="0072416C">
        <w:t xml:space="preserve">This open-label, single-center, multi-arm phase 1b study of selinexor in combination with standard chemotherapy was conducted to determine the dose-limiting toxicities (DLTs) and maximum tolerated dose (MTD) of selinexor and to further explore the safety and tolerability of the MTD in patients with advanced or metastatic solid tumors (ClinicalTrial.gov identifier: NCT02419495). The study was conducted in multiple arms by using a standard 3 + 3 design </w:t>
      </w:r>
      <w:r w:rsidRPr="0072416C">
        <w:rPr>
          <w:bCs/>
        </w:rPr>
        <w:t>and a “basket-type” expansion</w:t>
      </w:r>
      <w:r w:rsidRPr="0072416C">
        <w:t>. The study protocol was approved by the Institutional Review Board or Independent Ethics Committee at MD Anderson Cancer Center and was conducted in accordance with the Declaration of Helsinki, Good Clinical Practice, and all local and federal regulatory guidelines. All patients signed informed consent prior to enrolling onto the study.</w:t>
      </w:r>
    </w:p>
    <w:p w14:paraId="737F150A" w14:textId="77777777" w:rsidR="00254E00" w:rsidRPr="0072416C" w:rsidRDefault="00254E00" w:rsidP="00254E00">
      <w:pPr>
        <w:pStyle w:val="Default"/>
        <w:widowControl w:val="0"/>
        <w:spacing w:line="480" w:lineRule="auto"/>
        <w:ind w:firstLine="720"/>
      </w:pPr>
      <w:r w:rsidRPr="0072416C">
        <w:t xml:space="preserve">Selinexor with carboplatin, irinotecan, doxorubicin and cyclophosphamide (DC), irinotecan with fluorouracil and </w:t>
      </w:r>
      <w:proofErr w:type="spellStart"/>
      <w:r w:rsidRPr="0072416C">
        <w:t>folinic</w:t>
      </w:r>
      <w:proofErr w:type="spellEnd"/>
      <w:r w:rsidRPr="0072416C">
        <w:t xml:space="preserve"> acid (FOLFIRI), </w:t>
      </w:r>
      <w:r w:rsidRPr="0072416C">
        <w:lastRenderedPageBreak/>
        <w:t xml:space="preserve">and capecitabine and oxaliplatin (XELOX), were employed as separate parallel arms. </w:t>
      </w:r>
      <w:r w:rsidRPr="0072416C">
        <w:rPr>
          <w:color w:val="000000" w:themeColor="text1"/>
        </w:rPr>
        <w:t>Standard single agent chemotherapy was dosed as followings; carboplatin was dosed at AUC6 intravenously (IV) every 3 weeks (Q3W), and irinotecan was used at 125 mg/m</w:t>
      </w:r>
      <w:r w:rsidRPr="0072416C">
        <w:rPr>
          <w:color w:val="000000" w:themeColor="text1"/>
          <w:vertAlign w:val="superscript"/>
        </w:rPr>
        <w:t xml:space="preserve">2 </w:t>
      </w:r>
      <w:r w:rsidRPr="0072416C">
        <w:rPr>
          <w:color w:val="000000" w:themeColor="text1"/>
        </w:rPr>
        <w:t>on days 1 and 8 of 21-day cycle. Standard combination chemotherapy regimens were dosed as followings; doxorubicin was dosed at 60 mg/m</w:t>
      </w:r>
      <w:r w:rsidRPr="0072416C">
        <w:rPr>
          <w:color w:val="000000" w:themeColor="text1"/>
          <w:vertAlign w:val="superscript"/>
        </w:rPr>
        <w:t>2</w:t>
      </w:r>
      <w:r w:rsidRPr="0072416C">
        <w:rPr>
          <w:color w:val="000000" w:themeColor="text1"/>
        </w:rPr>
        <w:t xml:space="preserve"> IV Q3W with cyclophosphamide 600 mg/m</w:t>
      </w:r>
      <w:r w:rsidRPr="0072416C">
        <w:rPr>
          <w:color w:val="000000" w:themeColor="text1"/>
          <w:vertAlign w:val="superscript"/>
        </w:rPr>
        <w:t>2</w:t>
      </w:r>
      <w:r w:rsidRPr="0072416C">
        <w:rPr>
          <w:color w:val="000000" w:themeColor="text1"/>
        </w:rPr>
        <w:t xml:space="preserve"> IV Q3W, FOLFIRI was used on days 1, and 15 (</w:t>
      </w:r>
      <w:bookmarkStart w:id="3" w:name="_Hlk83430332"/>
      <w:r w:rsidRPr="0072416C">
        <w:rPr>
          <w:color w:val="000000" w:themeColor="text1"/>
        </w:rPr>
        <w:t>irinotecan of 180 mg/m</w:t>
      </w:r>
      <w:r w:rsidRPr="0072416C">
        <w:rPr>
          <w:color w:val="000000" w:themeColor="text1"/>
          <w:vertAlign w:val="superscript"/>
        </w:rPr>
        <w:t>2</w:t>
      </w:r>
      <w:r w:rsidRPr="0072416C">
        <w:rPr>
          <w:color w:val="000000" w:themeColor="text1"/>
        </w:rPr>
        <w:t>, 5-FU continuous infusion of 2400 mg/m</w:t>
      </w:r>
      <w:r w:rsidRPr="0072416C">
        <w:rPr>
          <w:color w:val="000000" w:themeColor="text1"/>
          <w:vertAlign w:val="superscript"/>
        </w:rPr>
        <w:t>2</w:t>
      </w:r>
      <w:r w:rsidRPr="0072416C">
        <w:rPr>
          <w:color w:val="000000" w:themeColor="text1"/>
        </w:rPr>
        <w:t>, 5-FU bolus of 400 mg/m</w:t>
      </w:r>
      <w:r w:rsidRPr="0072416C">
        <w:rPr>
          <w:color w:val="000000" w:themeColor="text1"/>
          <w:vertAlign w:val="superscript"/>
        </w:rPr>
        <w:t>2</w:t>
      </w:r>
      <w:r w:rsidRPr="0072416C">
        <w:rPr>
          <w:color w:val="000000" w:themeColor="text1"/>
        </w:rPr>
        <w:t>, and leucovorin of 400 mg/m</w:t>
      </w:r>
      <w:r w:rsidRPr="0072416C">
        <w:rPr>
          <w:color w:val="000000" w:themeColor="text1"/>
          <w:vertAlign w:val="superscript"/>
        </w:rPr>
        <w:t>2</w:t>
      </w:r>
      <w:bookmarkEnd w:id="3"/>
      <w:r w:rsidRPr="0072416C">
        <w:rPr>
          <w:color w:val="000000" w:themeColor="text1"/>
        </w:rPr>
        <w:t xml:space="preserve">), and </w:t>
      </w:r>
      <w:bookmarkStart w:id="4" w:name="_Hlk83430380"/>
      <w:r w:rsidRPr="0072416C">
        <w:rPr>
          <w:color w:val="000000" w:themeColor="text1"/>
        </w:rPr>
        <w:t>capecitabine was dosed at 900 mg/m</w:t>
      </w:r>
      <w:r w:rsidRPr="0072416C">
        <w:rPr>
          <w:color w:val="000000" w:themeColor="text1"/>
          <w:vertAlign w:val="superscript"/>
        </w:rPr>
        <w:t xml:space="preserve">2 </w:t>
      </w:r>
      <w:r w:rsidRPr="0072416C">
        <w:rPr>
          <w:color w:val="000000" w:themeColor="text1"/>
        </w:rPr>
        <w:t>orally (PO) divided into 2 doses on days 1-14, along with oxaliplatin of 130 mg/m</w:t>
      </w:r>
      <w:r w:rsidRPr="0072416C">
        <w:rPr>
          <w:color w:val="000000" w:themeColor="text1"/>
          <w:vertAlign w:val="superscript"/>
        </w:rPr>
        <w:t xml:space="preserve">2 </w:t>
      </w:r>
      <w:r w:rsidRPr="0072416C">
        <w:rPr>
          <w:color w:val="000000" w:themeColor="text1"/>
        </w:rPr>
        <w:t>IV Q3W</w:t>
      </w:r>
      <w:bookmarkEnd w:id="4"/>
      <w:r w:rsidRPr="0072416C">
        <w:rPr>
          <w:color w:val="000000" w:themeColor="text1"/>
        </w:rPr>
        <w:t>. Selinexor was dosed at 60 mg twice weekly (BID) PO on days 1, 3, 8, and 10 of each 21-day cycle as well as 40-60 mg once weekly (QW) on days 1, 8, and 15.  Selinexor was dosed at either 40 mg once weekly on days 1, 8, and 15 in combination with XELOX, and FOLFIRI, or 60 mg once weekly in combination with irinotecan, or DC. Selinexor was dosed at 60 mg twice weekly on days 1, 3, 8, and 10 of each 21-day cycle or once weekly on days 1, 8, and 15 in combination with carboplatin.</w:t>
      </w:r>
      <w:r w:rsidRPr="0072416C">
        <w:t xml:space="preserve"> </w:t>
      </w:r>
    </w:p>
    <w:p w14:paraId="6D1FCA83" w14:textId="77777777" w:rsidR="00AB6818" w:rsidRDefault="00AB6818" w:rsidP="007834D6">
      <w:pPr>
        <w:autoSpaceDE w:val="0"/>
        <w:autoSpaceDN w:val="0"/>
        <w:adjustRightInd w:val="0"/>
        <w:spacing w:after="0" w:line="480" w:lineRule="auto"/>
        <w:rPr>
          <w:rFonts w:ascii="Times New Roman" w:hAnsi="Times New Roman" w:cs="Times New Roman"/>
          <w:b/>
          <w:sz w:val="24"/>
        </w:rPr>
      </w:pPr>
    </w:p>
    <w:p w14:paraId="5ADFFC7A" w14:textId="2E14C03E" w:rsidR="007834D6" w:rsidRDefault="007834D6" w:rsidP="007834D6">
      <w:pPr>
        <w:autoSpaceDE w:val="0"/>
        <w:autoSpaceDN w:val="0"/>
        <w:adjustRightInd w:val="0"/>
        <w:spacing w:after="0" w:line="480" w:lineRule="auto"/>
        <w:rPr>
          <w:rFonts w:ascii="Times New Roman" w:hAnsi="Times New Roman" w:cs="Times New Roman"/>
          <w:b/>
        </w:rPr>
      </w:pPr>
      <w:r>
        <w:rPr>
          <w:rFonts w:ascii="Times New Roman" w:hAnsi="Times New Roman" w:cs="Times New Roman"/>
          <w:b/>
          <w:sz w:val="24"/>
        </w:rPr>
        <w:t>Study assessments</w:t>
      </w:r>
    </w:p>
    <w:p w14:paraId="5DE5AF0F" w14:textId="77777777" w:rsidR="007834D6" w:rsidRDefault="007834D6" w:rsidP="004A55B8">
      <w:pPr>
        <w:autoSpaceDE w:val="0"/>
        <w:autoSpaceDN w:val="0"/>
        <w:adjustRightInd w:val="0"/>
        <w:spacing w:after="0" w:line="480" w:lineRule="auto"/>
        <w:rPr>
          <w:rFonts w:ascii="Times New Roman" w:hAnsi="Times New Roman" w:cs="Times New Roman"/>
        </w:rPr>
      </w:pPr>
      <w:r>
        <w:rPr>
          <w:rFonts w:ascii="Times New Roman" w:hAnsi="Times New Roman" w:cs="Times New Roman"/>
        </w:rPr>
        <w:t>Tumor response was assessed using RECIST v1.1. Baseline imaging was done within 30 days of treatment initiation. Repeat imaging (using the same methodology as at baseline) was obtained every 9 weeks. Treatment-emergent adverse events (TEAEs) and treatment-related adverse events (TRAEs) were graded using the Common Terminology Criteria for Adverse Events (CTCAE) version 4.03.</w:t>
      </w:r>
      <w:r>
        <w:rPr>
          <w:rFonts w:ascii="Times New Roman" w:hAnsi="Times New Roman" w:cs="Times New Roman"/>
          <w:b/>
        </w:rPr>
        <w:t xml:space="preserve"> </w:t>
      </w:r>
      <w:r>
        <w:rPr>
          <w:rFonts w:ascii="Times New Roman" w:hAnsi="Times New Roman" w:cs="Times New Roman"/>
        </w:rPr>
        <w:t>DLT was defined as any selinexor-related grade 4 hematologic adverse event, grade ≥3 thrombocytopenia associated with clinically significant bleeding, febrile neutropenia or non-hematologic adverse event grade ≥ 3 in severity per CTCAE (v 4.03) despite optimal supportive medications, excluding electrolyte abnormalities that are reversible, asymptomatic or hair loss which is not dose-limiting. The MTD was defined as the highest dose level at which ≤ 33%</w:t>
      </w:r>
      <w:r>
        <w:rPr>
          <w:rFonts w:ascii="Times New Roman" w:hAnsi="Times New Roman" w:cs="Times New Roman"/>
          <w:sz w:val="20"/>
          <w:szCs w:val="20"/>
        </w:rPr>
        <w:t xml:space="preserve"> </w:t>
      </w:r>
      <w:r>
        <w:rPr>
          <w:rFonts w:ascii="Times New Roman" w:hAnsi="Times New Roman" w:cs="Times New Roman"/>
        </w:rPr>
        <w:t xml:space="preserve">of patients experience DLTs during cycle 1. After the MTD was defined in each schedule, the study was extended to include additional evaluable </w:t>
      </w:r>
      <w:r>
        <w:rPr>
          <w:rFonts w:ascii="Times New Roman" w:hAnsi="Times New Roman" w:cs="Times New Roman"/>
        </w:rPr>
        <w:lastRenderedPageBreak/>
        <w:t>patients at the MTD. A safety monitoring committee comprised of investigators and the study sponsor reviewed all safety information and made consensus decisions about dose escalation.</w:t>
      </w:r>
    </w:p>
    <w:p w14:paraId="0423F972" w14:textId="77777777" w:rsidR="00AB6818" w:rsidRDefault="00AB6818" w:rsidP="007834D6">
      <w:pPr>
        <w:autoSpaceDE w:val="0"/>
        <w:autoSpaceDN w:val="0"/>
        <w:adjustRightInd w:val="0"/>
        <w:spacing w:after="0" w:line="480" w:lineRule="auto"/>
        <w:rPr>
          <w:rFonts w:ascii="Times New Roman" w:hAnsi="Times New Roman" w:cs="Times New Roman"/>
          <w:b/>
          <w:sz w:val="24"/>
        </w:rPr>
      </w:pPr>
    </w:p>
    <w:p w14:paraId="4F79AB04" w14:textId="43753FF9" w:rsidR="007834D6" w:rsidRDefault="007834D6" w:rsidP="007834D6">
      <w:pPr>
        <w:autoSpaceDE w:val="0"/>
        <w:autoSpaceDN w:val="0"/>
        <w:adjustRightInd w:val="0"/>
        <w:spacing w:after="0" w:line="480" w:lineRule="auto"/>
        <w:rPr>
          <w:rFonts w:ascii="Times New Roman" w:hAnsi="Times New Roman" w:cs="Times New Roman"/>
        </w:rPr>
      </w:pPr>
      <w:r>
        <w:rPr>
          <w:rFonts w:ascii="Times New Roman" w:hAnsi="Times New Roman" w:cs="Times New Roman"/>
          <w:b/>
          <w:sz w:val="24"/>
        </w:rPr>
        <w:t>Statistical methods</w:t>
      </w:r>
    </w:p>
    <w:p w14:paraId="09A286C2" w14:textId="77777777" w:rsidR="007834D6" w:rsidRDefault="007834D6" w:rsidP="007834D6">
      <w:pPr>
        <w:spacing w:line="480" w:lineRule="auto"/>
        <w:rPr>
          <w:rFonts w:ascii="Times New Roman" w:hAnsi="Times New Roman" w:cs="Times New Roman"/>
          <w:color w:val="000000"/>
        </w:rPr>
      </w:pPr>
      <w:r>
        <w:rPr>
          <w:rFonts w:ascii="Times New Roman" w:hAnsi="Times New Roman" w:cs="Times New Roman"/>
          <w:color w:val="000000"/>
        </w:rPr>
        <w:t xml:space="preserve">Patient characteristics, TEAEs, TRAEs, tumor response, and </w:t>
      </w:r>
      <w:r>
        <w:rPr>
          <w:rFonts w:ascii="Times New Roman" w:hAnsi="Times New Roman" w:cs="Times New Roman"/>
        </w:rPr>
        <w:t>time-to-treatment failure (</w:t>
      </w:r>
      <w:r>
        <w:rPr>
          <w:rFonts w:ascii="Times New Roman" w:hAnsi="Times New Roman" w:cs="Times New Roman"/>
          <w:color w:val="000000"/>
        </w:rPr>
        <w:t xml:space="preserve">TTF) were summarized using descriptive statistics. PFS time was computed from </w:t>
      </w:r>
      <w:r>
        <w:rPr>
          <w:rFonts w:ascii="Times New Roman" w:hAnsi="Times New Roman" w:cs="Times New Roman"/>
        </w:rPr>
        <w:t>cycle 1 start date to the date of disease progression or death</w:t>
      </w:r>
      <w:r>
        <w:rPr>
          <w:rFonts w:ascii="Times New Roman" w:hAnsi="Times New Roman" w:cs="Times New Roman"/>
          <w:color w:val="000000"/>
        </w:rPr>
        <w:t xml:space="preserve"> (if the patient died without disease progression), or the last evaluation date. Patients who were alive and did not experience progression of disease at the last follow-up date were censored. Overall survival time (OS) was computed from </w:t>
      </w:r>
      <w:r>
        <w:rPr>
          <w:rFonts w:ascii="Times New Roman" w:hAnsi="Times New Roman" w:cs="Times New Roman"/>
        </w:rPr>
        <w:t xml:space="preserve">cycle 1 start date to </w:t>
      </w:r>
      <w:r>
        <w:rPr>
          <w:rFonts w:ascii="Times New Roman" w:hAnsi="Times New Roman" w:cs="Times New Roman"/>
          <w:color w:val="000000"/>
        </w:rPr>
        <w:t xml:space="preserve">the last-known vital sign. Patients alive at the last follow-up date were censored. The Kaplan-Meier method was used to estimate PFS and OS. All statistical analyses were performed using </w:t>
      </w:r>
      <w:r>
        <w:rPr>
          <w:rFonts w:ascii="Times New Roman" w:hAnsi="Times New Roman" w:cs="Times New Roman"/>
          <w:bCs/>
        </w:rPr>
        <w:t>SAS 9.4 for Windows (Copyright © 2002-2012 by SAS Institute Inc., Cary, NC)</w:t>
      </w:r>
      <w:r>
        <w:rPr>
          <w:rFonts w:ascii="Times New Roman" w:hAnsi="Times New Roman" w:cs="Times New Roman"/>
          <w:color w:val="000000"/>
        </w:rPr>
        <w:t>.</w:t>
      </w:r>
    </w:p>
    <w:p w14:paraId="3B186CD6" w14:textId="77A8F913" w:rsidR="007834D6" w:rsidRPr="00AB6818" w:rsidRDefault="007834D6" w:rsidP="007834D6">
      <w:pPr>
        <w:spacing w:line="480" w:lineRule="auto"/>
        <w:rPr>
          <w:rFonts w:ascii="Times New Roman" w:hAnsi="Times New Roman" w:cs="Times New Roman"/>
          <w:b/>
          <w:bCs/>
          <w:color w:val="000000"/>
        </w:rPr>
      </w:pPr>
      <w:r w:rsidRPr="00AB6818">
        <w:rPr>
          <w:rFonts w:ascii="Times New Roman" w:hAnsi="Times New Roman" w:cs="Times New Roman"/>
          <w:b/>
          <w:bCs/>
          <w:color w:val="000000"/>
        </w:rPr>
        <w:t>References</w:t>
      </w:r>
    </w:p>
    <w:p w14:paraId="33141599" w14:textId="77777777" w:rsidR="007834D6" w:rsidRPr="00AB6818" w:rsidRDefault="007834D6" w:rsidP="007834D6">
      <w:pPr>
        <w:pStyle w:val="EndNoteBibliography"/>
        <w:spacing w:after="0"/>
        <w:rPr>
          <w:rFonts w:ascii="Times New Roman" w:hAnsi="Times New Roman" w:cs="Times New Roman"/>
          <w:noProof/>
        </w:rPr>
      </w:pPr>
      <w:r w:rsidRPr="00AB6818">
        <w:rPr>
          <w:rFonts w:ascii="Times New Roman" w:hAnsi="Times New Roman" w:cs="Times New Roman"/>
        </w:rPr>
        <w:fldChar w:fldCharType="begin"/>
      </w:r>
      <w:r w:rsidRPr="00AB6818">
        <w:rPr>
          <w:rFonts w:ascii="Times New Roman" w:hAnsi="Times New Roman" w:cs="Times New Roman"/>
        </w:rPr>
        <w:instrText xml:space="preserve"> ADDIN EN.REFLIST </w:instrText>
      </w:r>
      <w:r w:rsidRPr="00AB6818">
        <w:rPr>
          <w:rFonts w:ascii="Times New Roman" w:hAnsi="Times New Roman" w:cs="Times New Roman"/>
        </w:rPr>
        <w:fldChar w:fldCharType="separate"/>
      </w:r>
      <w:r w:rsidRPr="00AB6818">
        <w:rPr>
          <w:rFonts w:ascii="Times New Roman" w:hAnsi="Times New Roman" w:cs="Times New Roman"/>
          <w:noProof/>
        </w:rPr>
        <w:t>1</w:t>
      </w:r>
      <w:r w:rsidRPr="00AB6818">
        <w:rPr>
          <w:rFonts w:ascii="Times New Roman" w:hAnsi="Times New Roman" w:cs="Times New Roman"/>
          <w:noProof/>
        </w:rPr>
        <w:tab/>
        <w:t>Eisenhauer EA, Therasse P, Bogaerts J, et al. New response evaluation criteria in solid tumours: Revised recist guideline (version 1.1). Eur J Cancer 2009;45:228-247.</w:t>
      </w:r>
    </w:p>
    <w:p w14:paraId="248D6FD7" w14:textId="77777777" w:rsidR="007834D6" w:rsidRPr="00AB6818" w:rsidRDefault="007834D6" w:rsidP="007834D6">
      <w:pPr>
        <w:pStyle w:val="EndNoteBibliography"/>
        <w:spacing w:after="0"/>
        <w:rPr>
          <w:rFonts w:ascii="Times New Roman" w:hAnsi="Times New Roman" w:cs="Times New Roman"/>
          <w:noProof/>
        </w:rPr>
      </w:pPr>
      <w:r w:rsidRPr="00AB6818">
        <w:rPr>
          <w:rFonts w:ascii="Times New Roman" w:hAnsi="Times New Roman" w:cs="Times New Roman"/>
          <w:noProof/>
        </w:rPr>
        <w:t>2</w:t>
      </w:r>
      <w:r w:rsidRPr="00AB6818">
        <w:rPr>
          <w:rFonts w:ascii="Times New Roman" w:hAnsi="Times New Roman" w:cs="Times New Roman"/>
          <w:noProof/>
        </w:rPr>
        <w:tab/>
        <w:t>Nishino M, Jagannathan JP, Ramaiya NH, et al. Revised recist guideline version 1.1: What oncologists want to know and what radiologists need to know. AJR American journal of roentgenology 2010;195:281-289.</w:t>
      </w:r>
    </w:p>
    <w:p w14:paraId="61085C1A" w14:textId="77777777" w:rsidR="007834D6" w:rsidRPr="00AB6818" w:rsidRDefault="007834D6" w:rsidP="007834D6">
      <w:pPr>
        <w:pStyle w:val="EndNoteBibliography"/>
        <w:rPr>
          <w:rFonts w:ascii="Times New Roman" w:hAnsi="Times New Roman" w:cs="Times New Roman"/>
          <w:noProof/>
        </w:rPr>
      </w:pPr>
      <w:r w:rsidRPr="00AB6818">
        <w:rPr>
          <w:rFonts w:ascii="Times New Roman" w:hAnsi="Times New Roman" w:cs="Times New Roman"/>
          <w:noProof/>
        </w:rPr>
        <w:t>3</w:t>
      </w:r>
      <w:r w:rsidRPr="00AB6818">
        <w:rPr>
          <w:rFonts w:ascii="Times New Roman" w:hAnsi="Times New Roman" w:cs="Times New Roman"/>
          <w:noProof/>
        </w:rPr>
        <w:tab/>
        <w:t>Sonpavde G, Pond GR, Armstrong AJ, et al. Radiographic progression by prostate cancer working group (pcwg)-2 criteria as an intermediate endpoint for drug development in metastatic castration-resistant prostate cancer. BJU Int 2014;114:E25-e31.</w:t>
      </w:r>
    </w:p>
    <w:p w14:paraId="18C238D9" w14:textId="77777777" w:rsidR="007834D6" w:rsidRDefault="007834D6" w:rsidP="007834D6">
      <w:pPr>
        <w:spacing w:line="480" w:lineRule="auto"/>
        <w:rPr>
          <w:rFonts w:ascii="Times New Roman" w:hAnsi="Times New Roman" w:cs="Times New Roman"/>
        </w:rPr>
      </w:pPr>
      <w:r w:rsidRPr="00AB6818">
        <w:rPr>
          <w:rFonts w:ascii="Times New Roman" w:hAnsi="Times New Roman" w:cs="Times New Roman"/>
        </w:rPr>
        <w:fldChar w:fldCharType="end"/>
      </w:r>
    </w:p>
    <w:p w14:paraId="7F292419" w14:textId="77777777" w:rsidR="007834D6" w:rsidRPr="00BA0ECE" w:rsidRDefault="007834D6">
      <w:pPr>
        <w:rPr>
          <w:sz w:val="20"/>
          <w:szCs w:val="20"/>
        </w:rPr>
      </w:pPr>
    </w:p>
    <w:sectPr w:rsidR="007834D6" w:rsidRPr="00BA0ECE" w:rsidSect="00AB681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A07EB"/>
    <w:multiLevelType w:val="hybridMultilevel"/>
    <w:tmpl w:val="097EA1EC"/>
    <w:lvl w:ilvl="0" w:tplc="C24C7402">
      <w:start w:val="5"/>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2A8"/>
    <w:rsid w:val="00104C70"/>
    <w:rsid w:val="00254E00"/>
    <w:rsid w:val="00302550"/>
    <w:rsid w:val="004A55B8"/>
    <w:rsid w:val="00511379"/>
    <w:rsid w:val="00524251"/>
    <w:rsid w:val="00582E4B"/>
    <w:rsid w:val="005E005F"/>
    <w:rsid w:val="005E03B3"/>
    <w:rsid w:val="00645B5C"/>
    <w:rsid w:val="006522A8"/>
    <w:rsid w:val="006C16BD"/>
    <w:rsid w:val="007834D6"/>
    <w:rsid w:val="00841A2E"/>
    <w:rsid w:val="008B54D9"/>
    <w:rsid w:val="00AA7AC5"/>
    <w:rsid w:val="00AB6818"/>
    <w:rsid w:val="00B10D5B"/>
    <w:rsid w:val="00B152BD"/>
    <w:rsid w:val="00BA0ECE"/>
    <w:rsid w:val="00DB1515"/>
    <w:rsid w:val="00E12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9EC7CAD"/>
  <w15:chartTrackingRefBased/>
  <w15:docId w15:val="{3E554F07-B78F-4B81-AC6B-55FB78ED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2A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4D6"/>
    <w:pPr>
      <w:ind w:left="720"/>
      <w:contextualSpacing/>
    </w:pPr>
  </w:style>
  <w:style w:type="character" w:customStyle="1" w:styleId="DefaultChar">
    <w:name w:val="Default Char"/>
    <w:basedOn w:val="DefaultParagraphFont"/>
    <w:link w:val="Default"/>
    <w:locked/>
    <w:rsid w:val="007834D6"/>
    <w:rPr>
      <w:rFonts w:ascii="Times New Roman" w:hAnsi="Times New Roman" w:cs="Times New Roman"/>
      <w:color w:val="000000"/>
    </w:rPr>
  </w:style>
  <w:style w:type="paragraph" w:customStyle="1" w:styleId="Default">
    <w:name w:val="Default"/>
    <w:link w:val="DefaultChar"/>
    <w:rsid w:val="007834D6"/>
    <w:pPr>
      <w:autoSpaceDE w:val="0"/>
      <w:autoSpaceDN w:val="0"/>
      <w:adjustRightInd w:val="0"/>
      <w:spacing w:after="0" w:line="240" w:lineRule="auto"/>
    </w:pPr>
    <w:rPr>
      <w:rFonts w:ascii="Times New Roman" w:hAnsi="Times New Roman" w:cs="Times New Roman"/>
      <w:color w:val="000000"/>
    </w:rPr>
  </w:style>
  <w:style w:type="character" w:customStyle="1" w:styleId="EndNoteBibliographyChar">
    <w:name w:val="EndNote Bibliography Char"/>
    <w:basedOn w:val="DefaultChar"/>
    <w:link w:val="EndNoteBibliography"/>
    <w:locked/>
    <w:rsid w:val="007834D6"/>
    <w:rPr>
      <w:rFonts w:ascii="Calibri" w:hAnsi="Calibri" w:cs="Calibri"/>
      <w:color w:val="000000"/>
    </w:rPr>
  </w:style>
  <w:style w:type="paragraph" w:customStyle="1" w:styleId="EndNoteBibliography">
    <w:name w:val="EndNote Bibliography"/>
    <w:basedOn w:val="Normal"/>
    <w:link w:val="EndNoteBibliographyChar"/>
    <w:rsid w:val="007834D6"/>
    <w:pPr>
      <w:spacing w:line="240" w:lineRule="auto"/>
    </w:pPr>
    <w:rPr>
      <w:rFonts w:ascii="Calibri" w:hAnsi="Calibri" w:cs="Calibri"/>
      <w:color w:val="000000"/>
    </w:rPr>
  </w:style>
  <w:style w:type="table" w:styleId="TableGrid">
    <w:name w:val="Table Grid"/>
    <w:basedOn w:val="TableNormal"/>
    <w:uiPriority w:val="39"/>
    <w:rsid w:val="00AB6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7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1835</Words>
  <Characters>10466</Characters>
  <Application>Microsoft Office Word</Application>
  <DocSecurity>0</DocSecurity>
  <Lines>87</Lines>
  <Paragraphs>24</Paragraphs>
  <ScaleCrop>false</ScaleCrop>
  <Company/>
  <LinksUpToDate>false</LinksUpToDate>
  <CharactersWithSpaces>12277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Kyaw Thein</dc:creator>
  <cp:keywords/>
  <dc:description/>
  <cp:lastModifiedBy>ANGEL PRECILLA</cp:lastModifiedBy>
  <cp:revision>4</cp:revision>
  <dcterms:created xsi:type="dcterms:W3CDTF">2021-11-30T05:35:00Z</dcterms:created>
  <dcterms:modified xsi:type="dcterms:W3CDTF">2021-12-21T10:29:00Z</dcterms:modified>
</cp:coreProperties>
</file>