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625" w:rsidRPr="005F04F5" w:rsidRDefault="00680625" w:rsidP="00680625">
      <w:pPr>
        <w:pStyle w:val="Body"/>
        <w:spacing w:line="480" w:lineRule="auto"/>
        <w:rPr>
          <w:b/>
          <w:color w:val="000000" w:themeColor="text1"/>
          <w:sz w:val="28"/>
          <w:szCs w:val="28"/>
        </w:rPr>
      </w:pPr>
      <w:r w:rsidRPr="005F04F5">
        <w:rPr>
          <w:b/>
          <w:color w:val="000000" w:themeColor="text1"/>
          <w:sz w:val="28"/>
          <w:szCs w:val="28"/>
        </w:rPr>
        <w:t>Supplementary methodology:</w:t>
      </w:r>
    </w:p>
    <w:p w:rsidR="00680625" w:rsidRPr="005F04F5" w:rsidRDefault="00680625" w:rsidP="00680625">
      <w:pPr>
        <w:spacing w:line="480" w:lineRule="auto"/>
        <w:jc w:val="both"/>
        <w:rPr>
          <w:b/>
          <w:color w:val="000000" w:themeColor="text1"/>
          <w:sz w:val="28"/>
          <w:szCs w:val="28"/>
          <w:lang w:val="en-GB"/>
        </w:rPr>
      </w:pPr>
      <w:r w:rsidRPr="005F04F5">
        <w:rPr>
          <w:b/>
          <w:color w:val="000000" w:themeColor="text1"/>
          <w:sz w:val="28"/>
          <w:szCs w:val="28"/>
          <w:lang w:val="en-GB"/>
        </w:rPr>
        <w:t>TCGA data analysis</w:t>
      </w:r>
      <w:bookmarkStart w:id="0" w:name="_GoBack"/>
      <w:bookmarkEnd w:id="0"/>
    </w:p>
    <w:p w:rsidR="00680625" w:rsidRPr="005F04F5" w:rsidRDefault="00680625" w:rsidP="00680625">
      <w:pPr>
        <w:spacing w:line="480" w:lineRule="auto"/>
        <w:jc w:val="both"/>
        <w:rPr>
          <w:color w:val="000000" w:themeColor="text1"/>
          <w:sz w:val="28"/>
          <w:szCs w:val="28"/>
          <w:lang w:val="en-GB"/>
        </w:rPr>
      </w:pPr>
      <w:r w:rsidRPr="005F04F5">
        <w:rPr>
          <w:color w:val="000000" w:themeColor="text1"/>
          <w:sz w:val="28"/>
          <w:szCs w:val="28"/>
          <w:lang w:val="en-GB"/>
        </w:rPr>
        <w:t xml:space="preserve">Signal Transduction Pathways: Pathway scores for each of these eight pathways were determined by integration of multi-platform data from several types of 'omics' analyses, as described by </w:t>
      </w:r>
      <w:proofErr w:type="spellStart"/>
      <w:r w:rsidRPr="005F04F5">
        <w:rPr>
          <w:color w:val="000000" w:themeColor="text1"/>
          <w:sz w:val="28"/>
          <w:szCs w:val="28"/>
          <w:lang w:val="en-GB"/>
        </w:rPr>
        <w:t>Hoadley</w:t>
      </w:r>
      <w:proofErr w:type="spellEnd"/>
      <w:r w:rsidRPr="005F04F5">
        <w:rPr>
          <w:color w:val="000000" w:themeColor="text1"/>
          <w:sz w:val="28"/>
          <w:szCs w:val="28"/>
          <w:lang w:val="en-GB"/>
        </w:rPr>
        <w:t xml:space="preserve"> et al., 2010 (PMID 25109877).</w:t>
      </w:r>
    </w:p>
    <w:p w:rsidR="00680625" w:rsidRPr="005F04F5" w:rsidRDefault="00680625" w:rsidP="00680625">
      <w:pPr>
        <w:spacing w:line="480" w:lineRule="auto"/>
        <w:jc w:val="both"/>
        <w:rPr>
          <w:color w:val="000000" w:themeColor="text1"/>
          <w:sz w:val="28"/>
          <w:szCs w:val="28"/>
          <w:lang w:val="en-GB"/>
        </w:rPr>
      </w:pPr>
      <w:r w:rsidRPr="005F04F5">
        <w:rPr>
          <w:color w:val="000000" w:themeColor="text1"/>
          <w:sz w:val="28"/>
          <w:szCs w:val="28"/>
          <w:lang w:val="en-GB"/>
        </w:rPr>
        <w:t xml:space="preserve">Hypoxia and angiogenesis: Angiogenesis score: A 43-gene expression signature for the level of angiogenesis, as determined by </w:t>
      </w:r>
      <w:proofErr w:type="spellStart"/>
      <w:r w:rsidRPr="005F04F5">
        <w:rPr>
          <w:color w:val="000000" w:themeColor="text1"/>
          <w:sz w:val="28"/>
          <w:szCs w:val="28"/>
          <w:lang w:val="en-GB"/>
        </w:rPr>
        <w:t>Masiero</w:t>
      </w:r>
      <w:proofErr w:type="spellEnd"/>
      <w:r w:rsidRPr="005F04F5">
        <w:rPr>
          <w:color w:val="000000" w:themeColor="text1"/>
          <w:sz w:val="28"/>
          <w:szCs w:val="28"/>
          <w:lang w:val="en-GB"/>
        </w:rPr>
        <w:t xml:space="preserve"> et al., 2013 (PMID 23871637). Hypoxia score (</w:t>
      </w:r>
      <w:proofErr w:type="gramStart"/>
      <w:r w:rsidRPr="005F04F5">
        <w:rPr>
          <w:color w:val="000000" w:themeColor="text1"/>
          <w:sz w:val="28"/>
          <w:szCs w:val="28"/>
          <w:lang w:val="en-GB"/>
        </w:rPr>
        <w:t>Winter</w:t>
      </w:r>
      <w:proofErr w:type="gramEnd"/>
      <w:r w:rsidRPr="005F04F5">
        <w:rPr>
          <w:color w:val="000000" w:themeColor="text1"/>
          <w:sz w:val="28"/>
          <w:szCs w:val="28"/>
          <w:lang w:val="en-GB"/>
        </w:rPr>
        <w:t>): A 99-gene expression signature for the level of hypoxia, as determined by Winter et al., 2007 (PMID 17409455). Hypoxia score (West</w:t>
      </w:r>
      <w:proofErr w:type="gramStart"/>
      <w:r w:rsidRPr="005F04F5">
        <w:rPr>
          <w:color w:val="000000" w:themeColor="text1"/>
          <w:sz w:val="28"/>
          <w:szCs w:val="28"/>
          <w:lang w:val="en-GB"/>
        </w:rPr>
        <w:t>) :</w:t>
      </w:r>
      <w:proofErr w:type="gramEnd"/>
      <w:r w:rsidRPr="005F04F5">
        <w:rPr>
          <w:color w:val="000000" w:themeColor="text1"/>
          <w:sz w:val="28"/>
          <w:szCs w:val="28"/>
          <w:lang w:val="en-GB"/>
        </w:rPr>
        <w:t xml:space="preserve"> A 26-gene expression signature for the level of hypoxia, as determined by Eustace et al., 2013 (PMID 23820108). Hypoxia score (Sorensen): A 27-gene expression signature for the level of hypoxia, as determined by Sorensen et al., 2010 (PMID 20429727). Hypoxia score (</w:t>
      </w:r>
      <w:proofErr w:type="spellStart"/>
      <w:r w:rsidRPr="005F04F5">
        <w:rPr>
          <w:color w:val="000000" w:themeColor="text1"/>
          <w:sz w:val="28"/>
          <w:szCs w:val="28"/>
          <w:lang w:val="en-GB"/>
        </w:rPr>
        <w:t>Seigneuric</w:t>
      </w:r>
      <w:proofErr w:type="spellEnd"/>
      <w:r w:rsidRPr="005F04F5">
        <w:rPr>
          <w:color w:val="000000" w:themeColor="text1"/>
          <w:sz w:val="28"/>
          <w:szCs w:val="28"/>
          <w:lang w:val="en-GB"/>
        </w:rPr>
        <w:t xml:space="preserve">): A gene expression signature for the level of hypoxia, as determined by </w:t>
      </w:r>
      <w:proofErr w:type="spellStart"/>
      <w:r w:rsidRPr="005F04F5">
        <w:rPr>
          <w:color w:val="000000" w:themeColor="text1"/>
          <w:sz w:val="28"/>
          <w:szCs w:val="28"/>
          <w:lang w:val="en-GB"/>
        </w:rPr>
        <w:t>Seigneuric</w:t>
      </w:r>
      <w:proofErr w:type="spellEnd"/>
      <w:r w:rsidRPr="005F04F5">
        <w:rPr>
          <w:color w:val="000000" w:themeColor="text1"/>
          <w:sz w:val="28"/>
          <w:szCs w:val="28"/>
          <w:lang w:val="en-GB"/>
        </w:rPr>
        <w:t xml:space="preserve"> et al., 2007 (PMID 17532074). Hypoxia score (</w:t>
      </w:r>
      <w:proofErr w:type="spellStart"/>
      <w:r w:rsidRPr="005F04F5">
        <w:rPr>
          <w:color w:val="000000" w:themeColor="text1"/>
          <w:sz w:val="28"/>
          <w:szCs w:val="28"/>
          <w:lang w:val="en-GB"/>
        </w:rPr>
        <w:t>Ragnum</w:t>
      </w:r>
      <w:proofErr w:type="spellEnd"/>
      <w:r w:rsidRPr="005F04F5">
        <w:rPr>
          <w:color w:val="000000" w:themeColor="text1"/>
          <w:sz w:val="28"/>
          <w:szCs w:val="28"/>
          <w:lang w:val="en-GB"/>
        </w:rPr>
        <w:t xml:space="preserve">): A 32-gene expression signature for the level of hypoxia, as determined by </w:t>
      </w:r>
      <w:proofErr w:type="spellStart"/>
      <w:r w:rsidRPr="005F04F5">
        <w:rPr>
          <w:color w:val="000000" w:themeColor="text1"/>
          <w:sz w:val="28"/>
          <w:szCs w:val="28"/>
          <w:lang w:val="en-GB"/>
        </w:rPr>
        <w:t>Ragnum</w:t>
      </w:r>
      <w:proofErr w:type="spellEnd"/>
      <w:r w:rsidRPr="005F04F5">
        <w:rPr>
          <w:color w:val="000000" w:themeColor="text1"/>
          <w:sz w:val="28"/>
          <w:szCs w:val="28"/>
          <w:lang w:val="en-GB"/>
        </w:rPr>
        <w:t xml:space="preserve"> et al., 2015 (PMID 25461803). Hypoxia score (Hu): A 13-gene expression signature for the level of hypoxia, as determined by Hu et al., 2009 (PMID 19291283).</w:t>
      </w:r>
    </w:p>
    <w:p w:rsidR="00680625" w:rsidRPr="005F04F5" w:rsidRDefault="00680625" w:rsidP="00680625">
      <w:pPr>
        <w:spacing w:line="480" w:lineRule="auto"/>
        <w:jc w:val="both"/>
        <w:rPr>
          <w:color w:val="000000" w:themeColor="text1"/>
          <w:sz w:val="28"/>
          <w:szCs w:val="28"/>
          <w:lang w:val="en-GB"/>
        </w:rPr>
      </w:pPr>
      <w:r w:rsidRPr="005F04F5">
        <w:rPr>
          <w:color w:val="000000" w:themeColor="text1"/>
          <w:sz w:val="28"/>
          <w:szCs w:val="28"/>
          <w:lang w:val="en-GB"/>
        </w:rPr>
        <w:t xml:space="preserve">Autophagy and </w:t>
      </w:r>
      <w:proofErr w:type="spellStart"/>
      <w:r w:rsidRPr="005F04F5">
        <w:rPr>
          <w:color w:val="000000" w:themeColor="text1"/>
          <w:sz w:val="28"/>
          <w:szCs w:val="28"/>
          <w:lang w:val="en-GB"/>
        </w:rPr>
        <w:t>stemness</w:t>
      </w:r>
      <w:proofErr w:type="spellEnd"/>
      <w:r w:rsidRPr="005F04F5">
        <w:rPr>
          <w:color w:val="000000" w:themeColor="text1"/>
          <w:sz w:val="28"/>
          <w:szCs w:val="28"/>
          <w:lang w:val="en-GB"/>
        </w:rPr>
        <w:t xml:space="preserve">: Autophagy-related prognostic signature: A prognostic gene expression signature based in the weighted expression of 8 autophagy-related genes, as described by An et al., 2018 (PMID 30410611). </w:t>
      </w:r>
      <w:proofErr w:type="spellStart"/>
      <w:r w:rsidRPr="005F04F5">
        <w:rPr>
          <w:color w:val="000000" w:themeColor="text1"/>
          <w:sz w:val="28"/>
          <w:szCs w:val="28"/>
          <w:lang w:val="en-GB"/>
        </w:rPr>
        <w:t>Stemness</w:t>
      </w:r>
      <w:proofErr w:type="spellEnd"/>
      <w:r w:rsidRPr="005F04F5">
        <w:rPr>
          <w:color w:val="000000" w:themeColor="text1"/>
          <w:sz w:val="28"/>
          <w:szCs w:val="28"/>
          <w:lang w:val="en-GB"/>
        </w:rPr>
        <w:t xml:space="preserve"> </w:t>
      </w:r>
      <w:r w:rsidRPr="005F04F5">
        <w:rPr>
          <w:color w:val="000000" w:themeColor="text1"/>
          <w:sz w:val="28"/>
          <w:szCs w:val="28"/>
          <w:lang w:val="en-GB"/>
        </w:rPr>
        <w:lastRenderedPageBreak/>
        <w:t xml:space="preserve">(mRNA): Level of </w:t>
      </w:r>
      <w:proofErr w:type="spellStart"/>
      <w:r w:rsidRPr="005F04F5">
        <w:rPr>
          <w:color w:val="000000" w:themeColor="text1"/>
          <w:sz w:val="28"/>
          <w:szCs w:val="28"/>
          <w:lang w:val="en-GB"/>
        </w:rPr>
        <w:t>stemness</w:t>
      </w:r>
      <w:proofErr w:type="spellEnd"/>
      <w:r w:rsidRPr="005F04F5">
        <w:rPr>
          <w:color w:val="000000" w:themeColor="text1"/>
          <w:sz w:val="28"/>
          <w:szCs w:val="28"/>
          <w:lang w:val="en-GB"/>
        </w:rPr>
        <w:t xml:space="preserve">, based on mRNA data, determined as described by Malta et al., 2018 (PMID 29625051). </w:t>
      </w:r>
    </w:p>
    <w:p w:rsidR="00680625" w:rsidRPr="005F04F5" w:rsidRDefault="00680625" w:rsidP="00680625">
      <w:pPr>
        <w:spacing w:line="480" w:lineRule="auto"/>
        <w:jc w:val="both"/>
        <w:rPr>
          <w:color w:val="000000" w:themeColor="text1"/>
          <w:sz w:val="28"/>
          <w:szCs w:val="28"/>
          <w:lang w:val="en-GB"/>
        </w:rPr>
      </w:pPr>
      <w:r w:rsidRPr="005F04F5">
        <w:rPr>
          <w:color w:val="000000" w:themeColor="text1"/>
          <w:sz w:val="28"/>
          <w:szCs w:val="28"/>
          <w:lang w:val="en-GB"/>
        </w:rPr>
        <w:t xml:space="preserve">Immune cell infiltration: The levels of indicated tumour-infiltrated immune cell types were estimated using the </w:t>
      </w:r>
      <w:proofErr w:type="spellStart"/>
      <w:r w:rsidRPr="005F04F5">
        <w:rPr>
          <w:color w:val="000000" w:themeColor="text1"/>
          <w:sz w:val="28"/>
          <w:szCs w:val="28"/>
          <w:lang w:val="en-GB"/>
        </w:rPr>
        <w:t>tumor</w:t>
      </w:r>
      <w:proofErr w:type="spellEnd"/>
      <w:r w:rsidRPr="005F04F5">
        <w:rPr>
          <w:color w:val="000000" w:themeColor="text1"/>
          <w:sz w:val="28"/>
          <w:szCs w:val="28"/>
          <w:lang w:val="en-GB"/>
        </w:rPr>
        <w:t xml:space="preserve"> immune estimation resource, developed by Li et al., 2016 (PMID 27549193).</w:t>
      </w:r>
    </w:p>
    <w:p w:rsidR="00680625" w:rsidRPr="005F04F5" w:rsidRDefault="00680625" w:rsidP="00680625">
      <w:pPr>
        <w:pStyle w:val="Body"/>
        <w:spacing w:line="480" w:lineRule="auto"/>
        <w:jc w:val="both"/>
        <w:rPr>
          <w:rFonts w:eastAsia="Arial"/>
          <w:b/>
          <w:color w:val="000000" w:themeColor="text1"/>
          <w:sz w:val="28"/>
          <w:szCs w:val="28"/>
          <w:shd w:val="clear" w:color="auto" w:fill="FFFFFF"/>
        </w:rPr>
      </w:pPr>
      <w:r w:rsidRPr="005F04F5">
        <w:rPr>
          <w:rFonts w:eastAsia="Arial"/>
          <w:b/>
          <w:color w:val="000000" w:themeColor="text1"/>
          <w:sz w:val="28"/>
          <w:szCs w:val="28"/>
          <w:shd w:val="clear" w:color="auto" w:fill="FFFFFF"/>
        </w:rPr>
        <w:t xml:space="preserve">Targeted Mass-spectrometry  </w:t>
      </w:r>
    </w:p>
    <w:p w:rsidR="00680625" w:rsidRPr="005F04F5" w:rsidRDefault="00680625" w:rsidP="00680625">
      <w:pPr>
        <w:pStyle w:val="Body"/>
        <w:spacing w:line="480" w:lineRule="auto"/>
        <w:jc w:val="both"/>
        <w:rPr>
          <w:rFonts w:eastAsia="Arial"/>
          <w:color w:val="000000" w:themeColor="text1"/>
          <w:sz w:val="28"/>
          <w:szCs w:val="28"/>
          <w:shd w:val="clear" w:color="auto" w:fill="FFFFFF"/>
        </w:rPr>
      </w:pPr>
      <w:r w:rsidRPr="005F04F5">
        <w:rPr>
          <w:rFonts w:eastAsia="Arial"/>
          <w:color w:val="000000" w:themeColor="text1"/>
          <w:sz w:val="28"/>
          <w:szCs w:val="28"/>
          <w:shd w:val="clear" w:color="auto" w:fill="FFFFFF"/>
        </w:rPr>
        <w:t>In-solution Digestion:</w:t>
      </w:r>
      <w:r w:rsidRPr="005F04F5">
        <w:rPr>
          <w:rFonts w:eastAsia="Arial"/>
          <w:b/>
          <w:color w:val="000000" w:themeColor="text1"/>
          <w:sz w:val="28"/>
          <w:szCs w:val="28"/>
          <w:shd w:val="clear" w:color="auto" w:fill="FFFFFF"/>
        </w:rPr>
        <w:t xml:space="preserve"> </w:t>
      </w:r>
      <w:r w:rsidRPr="005F04F5">
        <w:rPr>
          <w:rFonts w:eastAsia="Arial"/>
          <w:color w:val="000000" w:themeColor="text1"/>
          <w:sz w:val="28"/>
          <w:szCs w:val="28"/>
          <w:shd w:val="clear" w:color="auto" w:fill="FFFFFF"/>
        </w:rPr>
        <w:t xml:space="preserve">Proteins were reduced with 5 </w:t>
      </w:r>
      <w:proofErr w:type="spellStart"/>
      <w:r w:rsidRPr="005F04F5">
        <w:rPr>
          <w:rFonts w:eastAsia="Arial"/>
          <w:color w:val="000000" w:themeColor="text1"/>
          <w:sz w:val="28"/>
          <w:szCs w:val="28"/>
          <w:shd w:val="clear" w:color="auto" w:fill="FFFFFF"/>
        </w:rPr>
        <w:t>mM</w:t>
      </w:r>
      <w:proofErr w:type="spellEnd"/>
      <w:r w:rsidRPr="005F04F5">
        <w:rPr>
          <w:rFonts w:eastAsia="Arial"/>
          <w:color w:val="000000" w:themeColor="text1"/>
          <w:sz w:val="28"/>
          <w:szCs w:val="28"/>
          <w:shd w:val="clear" w:color="auto" w:fill="FFFFFF"/>
        </w:rPr>
        <w:t xml:space="preserve"> DTT at 60° C for 30 min and alkylated with 10 </w:t>
      </w:r>
      <w:proofErr w:type="spellStart"/>
      <w:r w:rsidRPr="005F04F5">
        <w:rPr>
          <w:rFonts w:eastAsia="Arial"/>
          <w:color w:val="000000" w:themeColor="text1"/>
          <w:sz w:val="28"/>
          <w:szCs w:val="28"/>
          <w:shd w:val="clear" w:color="auto" w:fill="FFFFFF"/>
        </w:rPr>
        <w:t>mM</w:t>
      </w:r>
      <w:proofErr w:type="spellEnd"/>
      <w:r w:rsidRPr="005F04F5">
        <w:rPr>
          <w:rFonts w:eastAsia="Arial"/>
          <w:color w:val="000000" w:themeColor="text1"/>
          <w:sz w:val="28"/>
          <w:szCs w:val="28"/>
          <w:shd w:val="clear" w:color="auto" w:fill="FFFFFF"/>
        </w:rPr>
        <w:t xml:space="preserve"> IAA for 10 min at room temperature in the dark. Proteins were precipitated with 5x ice cold acetone and reconstituted in TEABC, followed by digestion with Trypsin by incubating at 37⁰C overnight. Digestion was quenched by adding </w:t>
      </w:r>
      <w:proofErr w:type="spellStart"/>
      <w:r w:rsidRPr="005F04F5">
        <w:rPr>
          <w:rFonts w:eastAsia="Arial"/>
          <w:color w:val="000000" w:themeColor="text1"/>
          <w:sz w:val="28"/>
          <w:szCs w:val="28"/>
          <w:shd w:val="clear" w:color="auto" w:fill="FFFFFF"/>
        </w:rPr>
        <w:t>trifluoroacetic</w:t>
      </w:r>
      <w:proofErr w:type="spellEnd"/>
      <w:r w:rsidRPr="005F04F5">
        <w:rPr>
          <w:rFonts w:eastAsia="Arial"/>
          <w:color w:val="000000" w:themeColor="text1"/>
          <w:sz w:val="28"/>
          <w:szCs w:val="28"/>
          <w:shd w:val="clear" w:color="auto" w:fill="FFFFFF"/>
        </w:rPr>
        <w:t xml:space="preserve"> acid (TFA) to achieve a concentration of 0.5%. Tryptic digests were cleaned using tips packed in-house with </w:t>
      </w:r>
      <w:proofErr w:type="spellStart"/>
      <w:r w:rsidRPr="005F04F5">
        <w:rPr>
          <w:rFonts w:eastAsia="Arial"/>
          <w:color w:val="000000" w:themeColor="text1"/>
          <w:sz w:val="28"/>
          <w:szCs w:val="28"/>
          <w:shd w:val="clear" w:color="auto" w:fill="FFFFFF"/>
        </w:rPr>
        <w:t>Empore</w:t>
      </w:r>
      <w:proofErr w:type="spellEnd"/>
      <w:r w:rsidRPr="005F04F5">
        <w:rPr>
          <w:rFonts w:eastAsia="Arial"/>
          <w:color w:val="000000" w:themeColor="text1"/>
          <w:sz w:val="28"/>
          <w:szCs w:val="28"/>
          <w:shd w:val="clear" w:color="auto" w:fill="FFFFFF"/>
        </w:rPr>
        <w:t xml:space="preserve"> SDB-RPS material, dried on a </w:t>
      </w:r>
      <w:proofErr w:type="spellStart"/>
      <w:r w:rsidRPr="005F04F5">
        <w:rPr>
          <w:rFonts w:eastAsia="Arial"/>
          <w:color w:val="000000" w:themeColor="text1"/>
          <w:sz w:val="28"/>
          <w:szCs w:val="28"/>
          <w:shd w:val="clear" w:color="auto" w:fill="FFFFFF"/>
        </w:rPr>
        <w:t>speedvac</w:t>
      </w:r>
      <w:proofErr w:type="spellEnd"/>
      <w:r w:rsidRPr="005F04F5">
        <w:rPr>
          <w:rFonts w:eastAsia="Arial"/>
          <w:color w:val="000000" w:themeColor="text1"/>
          <w:sz w:val="28"/>
          <w:szCs w:val="28"/>
          <w:shd w:val="clear" w:color="auto" w:fill="FFFFFF"/>
        </w:rPr>
        <w:t xml:space="preserve">, and then reconstituted in 0.1% FA for LCMS analysis.  Reconstituted peptide concentration was read using </w:t>
      </w:r>
      <w:proofErr w:type="spellStart"/>
      <w:r w:rsidRPr="005F04F5">
        <w:rPr>
          <w:rFonts w:eastAsia="Arial"/>
          <w:color w:val="000000" w:themeColor="text1"/>
          <w:sz w:val="28"/>
          <w:szCs w:val="28"/>
          <w:shd w:val="clear" w:color="auto" w:fill="FFFFFF"/>
        </w:rPr>
        <w:t>nanodrop</w:t>
      </w:r>
      <w:proofErr w:type="spellEnd"/>
      <w:r w:rsidRPr="005F04F5">
        <w:rPr>
          <w:rFonts w:eastAsia="Arial"/>
          <w:color w:val="000000" w:themeColor="text1"/>
          <w:sz w:val="28"/>
          <w:szCs w:val="28"/>
          <w:shd w:val="clear" w:color="auto" w:fill="FFFFFF"/>
        </w:rPr>
        <w:t xml:space="preserve"> at 205 nm then adjusted to normalize sample amount loaded for the LC-MS runs.</w:t>
      </w:r>
    </w:p>
    <w:p w:rsidR="00680625" w:rsidRPr="005F04F5" w:rsidRDefault="00680625" w:rsidP="00680625">
      <w:pPr>
        <w:pStyle w:val="Body"/>
        <w:spacing w:line="480" w:lineRule="auto"/>
        <w:jc w:val="both"/>
        <w:rPr>
          <w:rFonts w:eastAsia="Arial"/>
          <w:color w:val="000000" w:themeColor="text1"/>
          <w:sz w:val="28"/>
          <w:szCs w:val="28"/>
          <w:shd w:val="clear" w:color="auto" w:fill="FFFFFF"/>
        </w:rPr>
      </w:pPr>
      <w:r w:rsidRPr="005F04F5">
        <w:rPr>
          <w:rFonts w:eastAsia="Arial"/>
          <w:color w:val="000000" w:themeColor="text1"/>
          <w:sz w:val="28"/>
          <w:szCs w:val="28"/>
          <w:shd w:val="clear" w:color="auto" w:fill="FFFFFF"/>
        </w:rPr>
        <w:t>LC-MS Analysis:</w:t>
      </w:r>
      <w:r w:rsidRPr="005F04F5">
        <w:rPr>
          <w:rFonts w:eastAsia="Arial"/>
          <w:b/>
          <w:color w:val="000000" w:themeColor="text1"/>
          <w:sz w:val="28"/>
          <w:szCs w:val="28"/>
          <w:shd w:val="clear" w:color="auto" w:fill="FFFFFF"/>
        </w:rPr>
        <w:t xml:space="preserve"> </w:t>
      </w:r>
      <w:r w:rsidRPr="005F04F5">
        <w:rPr>
          <w:rFonts w:eastAsia="Arial"/>
          <w:color w:val="000000" w:themeColor="text1"/>
          <w:sz w:val="28"/>
          <w:szCs w:val="28"/>
          <w:shd w:val="clear" w:color="auto" w:fill="FFFFFF"/>
        </w:rPr>
        <w:t xml:space="preserve">Samples were loaded on to a </w:t>
      </w:r>
      <w:proofErr w:type="spellStart"/>
      <w:r w:rsidRPr="005F04F5">
        <w:rPr>
          <w:rFonts w:eastAsia="Arial"/>
          <w:color w:val="000000" w:themeColor="text1"/>
          <w:sz w:val="28"/>
          <w:szCs w:val="28"/>
          <w:shd w:val="clear" w:color="auto" w:fill="FFFFFF"/>
        </w:rPr>
        <w:t>Thermo</w:t>
      </w:r>
      <w:proofErr w:type="spellEnd"/>
      <w:r w:rsidRPr="005F04F5">
        <w:rPr>
          <w:rFonts w:eastAsia="Arial"/>
          <w:color w:val="000000" w:themeColor="text1"/>
          <w:sz w:val="28"/>
          <w:szCs w:val="28"/>
          <w:shd w:val="clear" w:color="auto" w:fill="FFFFFF"/>
        </w:rPr>
        <w:t xml:space="preserve"> Acclaim </w:t>
      </w:r>
      <w:proofErr w:type="spellStart"/>
      <w:r w:rsidRPr="005F04F5">
        <w:rPr>
          <w:rFonts w:eastAsia="Arial"/>
          <w:color w:val="000000" w:themeColor="text1"/>
          <w:sz w:val="28"/>
          <w:szCs w:val="28"/>
          <w:shd w:val="clear" w:color="auto" w:fill="FFFFFF"/>
        </w:rPr>
        <w:t>PepMap</w:t>
      </w:r>
      <w:proofErr w:type="spellEnd"/>
      <w:r w:rsidRPr="005F04F5">
        <w:rPr>
          <w:rFonts w:eastAsia="Arial"/>
          <w:color w:val="000000" w:themeColor="text1"/>
          <w:sz w:val="28"/>
          <w:szCs w:val="28"/>
          <w:shd w:val="clear" w:color="auto" w:fill="FFFFFF"/>
        </w:rPr>
        <w:t xml:space="preserve"> 100 trap column (5 mm x 300 um ID) for 5 min at a flow rate of 10 </w:t>
      </w:r>
      <w:proofErr w:type="spellStart"/>
      <w:r w:rsidRPr="005F04F5">
        <w:rPr>
          <w:rFonts w:eastAsia="Arial"/>
          <w:color w:val="000000" w:themeColor="text1"/>
          <w:sz w:val="28"/>
          <w:szCs w:val="28"/>
          <w:shd w:val="clear" w:color="auto" w:fill="FFFFFF"/>
        </w:rPr>
        <w:t>ul</w:t>
      </w:r>
      <w:proofErr w:type="spellEnd"/>
      <w:r w:rsidRPr="005F04F5">
        <w:rPr>
          <w:rFonts w:eastAsia="Arial"/>
          <w:color w:val="000000" w:themeColor="text1"/>
          <w:sz w:val="28"/>
          <w:szCs w:val="28"/>
          <w:shd w:val="clear" w:color="auto" w:fill="FFFFFF"/>
        </w:rPr>
        <w:t xml:space="preserve">/min with 95% Solvent A (0.1% FA in water) and subsequently separated on a </w:t>
      </w:r>
      <w:proofErr w:type="spellStart"/>
      <w:r w:rsidRPr="005F04F5">
        <w:rPr>
          <w:rFonts w:eastAsia="Arial"/>
          <w:color w:val="000000" w:themeColor="text1"/>
          <w:sz w:val="28"/>
          <w:szCs w:val="28"/>
          <w:shd w:val="clear" w:color="auto" w:fill="FFFFFF"/>
        </w:rPr>
        <w:t>Thermo</w:t>
      </w:r>
      <w:proofErr w:type="spellEnd"/>
      <w:r w:rsidRPr="005F04F5">
        <w:rPr>
          <w:rFonts w:eastAsia="Arial"/>
          <w:color w:val="000000" w:themeColor="text1"/>
          <w:sz w:val="28"/>
          <w:szCs w:val="28"/>
          <w:shd w:val="clear" w:color="auto" w:fill="FFFFFF"/>
        </w:rPr>
        <w:t xml:space="preserve"> PepMap100 analytical column (150 mm x 300 um ID) equipped on a </w:t>
      </w:r>
      <w:proofErr w:type="spellStart"/>
      <w:r w:rsidRPr="005F04F5">
        <w:rPr>
          <w:rFonts w:eastAsia="Arial"/>
          <w:color w:val="000000" w:themeColor="text1"/>
          <w:sz w:val="28"/>
          <w:szCs w:val="28"/>
          <w:shd w:val="clear" w:color="auto" w:fill="FFFFFF"/>
        </w:rPr>
        <w:t>Thermo</w:t>
      </w:r>
      <w:proofErr w:type="spellEnd"/>
      <w:r w:rsidRPr="005F04F5">
        <w:rPr>
          <w:rFonts w:eastAsia="Arial"/>
          <w:color w:val="000000" w:themeColor="text1"/>
          <w:sz w:val="28"/>
          <w:szCs w:val="28"/>
          <w:shd w:val="clear" w:color="auto" w:fill="FFFFFF"/>
        </w:rPr>
        <w:t xml:space="preserve"> Ultimate 3000 LC interfaced with </w:t>
      </w:r>
      <w:proofErr w:type="spellStart"/>
      <w:r w:rsidRPr="005F04F5">
        <w:rPr>
          <w:rFonts w:eastAsia="Arial"/>
          <w:color w:val="000000" w:themeColor="text1"/>
          <w:sz w:val="28"/>
          <w:szCs w:val="28"/>
          <w:shd w:val="clear" w:color="auto" w:fill="FFFFFF"/>
        </w:rPr>
        <w:t>Thermo</w:t>
      </w:r>
      <w:proofErr w:type="spellEnd"/>
      <w:r w:rsidRPr="005F04F5">
        <w:rPr>
          <w:rFonts w:eastAsia="Arial"/>
          <w:color w:val="000000" w:themeColor="text1"/>
          <w:sz w:val="28"/>
          <w:szCs w:val="28"/>
          <w:shd w:val="clear" w:color="auto" w:fill="FFFFFF"/>
        </w:rPr>
        <w:t xml:space="preserve"> </w:t>
      </w:r>
      <w:proofErr w:type="spellStart"/>
      <w:r w:rsidRPr="005F04F5">
        <w:rPr>
          <w:rFonts w:eastAsia="Arial"/>
          <w:color w:val="000000" w:themeColor="text1"/>
          <w:sz w:val="28"/>
          <w:szCs w:val="28"/>
          <w:shd w:val="clear" w:color="auto" w:fill="FFFFFF"/>
        </w:rPr>
        <w:t>Exactive</w:t>
      </w:r>
      <w:proofErr w:type="spellEnd"/>
      <w:r w:rsidRPr="005F04F5">
        <w:rPr>
          <w:rFonts w:eastAsia="Arial"/>
          <w:color w:val="000000" w:themeColor="text1"/>
          <w:sz w:val="28"/>
          <w:szCs w:val="28"/>
          <w:shd w:val="clear" w:color="auto" w:fill="FFFFFF"/>
        </w:rPr>
        <w:t xml:space="preserve"> HF-X mass spectrometer.  Peptides were resolved using a linear gradient of 5% solvent B (0.1% FA in 80% ACN) to 40% solvent B over 48 min at a flow rate of 1.5 µl/min. This was </w:t>
      </w:r>
      <w:r w:rsidRPr="005F04F5">
        <w:rPr>
          <w:rFonts w:eastAsia="Arial"/>
          <w:color w:val="000000" w:themeColor="text1"/>
          <w:sz w:val="28"/>
          <w:szCs w:val="28"/>
          <w:shd w:val="clear" w:color="auto" w:fill="FFFFFF"/>
        </w:rPr>
        <w:lastRenderedPageBreak/>
        <w:t xml:space="preserve">followed by column washing and equilibration for a total run time of 65 min. An inclusion list for peptides corresponding to the proteins of interest was generated using previous in-house data acquisition on </w:t>
      </w:r>
      <w:proofErr w:type="gramStart"/>
      <w:r w:rsidRPr="005F04F5">
        <w:rPr>
          <w:rFonts w:eastAsia="Arial"/>
          <w:color w:val="000000" w:themeColor="text1"/>
          <w:sz w:val="28"/>
          <w:szCs w:val="28"/>
          <w:shd w:val="clear" w:color="auto" w:fill="FFFFFF"/>
        </w:rPr>
        <w:t>MEFs  as</w:t>
      </w:r>
      <w:proofErr w:type="gramEnd"/>
      <w:r w:rsidRPr="005F04F5">
        <w:rPr>
          <w:rFonts w:eastAsia="Arial"/>
          <w:color w:val="000000" w:themeColor="text1"/>
          <w:sz w:val="28"/>
          <w:szCs w:val="28"/>
          <w:shd w:val="clear" w:color="auto" w:fill="FFFFFF"/>
        </w:rPr>
        <w:t xml:space="preserve"> well as publicly available data on the </w:t>
      </w:r>
      <w:proofErr w:type="spellStart"/>
      <w:r w:rsidRPr="005F04F5">
        <w:rPr>
          <w:rFonts w:eastAsia="Arial"/>
          <w:color w:val="000000" w:themeColor="text1"/>
          <w:sz w:val="28"/>
          <w:szCs w:val="28"/>
          <w:shd w:val="clear" w:color="auto" w:fill="FFFFFF"/>
        </w:rPr>
        <w:t>ProteomicsDB</w:t>
      </w:r>
      <w:proofErr w:type="spellEnd"/>
      <w:r w:rsidRPr="005F04F5">
        <w:rPr>
          <w:rFonts w:eastAsia="Arial"/>
          <w:color w:val="000000" w:themeColor="text1"/>
          <w:sz w:val="28"/>
          <w:szCs w:val="28"/>
          <w:shd w:val="clear" w:color="auto" w:fill="FFFFFF"/>
        </w:rPr>
        <w:t xml:space="preserve"> website</w:t>
      </w:r>
      <w:r w:rsidRPr="005F04F5">
        <w:rPr>
          <w:rFonts w:eastAsia="Arial"/>
          <w:color w:val="000000" w:themeColor="text1"/>
          <w:sz w:val="28"/>
          <w:szCs w:val="28"/>
          <w:shd w:val="clear" w:color="auto" w:fill="FFFFFF"/>
          <w:vertAlign w:val="superscript"/>
        </w:rPr>
        <w:t>1</w:t>
      </w:r>
      <w:r w:rsidRPr="005F04F5">
        <w:rPr>
          <w:rFonts w:eastAsia="Arial"/>
          <w:color w:val="000000" w:themeColor="text1"/>
          <w:sz w:val="28"/>
          <w:szCs w:val="28"/>
          <w:shd w:val="clear" w:color="auto" w:fill="FFFFFF"/>
        </w:rPr>
        <w:t xml:space="preserve">. Parent peptides were detected in the </w:t>
      </w:r>
      <w:proofErr w:type="spellStart"/>
      <w:r w:rsidRPr="005F04F5">
        <w:rPr>
          <w:rFonts w:eastAsia="Arial"/>
          <w:color w:val="000000" w:themeColor="text1"/>
          <w:sz w:val="28"/>
          <w:szCs w:val="28"/>
          <w:shd w:val="clear" w:color="auto" w:fill="FFFFFF"/>
        </w:rPr>
        <w:t>orbitrap</w:t>
      </w:r>
      <w:proofErr w:type="spellEnd"/>
      <w:r w:rsidRPr="005F04F5">
        <w:rPr>
          <w:rFonts w:eastAsia="Arial"/>
          <w:color w:val="000000" w:themeColor="text1"/>
          <w:sz w:val="28"/>
          <w:szCs w:val="28"/>
          <w:shd w:val="clear" w:color="auto" w:fill="FFFFFF"/>
        </w:rPr>
        <w:t xml:space="preserve"> at a resolution of 60,000 and those that matched the specifications from the inclusion list were selected for MS2.  MS2 was performed using HCD with a collision energy of 30% and an </w:t>
      </w:r>
      <w:proofErr w:type="spellStart"/>
      <w:r w:rsidRPr="005F04F5">
        <w:rPr>
          <w:rFonts w:eastAsia="Arial"/>
          <w:color w:val="000000" w:themeColor="text1"/>
          <w:sz w:val="28"/>
          <w:szCs w:val="28"/>
          <w:shd w:val="clear" w:color="auto" w:fill="FFFFFF"/>
        </w:rPr>
        <w:t>orbitrap</w:t>
      </w:r>
      <w:proofErr w:type="spellEnd"/>
      <w:r w:rsidRPr="005F04F5">
        <w:rPr>
          <w:rFonts w:eastAsia="Arial"/>
          <w:color w:val="000000" w:themeColor="text1"/>
          <w:sz w:val="28"/>
          <w:szCs w:val="28"/>
          <w:shd w:val="clear" w:color="auto" w:fill="FFFFFF"/>
        </w:rPr>
        <w:t xml:space="preserve"> resolution of 15,000.  Maximum injection time was 27 </w:t>
      </w:r>
      <w:proofErr w:type="spellStart"/>
      <w:r w:rsidRPr="005F04F5">
        <w:rPr>
          <w:rFonts w:eastAsia="Arial"/>
          <w:color w:val="000000" w:themeColor="text1"/>
          <w:sz w:val="28"/>
          <w:szCs w:val="28"/>
          <w:shd w:val="clear" w:color="auto" w:fill="FFFFFF"/>
        </w:rPr>
        <w:t>ms</w:t>
      </w:r>
      <w:proofErr w:type="spellEnd"/>
      <w:r w:rsidRPr="005F04F5">
        <w:rPr>
          <w:rFonts w:eastAsia="Arial"/>
          <w:color w:val="000000" w:themeColor="text1"/>
          <w:sz w:val="28"/>
          <w:szCs w:val="28"/>
          <w:shd w:val="clear" w:color="auto" w:fill="FFFFFF"/>
        </w:rPr>
        <w:t xml:space="preserve">, while the AGC target was 200,000 and the isolation window was 1.2. Data was </w:t>
      </w:r>
      <w:proofErr w:type="spellStart"/>
      <w:r w:rsidRPr="005F04F5">
        <w:rPr>
          <w:rFonts w:eastAsia="Arial"/>
          <w:color w:val="000000" w:themeColor="text1"/>
          <w:sz w:val="28"/>
          <w:szCs w:val="28"/>
          <w:shd w:val="clear" w:color="auto" w:fill="FFFFFF"/>
        </w:rPr>
        <w:t>analysed</w:t>
      </w:r>
      <w:proofErr w:type="spellEnd"/>
      <w:r w:rsidRPr="005F04F5">
        <w:rPr>
          <w:rFonts w:eastAsia="Arial"/>
          <w:color w:val="000000" w:themeColor="text1"/>
          <w:sz w:val="28"/>
          <w:szCs w:val="28"/>
          <w:shd w:val="clear" w:color="auto" w:fill="FFFFFF"/>
        </w:rPr>
        <w:t xml:space="preserve"> using Skyline software</w:t>
      </w:r>
      <w:r w:rsidRPr="005F04F5">
        <w:rPr>
          <w:rFonts w:eastAsia="Arial"/>
          <w:color w:val="000000" w:themeColor="text1"/>
          <w:sz w:val="28"/>
          <w:szCs w:val="28"/>
          <w:shd w:val="clear" w:color="auto" w:fill="FFFFFF"/>
          <w:vertAlign w:val="superscript"/>
        </w:rPr>
        <w:t>2</w:t>
      </w:r>
      <w:r w:rsidRPr="005F04F5">
        <w:rPr>
          <w:rFonts w:eastAsia="Arial"/>
          <w:color w:val="000000" w:themeColor="text1"/>
          <w:sz w:val="28"/>
          <w:szCs w:val="28"/>
          <w:shd w:val="clear" w:color="auto" w:fill="FFFFFF"/>
        </w:rPr>
        <w:t>.  Integrations were manually checked and abundance was extracted based on total MS1 peak area.</w:t>
      </w:r>
    </w:p>
    <w:p w:rsidR="00680625" w:rsidRPr="005F04F5" w:rsidRDefault="00680625" w:rsidP="00680625">
      <w:pPr>
        <w:jc w:val="both"/>
        <w:rPr>
          <w:color w:val="000000" w:themeColor="text1"/>
          <w:sz w:val="28"/>
          <w:szCs w:val="28"/>
          <w:lang w:val="en-GB"/>
        </w:rPr>
      </w:pPr>
      <w:r w:rsidRPr="005F04F5">
        <w:rPr>
          <w:color w:val="000000" w:themeColor="text1"/>
          <w:sz w:val="28"/>
          <w:szCs w:val="28"/>
          <w:lang w:val="en-GB"/>
        </w:rPr>
        <w:t xml:space="preserve">1. Schmidt, T. et al. </w:t>
      </w:r>
      <w:proofErr w:type="spellStart"/>
      <w:r w:rsidRPr="005F04F5">
        <w:rPr>
          <w:color w:val="000000" w:themeColor="text1"/>
          <w:sz w:val="28"/>
          <w:szCs w:val="28"/>
          <w:lang w:val="en-GB"/>
        </w:rPr>
        <w:t>ProteomicsDB</w:t>
      </w:r>
      <w:proofErr w:type="spellEnd"/>
      <w:r w:rsidRPr="005F04F5">
        <w:rPr>
          <w:color w:val="000000" w:themeColor="text1"/>
          <w:sz w:val="28"/>
          <w:szCs w:val="28"/>
          <w:lang w:val="en-GB"/>
        </w:rPr>
        <w:t>. Nucleic Acids Res 46, D1271–D1281 (2018).</w:t>
      </w:r>
    </w:p>
    <w:p w:rsidR="00680625" w:rsidRPr="005F04F5" w:rsidRDefault="00680625" w:rsidP="00680625">
      <w:pPr>
        <w:jc w:val="both"/>
        <w:rPr>
          <w:color w:val="000000" w:themeColor="text1"/>
          <w:sz w:val="28"/>
          <w:szCs w:val="28"/>
          <w:lang w:val="en-GB"/>
        </w:rPr>
      </w:pPr>
      <w:r w:rsidRPr="005F04F5">
        <w:rPr>
          <w:color w:val="000000" w:themeColor="text1"/>
          <w:sz w:val="28"/>
          <w:szCs w:val="28"/>
          <w:lang w:val="en-GB"/>
        </w:rPr>
        <w:t xml:space="preserve">2. MacLean, B. et al. Skyline: An </w:t>
      </w:r>
      <w:proofErr w:type="spellStart"/>
      <w:r w:rsidRPr="005F04F5">
        <w:rPr>
          <w:color w:val="000000" w:themeColor="text1"/>
          <w:sz w:val="28"/>
          <w:szCs w:val="28"/>
          <w:lang w:val="en-GB"/>
        </w:rPr>
        <w:t>opensource</w:t>
      </w:r>
      <w:proofErr w:type="spellEnd"/>
      <w:r w:rsidRPr="005F04F5">
        <w:rPr>
          <w:color w:val="000000" w:themeColor="text1"/>
          <w:sz w:val="28"/>
          <w:szCs w:val="28"/>
          <w:lang w:val="en-GB"/>
        </w:rPr>
        <w:t xml:space="preserve"> document editor for creating and </w:t>
      </w:r>
      <w:proofErr w:type="spellStart"/>
      <w:r w:rsidRPr="005F04F5">
        <w:rPr>
          <w:color w:val="000000" w:themeColor="text1"/>
          <w:sz w:val="28"/>
          <w:szCs w:val="28"/>
          <w:lang w:val="en-GB"/>
        </w:rPr>
        <w:t>analyzing</w:t>
      </w:r>
      <w:proofErr w:type="spellEnd"/>
      <w:r w:rsidRPr="005F04F5">
        <w:rPr>
          <w:color w:val="000000" w:themeColor="text1"/>
          <w:sz w:val="28"/>
          <w:szCs w:val="28"/>
          <w:lang w:val="en-GB"/>
        </w:rPr>
        <w:t xml:space="preserve"> targeted proteomics experiments. Bioinformatics 26, 966–968 (2010).</w:t>
      </w:r>
    </w:p>
    <w:p w:rsidR="00680625" w:rsidRPr="005F04F5" w:rsidRDefault="00680625" w:rsidP="00680625">
      <w:pPr>
        <w:pStyle w:val="Body"/>
        <w:spacing w:line="480" w:lineRule="auto"/>
        <w:rPr>
          <w:color w:val="000000" w:themeColor="text1"/>
          <w:sz w:val="28"/>
          <w:szCs w:val="28"/>
        </w:rPr>
      </w:pPr>
    </w:p>
    <w:p w:rsidR="00680625" w:rsidRPr="005F04F5" w:rsidRDefault="00680625" w:rsidP="00680625">
      <w:pPr>
        <w:pStyle w:val="EndNoteBibliographyTitle"/>
        <w:spacing w:line="480" w:lineRule="auto"/>
        <w:jc w:val="left"/>
        <w:rPr>
          <w:rStyle w:val="id-label"/>
          <w:rFonts w:ascii="Times New Roman" w:hAnsi="Times New Roman" w:cs="Times New Roman"/>
          <w:color w:val="000000" w:themeColor="text1"/>
          <w:sz w:val="28"/>
          <w:szCs w:val="28"/>
          <w14:textOutline w14:w="0" w14:cap="flat" w14:cmpd="sng" w14:algn="ctr">
            <w14:noFill/>
            <w14:prstDash w14:val="solid"/>
            <w14:bevel/>
          </w14:textOutline>
        </w:rPr>
      </w:pPr>
    </w:p>
    <w:p w:rsidR="00680625" w:rsidRPr="005F04F5" w:rsidRDefault="00680625" w:rsidP="00680625">
      <w:pPr>
        <w:spacing w:line="480" w:lineRule="auto"/>
        <w:rPr>
          <w:color w:val="000000" w:themeColor="text1"/>
          <w:sz w:val="28"/>
          <w:szCs w:val="28"/>
        </w:rPr>
      </w:pPr>
    </w:p>
    <w:p w:rsidR="00680625" w:rsidRDefault="00680625" w:rsidP="00680625"/>
    <w:p w:rsidR="0088620F" w:rsidRDefault="0088620F"/>
    <w:sectPr w:rsidR="00886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625"/>
    <w:rsid w:val="000407EE"/>
    <w:rsid w:val="000C0385"/>
    <w:rsid w:val="000E739A"/>
    <w:rsid w:val="001E202F"/>
    <w:rsid w:val="00226918"/>
    <w:rsid w:val="00260E9B"/>
    <w:rsid w:val="00266D41"/>
    <w:rsid w:val="00347D11"/>
    <w:rsid w:val="0036381C"/>
    <w:rsid w:val="00396CDE"/>
    <w:rsid w:val="003C5D1D"/>
    <w:rsid w:val="0043382F"/>
    <w:rsid w:val="0043713A"/>
    <w:rsid w:val="00452D79"/>
    <w:rsid w:val="0049700C"/>
    <w:rsid w:val="004C6861"/>
    <w:rsid w:val="004D1616"/>
    <w:rsid w:val="005028B4"/>
    <w:rsid w:val="005153A9"/>
    <w:rsid w:val="005410E3"/>
    <w:rsid w:val="005755CF"/>
    <w:rsid w:val="00591B94"/>
    <w:rsid w:val="005A4334"/>
    <w:rsid w:val="00612851"/>
    <w:rsid w:val="00664697"/>
    <w:rsid w:val="006742C1"/>
    <w:rsid w:val="00680625"/>
    <w:rsid w:val="006B0B88"/>
    <w:rsid w:val="006F5A99"/>
    <w:rsid w:val="00720971"/>
    <w:rsid w:val="007537F3"/>
    <w:rsid w:val="007A6524"/>
    <w:rsid w:val="007A78C4"/>
    <w:rsid w:val="007E4EF3"/>
    <w:rsid w:val="007E5C4B"/>
    <w:rsid w:val="00860840"/>
    <w:rsid w:val="00885010"/>
    <w:rsid w:val="0088620F"/>
    <w:rsid w:val="00897C8C"/>
    <w:rsid w:val="008A4597"/>
    <w:rsid w:val="008F7B6B"/>
    <w:rsid w:val="00906AE5"/>
    <w:rsid w:val="00971C67"/>
    <w:rsid w:val="0097462D"/>
    <w:rsid w:val="00977A46"/>
    <w:rsid w:val="009D4996"/>
    <w:rsid w:val="009F1265"/>
    <w:rsid w:val="00A54586"/>
    <w:rsid w:val="00A8187F"/>
    <w:rsid w:val="00A84680"/>
    <w:rsid w:val="00AB0FB1"/>
    <w:rsid w:val="00B234FD"/>
    <w:rsid w:val="00B54F42"/>
    <w:rsid w:val="00BA7E36"/>
    <w:rsid w:val="00BB0142"/>
    <w:rsid w:val="00BC0B81"/>
    <w:rsid w:val="00BD1D94"/>
    <w:rsid w:val="00C140D3"/>
    <w:rsid w:val="00C8020C"/>
    <w:rsid w:val="00CA7B82"/>
    <w:rsid w:val="00CC26B1"/>
    <w:rsid w:val="00CE47BB"/>
    <w:rsid w:val="00D50D22"/>
    <w:rsid w:val="00D6375B"/>
    <w:rsid w:val="00D65611"/>
    <w:rsid w:val="00D72B3B"/>
    <w:rsid w:val="00D856FB"/>
    <w:rsid w:val="00DA7B8E"/>
    <w:rsid w:val="00E162CA"/>
    <w:rsid w:val="00E57EC3"/>
    <w:rsid w:val="00E61F55"/>
    <w:rsid w:val="00ED0E2A"/>
    <w:rsid w:val="00EE5E48"/>
    <w:rsid w:val="00EF4282"/>
    <w:rsid w:val="00F52806"/>
    <w:rsid w:val="00FA44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8C8805-41C0-4C94-A81B-750E8359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80625"/>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d-label">
    <w:name w:val="id-label"/>
    <w:rsid w:val="00680625"/>
  </w:style>
  <w:style w:type="paragraph" w:customStyle="1" w:styleId="Body">
    <w:name w:val="Body"/>
    <w:rsid w:val="00680625"/>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US"/>
      <w14:textOutline w14:w="0" w14:cap="flat" w14:cmpd="sng" w14:algn="ctr">
        <w14:noFill/>
        <w14:prstDash w14:val="solid"/>
        <w14:bevel/>
      </w14:textOutline>
    </w:rPr>
  </w:style>
  <w:style w:type="paragraph" w:customStyle="1" w:styleId="EndNoteBibliographyTitle">
    <w:name w:val="EndNote Bibliography Title"/>
    <w:rsid w:val="00680625"/>
    <w:pPr>
      <w:pBdr>
        <w:top w:val="nil"/>
        <w:left w:val="nil"/>
        <w:bottom w:val="nil"/>
        <w:right w:val="nil"/>
        <w:between w:val="nil"/>
        <w:bar w:val="nil"/>
      </w:pBdr>
      <w:spacing w:after="0" w:line="240" w:lineRule="auto"/>
      <w:jc w:val="center"/>
    </w:pPr>
    <w:rPr>
      <w:rFonts w:ascii="Calibri" w:eastAsia="Calibri" w:hAnsi="Calibri" w:cs="Calibri"/>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600</Words>
  <Characters>3425</Characters>
  <Application>Microsoft Office Word</Application>
  <DocSecurity>0</DocSecurity>
  <Lines>28</Lines>
  <Paragraphs>8</Paragraphs>
  <ScaleCrop>false</ScaleCrop>
  <Company/>
  <LinksUpToDate>false</LinksUpToDate>
  <CharactersWithSpaces>4017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Nandhini Arumugam</dc:creator>
  <cp:keywords/>
  <dc:description/>
  <cp:lastModifiedBy>Nandhini Arumugam</cp:lastModifiedBy>
  <cp:revision>1</cp:revision>
  <dcterms:created xsi:type="dcterms:W3CDTF">2022-12-30T02:58:00Z</dcterms:created>
  <dcterms:modified xsi:type="dcterms:W3CDTF">2022-12-30T02:59:00Z</dcterms:modified>
</cp:coreProperties>
</file>