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04220" w14:textId="77777777" w:rsidR="00DC5852" w:rsidRDefault="001902DE">
      <w:pPr>
        <w:spacing w:before="50" w:after="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MATERIAL </w:t>
      </w:r>
    </w:p>
    <w:p w14:paraId="2225A1CA" w14:textId="77777777" w:rsidR="00DC5852" w:rsidRDefault="001902DE">
      <w:pPr>
        <w:tabs>
          <w:tab w:val="left" w:pos="4678"/>
        </w:tabs>
        <w:spacing w:beforeLines="50" w:before="156" w:afterLines="50" w:after="156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34319432"/>
      <w:r>
        <w:rPr>
          <w:rFonts w:ascii="Times New Roman" w:hAnsi="Times New Roman" w:cs="Times New Roman" w:hint="eastAsia"/>
          <w:b/>
          <w:bCs/>
          <w:sz w:val="24"/>
          <w:szCs w:val="24"/>
        </w:rPr>
        <w:t>Tar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geting and cytotoxicity of CAR-T grafted with PD-1 extramembrane domain </w:t>
      </w:r>
    </w:p>
    <w:p w14:paraId="18BC85E5" w14:textId="77777777" w:rsidR="00DC5852" w:rsidRDefault="001902DE">
      <w:pPr>
        <w:spacing w:beforeLines="50" w:before="156"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118752523"/>
      <w:bookmarkEnd w:id="0"/>
      <w:r>
        <w:rPr>
          <w:rFonts w:ascii="Times New Roman" w:hAnsi="Times New Roman" w:cs="Times New Roman"/>
          <w:sz w:val="24"/>
          <w:szCs w:val="24"/>
        </w:rPr>
        <w:t>Ang Zhang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,3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Shenyu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1, 2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r>
        <w:rPr>
          <w:rFonts w:ascii="Times New Roman" w:hAnsi="Times New Roman" w:cs="Times New Roman"/>
          <w:sz w:val="24"/>
          <w:szCs w:val="24"/>
        </w:rPr>
        <w:t>, Yao Sun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Yikun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Zhang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3†</w:t>
      </w:r>
      <w:r>
        <w:rPr>
          <w:rFonts w:ascii="Times New Roman" w:hAnsi="Times New Roman" w:cs="Times New Roman"/>
          <w:sz w:val="24"/>
          <w:szCs w:val="24"/>
        </w:rPr>
        <w:t>,Long Zhao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Yang Yang</w:t>
      </w:r>
      <w:proofErr w:type="gramEnd"/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Lei Xu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Yangyang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Lei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Jie Du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Hu Chen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‡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，</w:t>
      </w:r>
      <w:r>
        <w:rPr>
          <w:rFonts w:ascii="Times New Roman" w:hAnsi="Times New Roman" w:cs="Times New Roman"/>
          <w:sz w:val="24"/>
          <w:szCs w:val="24"/>
        </w:rPr>
        <w:t xml:space="preserve">Lian </w:t>
      </w:r>
      <w:r>
        <w:rPr>
          <w:rFonts w:ascii="Times New Roman" w:hAnsi="Times New Roman" w:cs="Times New Roman"/>
          <w:sz w:val="24"/>
          <w:szCs w:val="24"/>
        </w:rPr>
        <w:t>Duan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Mingyi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Lintao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Shi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 Lei Liu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Quanjun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*, </w:t>
      </w:r>
      <w:proofErr w:type="spellStart"/>
      <w:r>
        <w:rPr>
          <w:rFonts w:ascii="Times New Roman" w:hAnsi="Times New Roman" w:cs="Times New Roman"/>
          <w:sz w:val="24"/>
          <w:szCs w:val="24"/>
        </w:rPr>
        <w:t>Liangding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Hu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*, Bin Zhang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*</w:t>
      </w:r>
    </w:p>
    <w:p w14:paraId="13696EEC" w14:textId="77777777" w:rsidR="00DC5852" w:rsidRDefault="001902DE">
      <w:pPr>
        <w:spacing w:beforeLines="50" w:before="156"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Academy of Military Medical Sciences, Academy of Military Sciences, Beijing 100850; PR China.</w:t>
      </w:r>
    </w:p>
    <w:p w14:paraId="4ED10736" w14:textId="77777777" w:rsidR="00DC5852" w:rsidRDefault="001902DE">
      <w:pPr>
        <w:spacing w:beforeLines="50" w:before="156"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Senior Department of Hemato</w:t>
      </w:r>
      <w:r>
        <w:rPr>
          <w:rFonts w:ascii="Times New Roman" w:hAnsi="Times New Roman" w:cs="Times New Roman" w:hint="eastAsia"/>
          <w:sz w:val="24"/>
          <w:szCs w:val="24"/>
        </w:rPr>
        <w:t>logy</w:t>
      </w:r>
      <w:r>
        <w:rPr>
          <w:rFonts w:ascii="Times New Roman" w:hAnsi="Times New Roman" w:cs="Times New Roman"/>
          <w:sz w:val="24"/>
          <w:szCs w:val="24"/>
        </w:rPr>
        <w:t xml:space="preserve">, the Fifth Medical Center of </w:t>
      </w:r>
      <w:r>
        <w:rPr>
          <w:rFonts w:ascii="Times New Roman" w:hAnsi="Times New Roman" w:cs="Times New Roman"/>
          <w:sz w:val="24"/>
          <w:szCs w:val="24"/>
        </w:rPr>
        <w:t>Chinese PLA General Hospital, Beijing 100071; PR China.</w:t>
      </w:r>
    </w:p>
    <w:p w14:paraId="440E744A" w14:textId="77777777" w:rsidR="00DC5852" w:rsidRDefault="001902DE">
      <w:pPr>
        <w:spacing w:beforeLines="50" w:before="156"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Department of Hematology, Strategic Support Force Medical Center, Beijing, China</w:t>
      </w:r>
    </w:p>
    <w:p w14:paraId="79901445" w14:textId="77777777" w:rsidR="00DC5852" w:rsidRDefault="001902DE">
      <w:pPr>
        <w:spacing w:beforeLines="50" w:before="156"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SAFE Pharmaceutical Research Institute Co., Ltd.</w:t>
      </w:r>
    </w:p>
    <w:p w14:paraId="27668FA8" w14:textId="77777777" w:rsidR="00DC5852" w:rsidRDefault="001902DE">
      <w:pPr>
        <w:spacing w:beforeLines="50" w:before="156" w:afterLines="50" w:after="156" w:line="360" w:lineRule="auto"/>
        <w:rPr>
          <w:rFonts w:ascii="TimesNewRomanPSMT" w:hAnsi="TimesNewRomanPSMT" w:hint="eastAsia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†</w:t>
      </w:r>
      <w:r>
        <w:rPr>
          <w:rFonts w:ascii="TimesNewRomanPSMT" w:hAnsi="TimesNewRomanPSMT" w:hint="eastAsia"/>
          <w:sz w:val="24"/>
          <w:szCs w:val="24"/>
        </w:rPr>
        <w:t>These authors contributed equally to this work.</w:t>
      </w:r>
    </w:p>
    <w:p w14:paraId="24A1EBC9" w14:textId="77777777" w:rsidR="00DC5852" w:rsidRDefault="001902DE">
      <w:pPr>
        <w:spacing w:beforeLines="50" w:before="156"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‡ </w:t>
      </w:r>
      <w:r>
        <w:rPr>
          <w:rFonts w:ascii="TimesNewRomanPSMT" w:hAnsi="TimesNewRomanPSMT"/>
          <w:sz w:val="24"/>
          <w:szCs w:val="24"/>
        </w:rPr>
        <w:t>Deceased</w:t>
      </w:r>
    </w:p>
    <w:bookmarkEnd w:id="1"/>
    <w:p w14:paraId="72DF49FE" w14:textId="77777777" w:rsidR="00DC5852" w:rsidRDefault="001902DE">
      <w:pPr>
        <w:spacing w:beforeLines="50" w:before="156"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Corres</w:t>
      </w:r>
      <w:r>
        <w:rPr>
          <w:rFonts w:ascii="Times New Roman" w:hAnsi="Times New Roman" w:cs="Times New Roman"/>
          <w:sz w:val="24"/>
          <w:szCs w:val="24"/>
        </w:rPr>
        <w:t>pondence should be addressed to Zhang Bin: Senior Department of Hemato</w:t>
      </w:r>
      <w:r>
        <w:rPr>
          <w:rFonts w:ascii="Times New Roman" w:hAnsi="Times New Roman" w:cs="Times New Roman" w:hint="eastAsia"/>
          <w:sz w:val="24"/>
          <w:szCs w:val="24"/>
        </w:rPr>
        <w:t>logy</w:t>
      </w:r>
      <w:r>
        <w:rPr>
          <w:rFonts w:ascii="Times New Roman" w:hAnsi="Times New Roman" w:cs="Times New Roman"/>
          <w:sz w:val="24"/>
          <w:szCs w:val="24"/>
        </w:rPr>
        <w:t>, the Fifth Medical Center of Chinese PLA General Hospital, Beijing 100071; PR China. Tel +86 010 66 947 125 Email zb307ctc@163.com;</w:t>
      </w:r>
    </w:p>
    <w:p w14:paraId="7B269C84" w14:textId="77777777" w:rsidR="00DC5852" w:rsidRDefault="001902DE">
      <w:pPr>
        <w:spacing w:beforeLines="50" w:before="156"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Hu </w:t>
      </w:r>
      <w:proofErr w:type="spellStart"/>
      <w:r>
        <w:rPr>
          <w:rFonts w:ascii="Times New Roman" w:hAnsi="Times New Roman" w:cs="Times New Roman"/>
          <w:sz w:val="24"/>
          <w:szCs w:val="24"/>
        </w:rPr>
        <w:t>Liangding</w:t>
      </w:r>
      <w:proofErr w:type="spellEnd"/>
      <w:r>
        <w:rPr>
          <w:rFonts w:ascii="Times New Roman" w:hAnsi="Times New Roman" w:cs="Times New Roman"/>
          <w:sz w:val="24"/>
          <w:szCs w:val="24"/>
        </w:rPr>
        <w:t>: Senior Department of Hemato</w:t>
      </w:r>
      <w:r>
        <w:rPr>
          <w:rFonts w:ascii="Times New Roman" w:hAnsi="Times New Roman" w:cs="Times New Roman" w:hint="eastAsia"/>
          <w:sz w:val="24"/>
          <w:szCs w:val="24"/>
        </w:rPr>
        <w:t>logy</w:t>
      </w:r>
      <w:r>
        <w:rPr>
          <w:rFonts w:ascii="Times New Roman" w:hAnsi="Times New Roman" w:cs="Times New Roman"/>
          <w:sz w:val="24"/>
          <w:szCs w:val="24"/>
        </w:rPr>
        <w:t>, th</w:t>
      </w:r>
      <w:r>
        <w:rPr>
          <w:rFonts w:ascii="Times New Roman" w:hAnsi="Times New Roman" w:cs="Times New Roman"/>
          <w:sz w:val="24"/>
          <w:szCs w:val="24"/>
        </w:rPr>
        <w:t>e Fifth Medical Center of Chinese PLA General Hospital, Beijing 100071; PR China. Tel +86 010 66 947 171 Email huliangding@sohu.com;</w:t>
      </w:r>
    </w:p>
    <w:p w14:paraId="134F6EEA" w14:textId="77777777" w:rsidR="00DC5852" w:rsidRDefault="001902DE">
      <w:pPr>
        <w:spacing w:beforeLines="50" w:before="156"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Wang </w:t>
      </w:r>
      <w:proofErr w:type="spellStart"/>
      <w:r>
        <w:rPr>
          <w:rFonts w:ascii="Times New Roman" w:hAnsi="Times New Roman" w:cs="Times New Roman"/>
          <w:sz w:val="24"/>
          <w:szCs w:val="24"/>
        </w:rPr>
        <w:t>Quanjun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Segoe UI" w:hAnsi="Segoe UI" w:cs="Segoe UI"/>
          <w:color w:val="626469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SAFE Pharmaceutical Research Institute Co., Ltd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chief scientist, China Tel: +86 18611782967 Email wangquanju</w:t>
      </w:r>
      <w:r>
        <w:rPr>
          <w:rFonts w:ascii="Times New Roman" w:hAnsi="Times New Roman" w:cs="Times New Roman"/>
          <w:sz w:val="24"/>
          <w:szCs w:val="24"/>
        </w:rPr>
        <w:t xml:space="preserve">nbeijing@163.com </w:t>
      </w:r>
    </w:p>
    <w:p w14:paraId="695EBD54" w14:textId="77777777" w:rsidR="00DC5852" w:rsidRDefault="00DC5852">
      <w:pPr>
        <w:spacing w:before="50" w:after="50"/>
        <w:rPr>
          <w:rFonts w:ascii="Times New Roman" w:hAnsi="Times New Roman" w:cs="Times New Roman"/>
          <w:b/>
          <w:bCs/>
          <w:sz w:val="24"/>
          <w:szCs w:val="24"/>
        </w:rPr>
      </w:pPr>
    </w:p>
    <w:p w14:paraId="729233CD" w14:textId="77777777" w:rsidR="00DC5852" w:rsidRDefault="00DC5852">
      <w:pPr>
        <w:spacing w:before="50" w:after="5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DA3C13" w14:textId="77777777" w:rsidR="00DC5852" w:rsidRDefault="00DC5852">
      <w:pPr>
        <w:spacing w:before="50" w:after="5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3FA7CD" w14:textId="77777777" w:rsidR="00DC5852" w:rsidRDefault="001902DE">
      <w:pPr>
        <w:spacing w:before="50" w:after="50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19846F2" wp14:editId="39E68E60">
            <wp:extent cx="5266690" cy="3686810"/>
            <wp:effectExtent l="0" t="0" r="0" b="8890"/>
            <wp:docPr id="11104651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46517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8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t>Figure S1 Characterization of different tumor cells.</w:t>
      </w:r>
      <w:r>
        <w:rPr>
          <w:rFonts w:ascii="Times New Roman" w:hAnsi="Times New Roman" w:cs="Times New Roman"/>
        </w:rPr>
        <w:t xml:space="preserve"> </w:t>
      </w:r>
    </w:p>
    <w:p w14:paraId="6D1549E6" w14:textId="21B7A0F6" w:rsidR="00DC5852" w:rsidRDefault="001902DE">
      <w:pPr>
        <w:pStyle w:val="ab"/>
        <w:spacing w:beforeLines="50" w:before="156" w:beforeAutospacing="0" w:afterLines="50" w:after="156" w:afterAutospacing="0" w:line="360" w:lineRule="auto"/>
        <w:jc w:val="both"/>
        <w:rPr>
          <w:rFonts w:ascii="Times New Roman" w:eastAsiaTheme="minorEastAsia" w:hAnsi="Times New Roman" w:cs="Times New Roman"/>
          <w:kern w:val="2"/>
        </w:rPr>
      </w:pPr>
      <w:r>
        <w:rPr>
          <w:rFonts w:ascii="Times New Roman" w:eastAsiaTheme="minorEastAsia" w:hAnsi="Times New Roman" w:cs="Times New Roman"/>
          <w:kern w:val="2"/>
        </w:rPr>
        <w:t xml:space="preserve">The expression of CD19 and PDL1 on engineered tumor cells </w:t>
      </w:r>
      <w:r>
        <w:rPr>
          <w:rFonts w:ascii="Times New Roman" w:eastAsiaTheme="minorEastAsia" w:hAnsi="Times New Roman" w:cs="Times New Roman" w:hint="eastAsia"/>
          <w:kern w:val="2"/>
        </w:rPr>
        <w:t>w</w:t>
      </w:r>
      <w:r>
        <w:rPr>
          <w:rFonts w:ascii="Times New Roman" w:eastAsiaTheme="minorEastAsia" w:hAnsi="Times New Roman" w:cs="Times New Roman"/>
          <w:kern w:val="2"/>
        </w:rPr>
        <w:t xml:space="preserve">as determined by flow cytometry. </w:t>
      </w:r>
      <w:r w:rsidR="00036D98" w:rsidRPr="00036D98">
        <w:rPr>
          <w:rFonts w:ascii="Times New Roman" w:eastAsiaTheme="minorEastAsia" w:hAnsi="Times New Roman" w:cs="Times New Roman"/>
          <w:kern w:val="2"/>
        </w:rPr>
        <w:t>The GFP protein were co-expressed with PDL1 as an indicator of protein level.</w:t>
      </w:r>
      <w:r w:rsidR="00036D98">
        <w:rPr>
          <w:rFonts w:ascii="Times New Roman" w:eastAsiaTheme="minorEastAsia" w:hAnsi="Times New Roman" w:cs="Times New Roman"/>
          <w:kern w:val="2"/>
        </w:rPr>
        <w:t xml:space="preserve"> </w:t>
      </w:r>
      <w:r>
        <w:rPr>
          <w:rFonts w:ascii="Times New Roman" w:eastAsiaTheme="minorEastAsia" w:hAnsi="Times New Roman" w:cs="Times New Roman"/>
          <w:kern w:val="2"/>
        </w:rPr>
        <w:t xml:space="preserve">GFP, </w:t>
      </w:r>
      <w:r>
        <w:rPr>
          <w:rFonts w:ascii="Times New Roman" w:eastAsiaTheme="minorEastAsia" w:hAnsi="Times New Roman" w:cs="Times New Roman"/>
          <w:kern w:val="2"/>
        </w:rPr>
        <w:t>green fluorescent protein.</w:t>
      </w:r>
    </w:p>
    <w:p w14:paraId="64C0E201" w14:textId="77777777" w:rsidR="00DC5852" w:rsidRDefault="00DC5852">
      <w:pPr>
        <w:spacing w:before="50" w:after="50"/>
        <w:rPr>
          <w:rFonts w:ascii="Times New Roman" w:hAnsi="Times New Roman" w:cs="Times New Roman"/>
          <w:b/>
          <w:bCs/>
          <w:sz w:val="24"/>
          <w:szCs w:val="24"/>
        </w:rPr>
      </w:pPr>
    </w:p>
    <w:p w14:paraId="56AB3E77" w14:textId="77777777" w:rsidR="00DC5852" w:rsidRDefault="00DC5852">
      <w:pPr>
        <w:spacing w:before="50" w:after="50"/>
        <w:rPr>
          <w:rFonts w:ascii="Times New Roman" w:hAnsi="Times New Roman" w:cs="Times New Roman"/>
          <w:b/>
          <w:bCs/>
          <w:sz w:val="24"/>
          <w:szCs w:val="24"/>
        </w:rPr>
      </w:pPr>
    </w:p>
    <w:p w14:paraId="02884FF9" w14:textId="77777777" w:rsidR="00DC5852" w:rsidRDefault="00DC5852">
      <w:pPr>
        <w:spacing w:before="50" w:after="50"/>
        <w:rPr>
          <w:rFonts w:ascii="Times New Roman" w:hAnsi="Times New Roman" w:cs="Times New Roman"/>
          <w:b/>
          <w:bCs/>
          <w:sz w:val="24"/>
          <w:szCs w:val="24"/>
        </w:rPr>
      </w:pPr>
    </w:p>
    <w:p w14:paraId="4270B6C8" w14:textId="77777777" w:rsidR="00DC5852" w:rsidRDefault="00DC5852">
      <w:pPr>
        <w:spacing w:before="50" w:after="5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2100C1" w14:textId="77777777" w:rsidR="00DC5852" w:rsidRDefault="00DC5852">
      <w:pPr>
        <w:spacing w:before="50" w:after="50"/>
        <w:rPr>
          <w:rFonts w:ascii="Times New Roman" w:hAnsi="Times New Roman" w:cs="Times New Roman"/>
          <w:b/>
          <w:bCs/>
          <w:sz w:val="24"/>
          <w:szCs w:val="24"/>
        </w:rPr>
      </w:pPr>
    </w:p>
    <w:p w14:paraId="0226E4C0" w14:textId="77777777" w:rsidR="00DC5852" w:rsidRDefault="00DC5852">
      <w:pPr>
        <w:spacing w:before="50" w:after="50"/>
        <w:rPr>
          <w:rFonts w:ascii="Times New Roman" w:hAnsi="Times New Roman" w:cs="Times New Roman"/>
          <w:b/>
          <w:bCs/>
          <w:sz w:val="24"/>
          <w:szCs w:val="24"/>
        </w:rPr>
      </w:pPr>
    </w:p>
    <w:p w14:paraId="29225E50" w14:textId="77777777" w:rsidR="00DC5852" w:rsidRDefault="00DC5852">
      <w:pPr>
        <w:spacing w:before="50" w:after="5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88DE43" w14:textId="77777777" w:rsidR="00DC5852" w:rsidRDefault="00DC5852">
      <w:pPr>
        <w:spacing w:before="50" w:after="5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3677C" w14:textId="77777777" w:rsidR="00DC5852" w:rsidRDefault="00DC5852">
      <w:pPr>
        <w:spacing w:before="50" w:after="50"/>
        <w:rPr>
          <w:rFonts w:ascii="Times New Roman" w:hAnsi="Times New Roman" w:cs="Times New Roman"/>
          <w:b/>
          <w:bCs/>
          <w:sz w:val="24"/>
          <w:szCs w:val="24"/>
        </w:rPr>
      </w:pPr>
    </w:p>
    <w:p w14:paraId="4265F443" w14:textId="77777777" w:rsidR="00DC5852" w:rsidRDefault="00DC5852">
      <w:pPr>
        <w:spacing w:before="50" w:after="50"/>
        <w:rPr>
          <w:rFonts w:ascii="Times New Roman" w:hAnsi="Times New Roman" w:cs="Times New Roman"/>
          <w:b/>
          <w:bCs/>
          <w:sz w:val="24"/>
          <w:szCs w:val="24"/>
        </w:rPr>
      </w:pPr>
    </w:p>
    <w:p w14:paraId="5C587DB0" w14:textId="77777777" w:rsidR="00DC5852" w:rsidRDefault="00DC5852">
      <w:pPr>
        <w:spacing w:before="50" w:after="50"/>
        <w:rPr>
          <w:rFonts w:ascii="Times New Roman" w:hAnsi="Times New Roman" w:cs="Times New Roman"/>
          <w:b/>
          <w:bCs/>
          <w:sz w:val="24"/>
          <w:szCs w:val="24"/>
        </w:rPr>
      </w:pPr>
    </w:p>
    <w:p w14:paraId="49DAB07D" w14:textId="77777777" w:rsidR="00DC5852" w:rsidRDefault="00DC5852">
      <w:pPr>
        <w:spacing w:before="50" w:after="50"/>
        <w:rPr>
          <w:rFonts w:ascii="Times New Roman" w:hAnsi="Times New Roman" w:cs="Times New Roman"/>
          <w:b/>
          <w:bCs/>
          <w:sz w:val="24"/>
          <w:szCs w:val="24"/>
        </w:rPr>
      </w:pPr>
    </w:p>
    <w:p w14:paraId="65B1864C" w14:textId="77777777" w:rsidR="00DC5852" w:rsidRDefault="00DC5852">
      <w:pPr>
        <w:spacing w:before="50" w:after="50"/>
        <w:rPr>
          <w:rFonts w:ascii="Times New Roman" w:hAnsi="Times New Roman" w:cs="Times New Roman"/>
          <w:b/>
          <w:bCs/>
          <w:sz w:val="24"/>
          <w:szCs w:val="24"/>
        </w:rPr>
      </w:pPr>
    </w:p>
    <w:p w14:paraId="6679F81C" w14:textId="77777777" w:rsidR="00DC5852" w:rsidRDefault="00DC5852">
      <w:pPr>
        <w:spacing w:before="50" w:after="50"/>
        <w:rPr>
          <w:rFonts w:ascii="Times New Roman" w:hAnsi="Times New Roman" w:cs="Times New Roman"/>
          <w:b/>
          <w:bCs/>
          <w:sz w:val="24"/>
          <w:szCs w:val="24"/>
        </w:rPr>
      </w:pPr>
    </w:p>
    <w:p w14:paraId="70303697" w14:textId="77777777" w:rsidR="00DC5852" w:rsidRDefault="001902DE">
      <w:pPr>
        <w:spacing w:before="50" w:after="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CF0D842" wp14:editId="1EA53E96">
            <wp:extent cx="5274310" cy="1119505"/>
            <wp:effectExtent l="0" t="0" r="2540" b="4445"/>
            <wp:docPr id="17022524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252481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B38B1" w14:textId="77777777" w:rsidR="00DC5852" w:rsidRDefault="001902DE">
      <w:pPr>
        <w:spacing w:before="50" w:after="5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S2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hAnsi="Times New Roman" w:cs="Times New Roman" w:hint="eastAsia"/>
          <w:sz w:val="24"/>
          <w:szCs w:val="24"/>
        </w:rPr>
        <w:t>mice</w:t>
      </w:r>
      <w:r>
        <w:rPr>
          <w:rFonts w:ascii="Times New Roman" w:hAnsi="Times New Roman" w:cs="Times New Roman"/>
          <w:sz w:val="24"/>
          <w:szCs w:val="24"/>
        </w:rPr>
        <w:t xml:space="preserve"> administered PE8HT CAR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T cells presented severe side effects at day 60 and 62, including depilation and irritability.</w:t>
      </w:r>
    </w:p>
    <w:p w14:paraId="37AA9F44" w14:textId="77777777" w:rsidR="00DC5852" w:rsidRDefault="00DC5852">
      <w:pPr>
        <w:spacing w:before="50" w:after="50"/>
        <w:rPr>
          <w:rFonts w:ascii="Times New Roman" w:hAnsi="Times New Roman" w:cs="Times New Roman"/>
          <w:b/>
          <w:bCs/>
          <w:sz w:val="20"/>
          <w:szCs w:val="20"/>
        </w:rPr>
      </w:pPr>
    </w:p>
    <w:p w14:paraId="27ACB9B0" w14:textId="77777777" w:rsidR="00DC5852" w:rsidRDefault="00DC5852">
      <w:pPr>
        <w:spacing w:before="50" w:after="50"/>
        <w:rPr>
          <w:rFonts w:ascii="Times New Roman" w:hAnsi="Times New Roman" w:cs="Times New Roman"/>
          <w:b/>
          <w:bCs/>
          <w:sz w:val="20"/>
          <w:szCs w:val="20"/>
        </w:rPr>
      </w:pPr>
    </w:p>
    <w:p w14:paraId="285C6171" w14:textId="77777777" w:rsidR="00DC5852" w:rsidRDefault="00DC5852">
      <w:pPr>
        <w:spacing w:before="50" w:after="50"/>
        <w:rPr>
          <w:rFonts w:ascii="Times New Roman" w:hAnsi="Times New Roman" w:cs="Times New Roman"/>
          <w:b/>
          <w:bCs/>
          <w:sz w:val="20"/>
          <w:szCs w:val="20"/>
        </w:rPr>
      </w:pPr>
    </w:p>
    <w:p w14:paraId="7B12F0FB" w14:textId="77777777" w:rsidR="00DC5852" w:rsidRDefault="00DC5852">
      <w:pPr>
        <w:spacing w:before="50" w:after="50"/>
        <w:rPr>
          <w:rFonts w:ascii="Times New Roman" w:hAnsi="Times New Roman" w:cs="Times New Roman"/>
          <w:b/>
          <w:bCs/>
          <w:sz w:val="20"/>
          <w:szCs w:val="20"/>
        </w:rPr>
      </w:pPr>
    </w:p>
    <w:p w14:paraId="20B3D196" w14:textId="77777777" w:rsidR="00DC5852" w:rsidRDefault="00DC5852">
      <w:pPr>
        <w:spacing w:before="50" w:after="50"/>
        <w:rPr>
          <w:rFonts w:ascii="Times New Roman" w:hAnsi="Times New Roman" w:cs="Times New Roman"/>
          <w:b/>
          <w:bCs/>
          <w:sz w:val="20"/>
          <w:szCs w:val="20"/>
        </w:rPr>
      </w:pPr>
    </w:p>
    <w:p w14:paraId="2D7C1979" w14:textId="77777777" w:rsidR="00DC5852" w:rsidRDefault="00DC5852">
      <w:pPr>
        <w:spacing w:before="50" w:after="50"/>
        <w:rPr>
          <w:rFonts w:ascii="Times New Roman" w:hAnsi="Times New Roman" w:cs="Times New Roman"/>
          <w:b/>
          <w:bCs/>
          <w:sz w:val="20"/>
          <w:szCs w:val="20"/>
        </w:rPr>
      </w:pPr>
    </w:p>
    <w:p w14:paraId="0CE9F05B" w14:textId="77777777" w:rsidR="00DC5852" w:rsidRDefault="00DC5852">
      <w:pPr>
        <w:spacing w:before="50" w:after="50"/>
        <w:rPr>
          <w:rFonts w:ascii="Times New Roman" w:hAnsi="Times New Roman" w:cs="Times New Roman"/>
          <w:b/>
          <w:bCs/>
          <w:sz w:val="20"/>
          <w:szCs w:val="20"/>
        </w:rPr>
      </w:pPr>
    </w:p>
    <w:p w14:paraId="05B68BC8" w14:textId="77777777" w:rsidR="00DC5852" w:rsidRDefault="00DC5852">
      <w:pPr>
        <w:spacing w:before="50" w:after="50"/>
        <w:rPr>
          <w:rFonts w:ascii="Times New Roman" w:hAnsi="Times New Roman" w:cs="Times New Roman"/>
          <w:b/>
          <w:bCs/>
          <w:sz w:val="20"/>
          <w:szCs w:val="20"/>
        </w:rPr>
      </w:pPr>
    </w:p>
    <w:p w14:paraId="471D3E63" w14:textId="77777777" w:rsidR="00DC5852" w:rsidRDefault="00DC5852">
      <w:pPr>
        <w:spacing w:before="50" w:after="50"/>
        <w:rPr>
          <w:rFonts w:ascii="Times New Roman" w:hAnsi="Times New Roman" w:cs="Times New Roman"/>
          <w:b/>
          <w:bCs/>
          <w:sz w:val="20"/>
          <w:szCs w:val="20"/>
        </w:rPr>
      </w:pPr>
    </w:p>
    <w:p w14:paraId="47EF47C9" w14:textId="77777777" w:rsidR="00DC5852" w:rsidRDefault="00DC5852">
      <w:pPr>
        <w:spacing w:before="50" w:after="50"/>
        <w:rPr>
          <w:rFonts w:ascii="Times New Roman" w:hAnsi="Times New Roman" w:cs="Times New Roman"/>
          <w:b/>
          <w:bCs/>
          <w:sz w:val="20"/>
          <w:szCs w:val="20"/>
        </w:rPr>
      </w:pPr>
    </w:p>
    <w:p w14:paraId="41A1D278" w14:textId="77777777" w:rsidR="00DC5852" w:rsidRDefault="00DC5852">
      <w:pPr>
        <w:spacing w:before="50" w:after="50"/>
        <w:rPr>
          <w:rFonts w:ascii="Times New Roman" w:hAnsi="Times New Roman" w:cs="Times New Roman"/>
          <w:b/>
          <w:bCs/>
          <w:sz w:val="20"/>
          <w:szCs w:val="20"/>
        </w:rPr>
      </w:pPr>
    </w:p>
    <w:p w14:paraId="7814275F" w14:textId="77777777" w:rsidR="00DC5852" w:rsidRDefault="00DC5852">
      <w:pPr>
        <w:spacing w:before="50" w:after="50"/>
        <w:rPr>
          <w:rFonts w:ascii="Times New Roman" w:hAnsi="Times New Roman" w:cs="Times New Roman"/>
          <w:b/>
          <w:bCs/>
          <w:sz w:val="20"/>
          <w:szCs w:val="20"/>
        </w:rPr>
      </w:pPr>
    </w:p>
    <w:p w14:paraId="3837694A" w14:textId="77777777" w:rsidR="00DC5852" w:rsidRDefault="00DC5852">
      <w:pPr>
        <w:spacing w:before="50" w:after="50"/>
        <w:rPr>
          <w:rFonts w:ascii="Times New Roman" w:hAnsi="Times New Roman" w:cs="Times New Roman"/>
          <w:b/>
          <w:bCs/>
          <w:sz w:val="20"/>
          <w:szCs w:val="20"/>
        </w:rPr>
      </w:pPr>
    </w:p>
    <w:p w14:paraId="40CF0670" w14:textId="77777777" w:rsidR="00DC5852" w:rsidRDefault="00DC5852">
      <w:pPr>
        <w:spacing w:before="50" w:after="50"/>
        <w:rPr>
          <w:rFonts w:ascii="Times New Roman" w:hAnsi="Times New Roman" w:cs="Times New Roman"/>
          <w:b/>
          <w:bCs/>
          <w:sz w:val="20"/>
          <w:szCs w:val="20"/>
        </w:rPr>
      </w:pPr>
    </w:p>
    <w:p w14:paraId="6136C642" w14:textId="77777777" w:rsidR="00DC5852" w:rsidRDefault="001902DE">
      <w:pPr>
        <w:pStyle w:val="ab"/>
        <w:spacing w:beforeLines="50" w:before="156" w:beforeAutospacing="0" w:afterLines="50" w:after="156" w:afterAutospacing="0"/>
        <w:jc w:val="both"/>
        <w:rPr>
          <w:rFonts w:ascii="Times New Roman" w:eastAsiaTheme="minorEastAsia" w:hAnsi="Times New Roman" w:cs="Times New Roman"/>
          <w:b/>
          <w:bCs/>
          <w:kern w:val="2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45EB577" wp14:editId="0064802F">
            <wp:extent cx="4991100" cy="40005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0CE70" w14:textId="77777777" w:rsidR="00DC5852" w:rsidRDefault="001902DE">
      <w:pPr>
        <w:pStyle w:val="ab"/>
        <w:spacing w:beforeLines="50" w:before="156" w:beforeAutospacing="0" w:afterLines="50" w:after="156" w:afterAutospacing="0"/>
        <w:jc w:val="both"/>
        <w:rPr>
          <w:rFonts w:ascii="Times New Roman" w:eastAsiaTheme="minorEastAsia" w:hAnsi="Times New Roman" w:cs="Times New Roman"/>
          <w:b/>
          <w:bCs/>
          <w:kern w:val="2"/>
        </w:rPr>
      </w:pPr>
      <w:r>
        <w:rPr>
          <w:rFonts w:ascii="Times New Roman" w:eastAsiaTheme="minorEastAsia" w:hAnsi="Times New Roman" w:cs="Times New Roman"/>
          <w:b/>
          <w:bCs/>
          <w:kern w:val="2"/>
        </w:rPr>
        <w:t xml:space="preserve">Figure S3 Heat map of selected cytokines enriched in genes significantly upregulated or downregulated in 2G T vs. PEPT CAR-T cells after stimulation with NALM-6-PDL1 cells at </w:t>
      </w:r>
      <w:proofErr w:type="gramStart"/>
      <w:r>
        <w:rPr>
          <w:rFonts w:ascii="Times New Roman" w:eastAsiaTheme="minorEastAsia" w:hAnsi="Times New Roman" w:cs="Times New Roman"/>
          <w:b/>
          <w:bCs/>
          <w:kern w:val="2"/>
        </w:rPr>
        <w:t>E:T</w:t>
      </w:r>
      <w:proofErr w:type="gramEnd"/>
      <w:r>
        <w:rPr>
          <w:rFonts w:ascii="Times New Roman" w:eastAsiaTheme="minorEastAsia" w:hAnsi="Times New Roman" w:cs="Times New Roman"/>
          <w:b/>
          <w:bCs/>
          <w:kern w:val="2"/>
        </w:rPr>
        <w:t xml:space="preserve"> of 1:1 for 48 hours. </w:t>
      </w:r>
    </w:p>
    <w:p w14:paraId="55DC46D9" w14:textId="77777777" w:rsidR="00DC5852" w:rsidRDefault="001902DE">
      <w:pPr>
        <w:pStyle w:val="ab"/>
        <w:spacing w:beforeLines="50" w:before="156" w:beforeAutospacing="0" w:afterLines="50" w:after="156" w:afterAutospacing="0"/>
        <w:jc w:val="both"/>
        <w:rPr>
          <w:rFonts w:eastAsiaTheme="minorEastAsia"/>
          <w:sz w:val="28"/>
          <w:szCs w:val="28"/>
        </w:rPr>
      </w:pPr>
      <w:r>
        <w:rPr>
          <w:rFonts w:ascii="Times New Roman" w:eastAsia="等线" w:hAnsi="Times New Roman" w:cs="Times New Roman"/>
          <w:kern w:val="2"/>
          <w:sz w:val="21"/>
          <w:szCs w:val="22"/>
          <w:lang w:bidi="ar"/>
        </w:rPr>
        <w:t>Gene set enrichment analysis (GSEA) revealed that PE</w:t>
      </w:r>
      <w:r>
        <w:rPr>
          <w:rFonts w:ascii="Times New Roman" w:eastAsia="等线" w:hAnsi="Times New Roman" w:cs="Times New Roman" w:hint="eastAsia"/>
          <w:kern w:val="2"/>
          <w:sz w:val="21"/>
          <w:szCs w:val="22"/>
          <w:lang w:bidi="ar"/>
        </w:rPr>
        <w:t>P</w:t>
      </w:r>
      <w:r>
        <w:rPr>
          <w:rFonts w:ascii="Times New Roman" w:eastAsia="等线" w:hAnsi="Times New Roman" w:cs="Times New Roman"/>
          <w:kern w:val="2"/>
          <w:sz w:val="21"/>
          <w:szCs w:val="22"/>
          <w:lang w:bidi="ar"/>
        </w:rPr>
        <w:t xml:space="preserve">T </w:t>
      </w:r>
      <w:r>
        <w:rPr>
          <w:rFonts w:ascii="Times New Roman" w:eastAsia="等线" w:hAnsi="Times New Roman" w:cs="Times New Roman"/>
          <w:kern w:val="2"/>
          <w:sz w:val="21"/>
          <w:szCs w:val="22"/>
          <w:lang w:bidi="ar"/>
        </w:rPr>
        <w:t>CAR-T cells exhibited a decrease transcriptome level of proinflammatory cytokines compared to 2G CAR-T cells when stimulated with NALM-6-PDL1 cells</w:t>
      </w:r>
      <w:r>
        <w:rPr>
          <w:rFonts w:ascii="Times New Roman" w:eastAsia="等线" w:hAnsi="Times New Roman" w:cs="Times New Roman" w:hint="eastAsia"/>
          <w:kern w:val="2"/>
          <w:sz w:val="21"/>
          <w:szCs w:val="22"/>
          <w:lang w:bidi="ar"/>
        </w:rPr>
        <w:t xml:space="preserve">. </w:t>
      </w:r>
      <w:r>
        <w:rPr>
          <w:rFonts w:ascii="Times New Roman" w:eastAsia="等线" w:hAnsi="Times New Roman" w:cs="Times New Roman"/>
          <w:kern w:val="2"/>
          <w:sz w:val="21"/>
          <w:szCs w:val="22"/>
          <w:lang w:bidi="ar"/>
        </w:rPr>
        <w:t>For each pathway, a single sample enrichment score was calculated, and the mean was taken per response grou</w:t>
      </w:r>
      <w:r>
        <w:rPr>
          <w:rFonts w:ascii="Times New Roman" w:eastAsia="等线" w:hAnsi="Times New Roman" w:cs="Times New Roman"/>
          <w:kern w:val="2"/>
          <w:sz w:val="21"/>
          <w:szCs w:val="22"/>
          <w:lang w:bidi="ar"/>
        </w:rPr>
        <w:t>p. A color gradient ranging from dark blue to dark red indicates the mean normalized enrichment score (ranging from –2 to +2) of pathways enriched in induced (red) or repressed (blue) genes.</w:t>
      </w:r>
      <w:r>
        <w:rPr>
          <w:rFonts w:ascii="Times New Roman" w:eastAsia="等线" w:hAnsi="Times New Roman" w:cs="Times New Roman" w:hint="eastAsia"/>
          <w:kern w:val="2"/>
          <w:sz w:val="21"/>
          <w:szCs w:val="22"/>
          <w:lang w:bidi="ar"/>
        </w:rPr>
        <w:t xml:space="preserve"> The result is mean values </w:t>
      </w:r>
      <w:r>
        <w:rPr>
          <w:rFonts w:ascii="Times New Roman" w:eastAsia="等线" w:hAnsi="Times New Roman" w:cs="Times New Roman" w:hint="eastAsia"/>
          <w:kern w:val="2"/>
          <w:sz w:val="21"/>
          <w:szCs w:val="22"/>
          <w:lang w:bidi="ar"/>
        </w:rPr>
        <w:t>±</w:t>
      </w:r>
      <w:r>
        <w:rPr>
          <w:rFonts w:ascii="Times New Roman" w:eastAsia="等线" w:hAnsi="Times New Roman" w:cs="Times New Roman" w:hint="eastAsia"/>
          <w:kern w:val="2"/>
          <w:sz w:val="21"/>
          <w:szCs w:val="22"/>
          <w:lang w:bidi="ar"/>
        </w:rPr>
        <w:t xml:space="preserve"> SD of triplicate from a single experi</w:t>
      </w:r>
      <w:r>
        <w:rPr>
          <w:rFonts w:ascii="Times New Roman" w:eastAsia="等线" w:hAnsi="Times New Roman" w:cs="Times New Roman" w:hint="eastAsia"/>
          <w:kern w:val="2"/>
          <w:sz w:val="21"/>
          <w:szCs w:val="22"/>
          <w:lang w:bidi="ar"/>
        </w:rPr>
        <w:t>ment.</w:t>
      </w:r>
    </w:p>
    <w:p w14:paraId="7E96DA74" w14:textId="77777777" w:rsidR="00DC5852" w:rsidRDefault="00DC5852">
      <w:pPr>
        <w:spacing w:before="50" w:after="50"/>
        <w:rPr>
          <w:rFonts w:ascii="Times New Roman" w:hAnsi="Times New Roman" w:cs="Times New Roman"/>
          <w:b/>
          <w:bCs/>
          <w:sz w:val="20"/>
          <w:szCs w:val="20"/>
        </w:rPr>
      </w:pPr>
    </w:p>
    <w:p w14:paraId="7C479C5B" w14:textId="77777777" w:rsidR="00DC5852" w:rsidRDefault="001902DE">
      <w:pPr>
        <w:spacing w:before="50" w:after="5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2A963868" wp14:editId="5FFEC380">
            <wp:extent cx="4972050" cy="469328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3624" cy="4695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657F3" w14:textId="77777777" w:rsidR="00DC5852" w:rsidRDefault="001902DE">
      <w:pPr>
        <w:spacing w:before="50" w:after="5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 Schematic diagram and expression efficiency of 2G, PD1-S28,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PE8HT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PEPT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PE8T</w:t>
      </w:r>
    </w:p>
    <w:p w14:paraId="3FA90016" w14:textId="77777777" w:rsidR="00DC5852" w:rsidRDefault="001902DE">
      <w:pPr>
        <w:spacing w:before="50" w:after="5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Diagrammatic model of 2G, PD1-S28, </w:t>
      </w:r>
      <w:r>
        <w:rPr>
          <w:rFonts w:ascii="Times New Roman" w:hAnsi="Times New Roman" w:cs="Times New Roman" w:hint="eastAsia"/>
          <w:sz w:val="24"/>
          <w:szCs w:val="24"/>
        </w:rPr>
        <w:t>PE8HT</w:t>
      </w:r>
      <w:r>
        <w:rPr>
          <w:rFonts w:ascii="Times New Roman" w:hAnsi="Times New Roman" w:cs="Times New Roman"/>
          <w:sz w:val="24"/>
          <w:szCs w:val="24"/>
        </w:rPr>
        <w:t xml:space="preserve">, PEPT and PE8T Schematic of five </w:t>
      </w:r>
      <w:r>
        <w:rPr>
          <w:rFonts w:ascii="Times New Roman" w:eastAsia="微软雅黑" w:hAnsi="Times New Roman" w:cs="Times New Roman"/>
          <w:kern w:val="0"/>
          <w:sz w:val="24"/>
          <w:szCs w:val="24"/>
        </w:rPr>
        <w:t>chimeric antigen receptors (</w:t>
      </w:r>
      <w:r>
        <w:rPr>
          <w:rFonts w:ascii="Times New Roman" w:hAnsi="Times New Roman" w:cs="Times New Roman"/>
          <w:sz w:val="24"/>
          <w:szCs w:val="24"/>
        </w:rPr>
        <w:t xml:space="preserve">CARs) containing variations in the hinge, extramembrane, and transmembrane domains. </w:t>
      </w:r>
    </w:p>
    <w:p w14:paraId="51751AAB" w14:textId="35D9024F" w:rsidR="00DC5852" w:rsidRDefault="001902DE">
      <w:pPr>
        <w:numPr>
          <w:ilvl w:val="0"/>
          <w:numId w:val="1"/>
        </w:numPr>
        <w:spacing w:before="50" w:after="5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Expression efficiency of 2G, PD1-S28, </w:t>
      </w:r>
      <w:r>
        <w:rPr>
          <w:rFonts w:ascii="Times New Roman" w:hAnsi="Times New Roman" w:cs="Times New Roman" w:hint="eastAsia"/>
          <w:sz w:val="24"/>
          <w:szCs w:val="24"/>
        </w:rPr>
        <w:t>P</w:t>
      </w:r>
      <w:r w:rsidRPr="00661B5D">
        <w:rPr>
          <w:rFonts w:ascii="Times New Roman" w:hAnsi="Times New Roman" w:cs="Times New Roman" w:hint="eastAsia"/>
          <w:sz w:val="24"/>
          <w:szCs w:val="24"/>
        </w:rPr>
        <w:t>E8HT</w:t>
      </w:r>
      <w:r w:rsidRPr="00661B5D">
        <w:rPr>
          <w:rFonts w:ascii="Times New Roman" w:hAnsi="Times New Roman" w:cs="Times New Roman"/>
          <w:sz w:val="24"/>
          <w:szCs w:val="24"/>
        </w:rPr>
        <w:t xml:space="preserve">, PEPT and PE8T on T cells 5-6 days after culture </w:t>
      </w:r>
      <w:r w:rsidRPr="00F20AD9">
        <w:rPr>
          <w:rFonts w:ascii="Times New Roman" w:hAnsi="Times New Roman" w:cs="Times New Roman"/>
          <w:i/>
          <w:iCs/>
          <w:sz w:val="24"/>
          <w:szCs w:val="24"/>
        </w:rPr>
        <w:t>in vitro</w:t>
      </w:r>
      <w:r w:rsidRPr="00661B5D">
        <w:rPr>
          <w:rFonts w:ascii="Times New Roman" w:hAnsi="Times New Roman" w:cs="Times New Roman"/>
          <w:sz w:val="24"/>
          <w:szCs w:val="24"/>
        </w:rPr>
        <w:t xml:space="preserve"> determined by flow cytometry </w:t>
      </w:r>
      <w:r w:rsidRPr="00661B5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mean ± SD, n = 5).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Results are repr</w:t>
      </w:r>
      <w:r>
        <w:rPr>
          <w:rFonts w:ascii="Times New Roman" w:hAnsi="Times New Roman" w:cs="Times New Roman"/>
          <w:sz w:val="24"/>
          <w:szCs w:val="24"/>
        </w:rPr>
        <w:t>esentative of five experiments with T cells from at least three different healthy donors.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Representative plots are shown. </w:t>
      </w:r>
    </w:p>
    <w:p w14:paraId="148CE153" w14:textId="77777777" w:rsidR="00DC5852" w:rsidRDefault="00DC5852">
      <w:pPr>
        <w:spacing w:before="50" w:after="50" w:line="360" w:lineRule="auto"/>
        <w:rPr>
          <w:rFonts w:ascii="Times New Roman" w:hAnsi="Times New Roman" w:cs="Times New Roman"/>
          <w:sz w:val="24"/>
          <w:szCs w:val="24"/>
        </w:rPr>
      </w:pPr>
    </w:p>
    <w:p w14:paraId="7BACE066" w14:textId="77777777" w:rsidR="00DC5852" w:rsidRDefault="00DC5852">
      <w:pPr>
        <w:spacing w:before="50" w:after="50" w:line="360" w:lineRule="auto"/>
        <w:rPr>
          <w:rFonts w:ascii="Times New Roman" w:hAnsi="Times New Roman" w:cs="Times New Roman"/>
          <w:sz w:val="24"/>
          <w:szCs w:val="24"/>
        </w:rPr>
      </w:pPr>
    </w:p>
    <w:p w14:paraId="3229B28D" w14:textId="77777777" w:rsidR="00DC5852" w:rsidRDefault="00DC5852">
      <w:pPr>
        <w:spacing w:before="50" w:after="50" w:line="360" w:lineRule="auto"/>
        <w:rPr>
          <w:rFonts w:ascii="Times New Roman" w:hAnsi="Times New Roman" w:cs="Times New Roman"/>
          <w:sz w:val="24"/>
          <w:szCs w:val="24"/>
        </w:rPr>
      </w:pPr>
    </w:p>
    <w:p w14:paraId="04B38AB1" w14:textId="77777777" w:rsidR="00DC5852" w:rsidRDefault="001902DE">
      <w:pPr>
        <w:pStyle w:val="ab"/>
        <w:spacing w:beforeLines="50" w:before="156" w:beforeAutospacing="0" w:afterLines="50" w:after="156" w:afterAutospacing="0"/>
        <w:jc w:val="both"/>
        <w:rPr>
          <w:rFonts w:ascii="Times New Roman" w:eastAsia="微软雅黑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B9EE5EF" wp14:editId="29E7D2E6">
            <wp:extent cx="5274310" cy="5888355"/>
            <wp:effectExtent l="0" t="0" r="6350" b="19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8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C5601" w14:textId="77777777" w:rsidR="00DC5852" w:rsidRDefault="001902DE">
      <w:pPr>
        <w:pStyle w:val="ab"/>
        <w:spacing w:beforeLines="50" w:before="156" w:beforeAutospacing="0" w:afterLines="50" w:after="156" w:afterAutospacing="0"/>
        <w:jc w:val="both"/>
        <w:rPr>
          <w:rFonts w:ascii="Times New Roman" w:eastAsiaTheme="minorEastAsia" w:hAnsi="Times New Roman" w:cs="Times New Roman"/>
          <w:kern w:val="2"/>
        </w:rPr>
      </w:pPr>
      <w:r>
        <w:rPr>
          <w:rFonts w:ascii="Times New Roman" w:eastAsiaTheme="minorEastAsia" w:hAnsi="Times New Roman" w:cs="Times New Roman"/>
          <w:b/>
          <w:bCs/>
          <w:kern w:val="2"/>
        </w:rPr>
        <w:t>Figure S</w:t>
      </w:r>
      <w:r>
        <w:rPr>
          <w:rFonts w:ascii="Times New Roman" w:eastAsiaTheme="minorEastAsia" w:hAnsi="Times New Roman" w:cs="Times New Roman" w:hint="eastAsia"/>
          <w:b/>
          <w:bCs/>
          <w:kern w:val="2"/>
        </w:rPr>
        <w:t>5</w:t>
      </w:r>
      <w:r>
        <w:rPr>
          <w:rFonts w:ascii="Times New Roman" w:eastAsiaTheme="minorEastAsia" w:hAnsi="Times New Roman" w:cs="Times New Roman"/>
          <w:b/>
          <w:bCs/>
          <w:kern w:val="2"/>
        </w:rPr>
        <w:t xml:space="preserve"> Heat map of selected pathways enriched in genes significantly upregulated or downregulated in 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"/>
        </w:rPr>
        <w:t>2G T</w:t>
      </w:r>
      <w:r>
        <w:rPr>
          <w:rFonts w:ascii="Times New Roman" w:eastAsiaTheme="minorEastAsia" w:hAnsi="Times New Roman" w:cs="Times New Roman"/>
          <w:b/>
          <w:bCs/>
          <w:kern w:val="2"/>
        </w:rPr>
        <w:t xml:space="preserve"> vs. </w:t>
      </w:r>
      <w:r>
        <w:rPr>
          <w:rFonts w:ascii="Times New Roman" w:eastAsiaTheme="minorEastAsia" w:hAnsi="Times New Roman" w:cs="Times New Roman" w:hint="eastAsia"/>
          <w:b/>
          <w:bCs/>
          <w:kern w:val="2"/>
        </w:rPr>
        <w:t>PE8T</w:t>
      </w:r>
      <w:r>
        <w:rPr>
          <w:rFonts w:ascii="Times New Roman" w:eastAsiaTheme="minorEastAsia" w:hAnsi="Times New Roman" w:cs="Times New Roman"/>
          <w:b/>
          <w:bCs/>
          <w:kern w:val="2"/>
        </w:rPr>
        <w:t xml:space="preserve"> CAR-T cells after stimulation with NALM-6-PDL1 cells at E: T of 1:1 for 48 hours.</w:t>
      </w:r>
      <w:r>
        <w:rPr>
          <w:rFonts w:ascii="Times New Roman" w:eastAsiaTheme="minorEastAsia" w:hAnsi="Times New Roman" w:cs="Times New Roman"/>
          <w:kern w:val="2"/>
        </w:rPr>
        <w:t xml:space="preserve"> </w:t>
      </w:r>
    </w:p>
    <w:p w14:paraId="7DDC5CEB" w14:textId="77777777" w:rsidR="00DC5852" w:rsidRDefault="001902DE">
      <w:pPr>
        <w:pStyle w:val="ab"/>
        <w:spacing w:beforeLines="50" w:before="156" w:beforeAutospacing="0" w:afterLines="50" w:after="156" w:afterAutospacing="0"/>
        <w:jc w:val="both"/>
        <w:rPr>
          <w:rFonts w:ascii="Times New Roman" w:eastAsiaTheme="minorEastAsia" w:hAnsi="Times New Roman" w:cs="Times New Roman"/>
          <w:kern w:val="2"/>
        </w:rPr>
      </w:pPr>
      <w:r>
        <w:rPr>
          <w:rFonts w:ascii="Times New Roman" w:eastAsiaTheme="minorEastAsia" w:hAnsi="Times New Roman" w:cs="Times New Roman" w:hint="eastAsia"/>
          <w:kern w:val="2"/>
        </w:rPr>
        <w:t>PE8T CAR-T cells exhibited enrichment in memory-related genes an</w:t>
      </w:r>
      <w:r>
        <w:rPr>
          <w:rFonts w:ascii="Times New Roman" w:eastAsiaTheme="minorEastAsia" w:hAnsi="Times New Roman" w:cs="Times New Roman" w:hint="eastAsia"/>
          <w:kern w:val="2"/>
        </w:rPr>
        <w:t xml:space="preserve">d demonstrated lower levels of effector differentiation, exhaustion, and apoptosis compared to 2G CAR-T cells when challenged with CD19+PDL1+ tumor cells. </w:t>
      </w:r>
      <w:r>
        <w:rPr>
          <w:rFonts w:ascii="Times New Roman" w:eastAsiaTheme="minorEastAsia" w:hAnsi="Times New Roman" w:cs="Times New Roman"/>
          <w:kern w:val="2"/>
        </w:rPr>
        <w:t>For each pathway, a single sample enrichment score was calculated, and the mean was taken per respons</w:t>
      </w:r>
      <w:r>
        <w:rPr>
          <w:rFonts w:ascii="Times New Roman" w:eastAsiaTheme="minorEastAsia" w:hAnsi="Times New Roman" w:cs="Times New Roman"/>
          <w:kern w:val="2"/>
        </w:rPr>
        <w:t>e group. A color gradient ranging from dark blue to dark red indicates the mean normalized enrichment score (ranging from –2 to +2) of pathways enriched in induced (red) or repressed (blue) genes.</w:t>
      </w:r>
    </w:p>
    <w:p w14:paraId="09E5AD9E" w14:textId="77777777" w:rsidR="00DC5852" w:rsidRDefault="00DC5852">
      <w:pPr>
        <w:spacing w:before="50" w:after="50" w:line="360" w:lineRule="auto"/>
        <w:rPr>
          <w:rFonts w:ascii="Times New Roman" w:hAnsi="Times New Roman" w:cs="Times New Roman"/>
          <w:sz w:val="24"/>
          <w:szCs w:val="24"/>
        </w:rPr>
      </w:pPr>
    </w:p>
    <w:p w14:paraId="4B423ED2" w14:textId="77777777" w:rsidR="00DC5852" w:rsidRDefault="001902DE">
      <w:pPr>
        <w:pStyle w:val="ab"/>
        <w:spacing w:beforeLines="50" w:before="156" w:beforeAutospacing="0" w:afterLines="50" w:after="156" w:afterAutospacing="0"/>
        <w:jc w:val="both"/>
        <w:rPr>
          <w:rFonts w:ascii="Times New Roman" w:eastAsia="微软雅黑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b/>
          <w:bCs/>
          <w:noProof/>
          <w:kern w:val="2"/>
        </w:rPr>
        <w:lastRenderedPageBreak/>
        <w:drawing>
          <wp:inline distT="0" distB="0" distL="0" distR="0" wp14:anchorId="3D928990" wp14:editId="39B42225">
            <wp:extent cx="5272405" cy="6029325"/>
            <wp:effectExtent l="0" t="0" r="4445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0CF83" w14:textId="77777777" w:rsidR="00DC5852" w:rsidRDefault="001902DE">
      <w:pPr>
        <w:pStyle w:val="ab"/>
        <w:spacing w:beforeLines="50" w:before="156" w:beforeAutospacing="0" w:afterLines="50" w:after="156" w:afterAutospacing="0"/>
        <w:jc w:val="both"/>
        <w:rPr>
          <w:rFonts w:ascii="Times New Roman" w:eastAsiaTheme="minorEastAsia" w:hAnsi="Times New Roman" w:cs="Times New Roman"/>
          <w:kern w:val="2"/>
        </w:rPr>
      </w:pPr>
      <w:r>
        <w:rPr>
          <w:rFonts w:ascii="Times New Roman" w:eastAsiaTheme="minorEastAsia" w:hAnsi="Times New Roman" w:cs="Times New Roman"/>
          <w:b/>
          <w:bCs/>
          <w:kern w:val="2"/>
        </w:rPr>
        <w:t>Figure S</w:t>
      </w:r>
      <w:r>
        <w:rPr>
          <w:rFonts w:ascii="Times New Roman" w:eastAsiaTheme="minorEastAsia" w:hAnsi="Times New Roman" w:cs="Times New Roman" w:hint="eastAsia"/>
          <w:b/>
          <w:bCs/>
          <w:kern w:val="2"/>
        </w:rPr>
        <w:t>6</w:t>
      </w:r>
      <w:r>
        <w:rPr>
          <w:rFonts w:ascii="Times New Roman" w:eastAsiaTheme="minorEastAsia" w:hAnsi="Times New Roman" w:cs="Times New Roman"/>
          <w:b/>
          <w:bCs/>
          <w:kern w:val="2"/>
        </w:rPr>
        <w:t xml:space="preserve"> Heat map of selected pathways enriched in genes significantly upregulated or downregulated in 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"/>
        </w:rPr>
        <w:t>2G T</w:t>
      </w:r>
      <w:r>
        <w:rPr>
          <w:rFonts w:ascii="Times New Roman" w:eastAsiaTheme="minorEastAsia" w:hAnsi="Times New Roman" w:cs="Times New Roman"/>
          <w:b/>
          <w:bCs/>
          <w:kern w:val="2"/>
        </w:rPr>
        <w:t xml:space="preserve"> vs. </w:t>
      </w:r>
      <w:r>
        <w:rPr>
          <w:rFonts w:ascii="Times New Roman" w:eastAsiaTheme="minorEastAsia" w:hAnsi="Times New Roman" w:cs="Times New Roman" w:hint="eastAsia"/>
          <w:b/>
          <w:bCs/>
          <w:kern w:val="2"/>
        </w:rPr>
        <w:t>PEPT</w:t>
      </w:r>
      <w:r>
        <w:rPr>
          <w:rFonts w:ascii="Times New Roman" w:eastAsiaTheme="minorEastAsia" w:hAnsi="Times New Roman" w:cs="Times New Roman"/>
          <w:b/>
          <w:bCs/>
          <w:kern w:val="2"/>
        </w:rPr>
        <w:t xml:space="preserve"> </w:t>
      </w:r>
      <w:r>
        <w:rPr>
          <w:rFonts w:ascii="Times New Roman" w:eastAsiaTheme="minorEastAsia" w:hAnsi="Times New Roman" w:cs="Times New Roman" w:hint="eastAsia"/>
          <w:b/>
          <w:bCs/>
          <w:kern w:val="2"/>
        </w:rPr>
        <w:t>CAR-T</w:t>
      </w:r>
      <w:r>
        <w:rPr>
          <w:rFonts w:ascii="Times New Roman" w:eastAsiaTheme="minorEastAsia" w:hAnsi="Times New Roman" w:cs="Times New Roman"/>
          <w:b/>
          <w:bCs/>
          <w:kern w:val="2"/>
        </w:rPr>
        <w:t xml:space="preserve"> cells after stimulation with NALM-6-PDL1 cells at E: T of 1:1 for 48 hours.</w:t>
      </w:r>
      <w:r>
        <w:rPr>
          <w:rFonts w:ascii="Times New Roman" w:eastAsiaTheme="minorEastAsia" w:hAnsi="Times New Roman" w:cs="Times New Roman"/>
          <w:kern w:val="2"/>
        </w:rPr>
        <w:t xml:space="preserve"> </w:t>
      </w:r>
    </w:p>
    <w:p w14:paraId="4DD5AA88" w14:textId="77777777" w:rsidR="00DC5852" w:rsidRDefault="001902DE">
      <w:pPr>
        <w:pStyle w:val="ab"/>
        <w:spacing w:beforeLines="50" w:before="156" w:beforeAutospacing="0" w:afterLines="50" w:after="156" w:afterAutospacing="0"/>
        <w:jc w:val="both"/>
        <w:rPr>
          <w:rFonts w:ascii="Times New Roman" w:eastAsiaTheme="minorEastAsia" w:hAnsi="Times New Roman" w:cs="Times New Roman"/>
          <w:kern w:val="2"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kern w:val="2"/>
          <w:sz w:val="21"/>
          <w:szCs w:val="21"/>
        </w:rPr>
        <w:t>PEPT CAR-T cells exhibited enrichment in memory-related genes an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1"/>
        </w:rPr>
        <w:t xml:space="preserve">d demonstrated lower levels of effector differentiation, exhaustion, and apoptosis compared to 2G CAR-T cells when challenged with CD19+PDL1+ tumor cells. </w:t>
      </w:r>
      <w:r>
        <w:rPr>
          <w:rFonts w:ascii="Times New Roman" w:eastAsiaTheme="minorEastAsia" w:hAnsi="Times New Roman" w:cs="Times New Roman"/>
          <w:kern w:val="2"/>
          <w:sz w:val="21"/>
          <w:szCs w:val="21"/>
        </w:rPr>
        <w:t xml:space="preserve">For each pathway, a single sample enrichment score was calculated, and the mean was taken per </w:t>
      </w:r>
      <w:r>
        <w:rPr>
          <w:rFonts w:ascii="Times New Roman" w:eastAsiaTheme="minorEastAsia" w:hAnsi="Times New Roman" w:cs="Times New Roman"/>
          <w:kern w:val="2"/>
          <w:sz w:val="21"/>
          <w:szCs w:val="21"/>
        </w:rPr>
        <w:t>response group. A color gradient ranging from dark blue to dark red indicates the mean normalized enrichment score (ranging from –2 to +2) of pathways enriched in induced (red) or repressed (blue) genes.</w:t>
      </w:r>
    </w:p>
    <w:p w14:paraId="18FC0A5C" w14:textId="77777777" w:rsidR="00DC5852" w:rsidRDefault="00DC5852">
      <w:pPr>
        <w:pStyle w:val="ab"/>
        <w:spacing w:beforeLines="50" w:before="156" w:beforeAutospacing="0" w:afterLines="50" w:after="156" w:afterAutospacing="0"/>
        <w:jc w:val="both"/>
        <w:rPr>
          <w:rFonts w:ascii="Times New Roman" w:eastAsia="微软雅黑" w:hAnsi="Times New Roman" w:cs="Times New Roman"/>
          <w:sz w:val="20"/>
          <w:szCs w:val="20"/>
        </w:rPr>
      </w:pPr>
    </w:p>
    <w:p w14:paraId="182634EE" w14:textId="77777777" w:rsidR="00DC5852" w:rsidRDefault="00DC5852">
      <w:pPr>
        <w:pStyle w:val="ab"/>
        <w:spacing w:beforeLines="50" w:before="156" w:beforeAutospacing="0" w:afterLines="50" w:after="156" w:afterAutospacing="0"/>
        <w:jc w:val="both"/>
        <w:rPr>
          <w:rFonts w:ascii="Times New Roman" w:eastAsia="微软雅黑" w:hAnsi="Times New Roman" w:cs="Times New Roman"/>
          <w:sz w:val="20"/>
          <w:szCs w:val="20"/>
        </w:rPr>
      </w:pPr>
    </w:p>
    <w:p w14:paraId="0CC94935" w14:textId="77777777" w:rsidR="00DC5852" w:rsidRDefault="00DC5852">
      <w:pPr>
        <w:pStyle w:val="ab"/>
        <w:spacing w:beforeLines="50" w:before="156" w:beforeAutospacing="0" w:afterLines="50" w:after="156" w:afterAutospacing="0"/>
        <w:jc w:val="both"/>
        <w:rPr>
          <w:rFonts w:ascii="Times New Roman" w:eastAsia="微软雅黑" w:hAnsi="Times New Roman" w:cs="Times New Roman"/>
          <w:sz w:val="20"/>
          <w:szCs w:val="20"/>
        </w:rPr>
      </w:pPr>
    </w:p>
    <w:p w14:paraId="210A3951" w14:textId="77777777" w:rsidR="00DC5852" w:rsidRDefault="001902DE">
      <w:pPr>
        <w:pStyle w:val="ab"/>
        <w:spacing w:beforeLines="50" w:before="156" w:beforeAutospacing="0" w:afterLines="50" w:after="156" w:afterAutospacing="0"/>
        <w:jc w:val="both"/>
        <w:rPr>
          <w:rFonts w:ascii="Times New Roman" w:eastAsia="微软雅黑" w:hAnsi="Times New Roman" w:cs="Times New Roman"/>
          <w:sz w:val="20"/>
          <w:szCs w:val="20"/>
        </w:rPr>
      </w:pPr>
      <w:bookmarkStart w:id="2" w:name="_Hlk33798992"/>
      <w:r>
        <w:rPr>
          <w:noProof/>
        </w:rPr>
        <w:drawing>
          <wp:inline distT="0" distB="0" distL="0" distR="0" wp14:anchorId="4E8EAE32" wp14:editId="52BD9C50">
            <wp:extent cx="5267325" cy="2072005"/>
            <wp:effectExtent l="0" t="0" r="9525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07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5A1B5" w14:textId="77777777" w:rsidR="00DC5852" w:rsidRDefault="001902DE">
      <w:pPr>
        <w:pStyle w:val="ab"/>
        <w:spacing w:beforeLines="50" w:before="156" w:beforeAutospacing="0" w:afterLines="50" w:after="156" w:afterAutospacing="0" w:line="480" w:lineRule="auto"/>
        <w:jc w:val="both"/>
        <w:rPr>
          <w:rFonts w:ascii="Times New Roman" w:eastAsiaTheme="minorEastAsia" w:hAnsi="Times New Roman" w:cs="Times New Roman"/>
          <w:b/>
          <w:bCs/>
          <w:kern w:val="2"/>
        </w:rPr>
      </w:pPr>
      <w:r>
        <w:rPr>
          <w:rFonts w:ascii="Times New Roman" w:eastAsiaTheme="minorEastAsia" w:hAnsi="Times New Roman" w:cs="Times New Roman" w:hint="eastAsia"/>
          <w:b/>
          <w:bCs/>
          <w:kern w:val="2"/>
        </w:rPr>
        <w:t>Figure</w:t>
      </w:r>
      <w:r>
        <w:rPr>
          <w:rFonts w:ascii="Times New Roman" w:eastAsiaTheme="minorEastAsia" w:hAnsi="Times New Roman" w:cs="Times New Roman"/>
          <w:b/>
          <w:bCs/>
          <w:kern w:val="2"/>
        </w:rPr>
        <w:t xml:space="preserve"> </w:t>
      </w:r>
      <w:r>
        <w:rPr>
          <w:rFonts w:ascii="Times New Roman" w:eastAsiaTheme="minorEastAsia" w:hAnsi="Times New Roman" w:cs="Times New Roman" w:hint="eastAsia"/>
          <w:b/>
          <w:bCs/>
          <w:kern w:val="2"/>
        </w:rPr>
        <w:t>S</w:t>
      </w:r>
      <w:r>
        <w:rPr>
          <w:rFonts w:ascii="Times New Roman" w:eastAsiaTheme="minorEastAsia" w:hAnsi="Times New Roman" w:cs="Times New Roman"/>
          <w:b/>
          <w:bCs/>
          <w:kern w:val="2"/>
        </w:rPr>
        <w:t>7 PEPT and PE8T CAR-T cells incubated w</w:t>
      </w:r>
      <w:r>
        <w:rPr>
          <w:rFonts w:ascii="Times New Roman" w:eastAsiaTheme="minorEastAsia" w:hAnsi="Times New Roman" w:cs="Times New Roman"/>
          <w:b/>
          <w:bCs/>
          <w:kern w:val="2"/>
        </w:rPr>
        <w:t>ith tumor cells exhibit a phenotype of less differentiation and exhaustion by flow cytometry</w:t>
      </w:r>
    </w:p>
    <w:p w14:paraId="2A5968F5" w14:textId="77777777" w:rsidR="00DC5852" w:rsidRDefault="001902DE">
      <w:pPr>
        <w:pStyle w:val="ab"/>
        <w:spacing w:beforeLines="50" w:before="156" w:beforeAutospacing="0" w:afterLines="50" w:after="156" w:afterAutospacing="0" w:line="360" w:lineRule="auto"/>
        <w:jc w:val="both"/>
        <w:rPr>
          <w:rFonts w:ascii="Times New Roman" w:eastAsia="微软雅黑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 w:hint="eastAsia"/>
          <w:kern w:val="2"/>
        </w:rPr>
        <w:t>T</w:t>
      </w:r>
      <w:r>
        <w:rPr>
          <w:rFonts w:ascii="Times New Roman" w:eastAsiaTheme="minorEastAsia" w:hAnsi="Times New Roman" w:cs="Times New Roman"/>
          <w:kern w:val="2"/>
        </w:rPr>
        <w:t>he expression of inhibitor receptors, including</w:t>
      </w:r>
      <w:r>
        <w:rPr>
          <w:rFonts w:ascii="Times New Roman" w:eastAsiaTheme="minorEastAsia" w:hAnsi="Times New Roman" w:cs="Times New Roman" w:hint="eastAsia"/>
          <w:kern w:val="2"/>
        </w:rPr>
        <w:t xml:space="preserve"> </w:t>
      </w:r>
      <w:r>
        <w:rPr>
          <w:rFonts w:ascii="Times New Roman" w:eastAsiaTheme="minorEastAsia" w:hAnsi="Times New Roman" w:cs="Times New Roman"/>
          <w:kern w:val="2"/>
        </w:rPr>
        <w:t>PD-1, PD-L1, LAG-3, and CTLA-4 on different CAR T cells was measured by flow cytometry</w:t>
      </w:r>
      <w:r>
        <w:rPr>
          <w:rFonts w:ascii="Times New Roman" w:eastAsiaTheme="minorEastAsia" w:hAnsi="Times New Roman" w:cs="Times New Roman" w:hint="eastAsia"/>
          <w:kern w:val="2"/>
        </w:rPr>
        <w:t xml:space="preserve"> a</w:t>
      </w:r>
      <w:r>
        <w:rPr>
          <w:rFonts w:ascii="Times New Roman" w:eastAsiaTheme="minorEastAsia" w:hAnsi="Times New Roman" w:cs="Times New Roman"/>
          <w:kern w:val="2"/>
        </w:rPr>
        <w:t>fter incubation with NALM-</w:t>
      </w:r>
      <w:r>
        <w:rPr>
          <w:rFonts w:ascii="Times New Roman" w:eastAsiaTheme="minorEastAsia" w:hAnsi="Times New Roman" w:cs="Times New Roman"/>
          <w:kern w:val="2"/>
        </w:rPr>
        <w:t xml:space="preserve">6 cells at </w:t>
      </w:r>
      <w:proofErr w:type="gramStart"/>
      <w:r>
        <w:rPr>
          <w:rFonts w:ascii="Times New Roman" w:eastAsiaTheme="minorEastAsia" w:hAnsi="Times New Roman" w:cs="Times New Roman"/>
          <w:kern w:val="2"/>
        </w:rPr>
        <w:t>E:T</w:t>
      </w:r>
      <w:proofErr w:type="gramEnd"/>
      <w:r>
        <w:rPr>
          <w:rFonts w:ascii="Times New Roman" w:eastAsiaTheme="minorEastAsia" w:hAnsi="Times New Roman" w:cs="Times New Roman"/>
          <w:kern w:val="2"/>
        </w:rPr>
        <w:t xml:space="preserve"> of 1:1 for 24 h (mean ± SD, n = 3). Data are depicted from three independent experiments with T cells from three healthy donor</w:t>
      </w:r>
      <w:r>
        <w:rPr>
          <w:rFonts w:ascii="Times New Roman" w:eastAsiaTheme="minorEastAsia" w:hAnsi="Times New Roman" w:cs="Times New Roman" w:hint="eastAsia"/>
          <w:kern w:val="2"/>
        </w:rPr>
        <w:t>s</w:t>
      </w:r>
      <w:r>
        <w:rPr>
          <w:rFonts w:ascii="Times New Roman" w:eastAsiaTheme="minorEastAsia" w:hAnsi="Times New Roman" w:cs="Times New Roman"/>
          <w:kern w:val="2"/>
        </w:rPr>
        <w:t xml:space="preserve">. </w:t>
      </w:r>
      <w:r>
        <w:rPr>
          <w:rFonts w:ascii="Times New Roman" w:eastAsiaTheme="minorEastAsia" w:hAnsi="Times New Roman" w:cs="Times New Roman"/>
          <w:b/>
          <w:bCs/>
          <w:kern w:val="2"/>
        </w:rPr>
        <w:t>A</w:t>
      </w:r>
      <w:r>
        <w:rPr>
          <w:rFonts w:ascii="Times New Roman" w:eastAsiaTheme="minorEastAsia" w:hAnsi="Times New Roman" w:cs="Times New Roman"/>
          <w:kern w:val="2"/>
        </w:rPr>
        <w:t xml:space="preserve">, </w:t>
      </w:r>
      <w:r>
        <w:rPr>
          <w:rFonts w:ascii="Times New Roman" w:eastAsia="微软雅黑" w:hAnsi="Times New Roman" w:cs="Times New Roman"/>
        </w:rPr>
        <w:t>2G T vs. P</w:t>
      </w:r>
      <w:r>
        <w:rPr>
          <w:rFonts w:ascii="Times New Roman" w:eastAsia="微软雅黑" w:hAnsi="Times New Roman" w:cs="Times New Roman" w:hint="eastAsia"/>
        </w:rPr>
        <w:t>EPT</w:t>
      </w:r>
      <w:r>
        <w:rPr>
          <w:rFonts w:ascii="Times New Roman" w:eastAsia="微软雅黑" w:hAnsi="Times New Roman" w:cs="Times New Roman"/>
        </w:rPr>
        <w:t xml:space="preserve"> CAR-T, </w:t>
      </w:r>
      <w:r>
        <w:rPr>
          <w:rFonts w:ascii="Times New Roman" w:eastAsia="微软雅黑" w:hAnsi="Times New Roman" w:cs="Times New Roman"/>
          <w:b/>
          <w:bCs/>
        </w:rPr>
        <w:t>B,</w:t>
      </w:r>
      <w:r>
        <w:rPr>
          <w:rFonts w:ascii="Times New Roman" w:eastAsia="微软雅黑" w:hAnsi="Times New Roman" w:cs="Times New Roman"/>
        </w:rPr>
        <w:t xml:space="preserve"> 2G T vs. P</w:t>
      </w:r>
      <w:r>
        <w:rPr>
          <w:rFonts w:ascii="Times New Roman" w:eastAsia="微软雅黑" w:hAnsi="Times New Roman" w:cs="Times New Roman" w:hint="eastAsia"/>
        </w:rPr>
        <w:t>E8T</w:t>
      </w:r>
      <w:r>
        <w:rPr>
          <w:rFonts w:ascii="Times New Roman" w:eastAsia="微软雅黑" w:hAnsi="Times New Roman" w:cs="Times New Roman"/>
        </w:rPr>
        <w:t xml:space="preserve"> CAR-T. </w:t>
      </w:r>
    </w:p>
    <w:p w14:paraId="431C4E6E" w14:textId="77777777" w:rsidR="00DC5852" w:rsidRDefault="00DC5852">
      <w:pPr>
        <w:pStyle w:val="ab"/>
        <w:spacing w:beforeLines="50" w:before="156" w:beforeAutospacing="0" w:afterLines="50" w:after="156" w:afterAutospacing="0"/>
        <w:jc w:val="both"/>
        <w:rPr>
          <w:rFonts w:ascii="Times New Roman" w:eastAsiaTheme="minorEastAsia" w:hAnsi="Times New Roman" w:cs="Times New Roman"/>
          <w:kern w:val="2"/>
        </w:rPr>
      </w:pPr>
    </w:p>
    <w:p w14:paraId="2FF99A1E" w14:textId="77777777" w:rsidR="00DC5852" w:rsidRDefault="00DC5852">
      <w:pPr>
        <w:pStyle w:val="ab"/>
        <w:spacing w:beforeLines="50" w:before="156" w:beforeAutospacing="0" w:afterLines="50" w:after="156" w:afterAutospacing="0"/>
        <w:jc w:val="both"/>
        <w:rPr>
          <w:rFonts w:ascii="Times New Roman" w:eastAsiaTheme="minorEastAsia" w:hAnsi="Times New Roman" w:cs="Times New Roman"/>
          <w:kern w:val="2"/>
        </w:rPr>
      </w:pPr>
    </w:p>
    <w:p w14:paraId="159A47AB" w14:textId="77777777" w:rsidR="00DC5852" w:rsidRDefault="00DC5852">
      <w:pPr>
        <w:pStyle w:val="ab"/>
        <w:spacing w:beforeLines="50" w:before="156" w:beforeAutospacing="0" w:afterLines="50" w:after="156" w:afterAutospacing="0"/>
        <w:jc w:val="both"/>
        <w:rPr>
          <w:rFonts w:ascii="Times New Roman" w:eastAsiaTheme="minorEastAsia" w:hAnsi="Times New Roman" w:cs="Times New Roman"/>
          <w:kern w:val="2"/>
        </w:rPr>
      </w:pPr>
    </w:p>
    <w:p w14:paraId="5ABC2BA2" w14:textId="77777777" w:rsidR="00DC5852" w:rsidRDefault="00DC5852">
      <w:pPr>
        <w:pStyle w:val="ab"/>
        <w:spacing w:beforeLines="50" w:before="156" w:beforeAutospacing="0" w:afterLines="50" w:after="156" w:afterAutospacing="0"/>
        <w:jc w:val="both"/>
        <w:rPr>
          <w:rFonts w:ascii="Times New Roman" w:eastAsiaTheme="minorEastAsia" w:hAnsi="Times New Roman" w:cs="Times New Roman"/>
          <w:kern w:val="2"/>
          <w:sz w:val="20"/>
          <w:szCs w:val="20"/>
        </w:rPr>
      </w:pPr>
      <w:bookmarkStart w:id="3" w:name="_Hlk33801543"/>
      <w:bookmarkEnd w:id="2"/>
    </w:p>
    <w:p w14:paraId="7FE2CEBF" w14:textId="77777777" w:rsidR="00DC5852" w:rsidRDefault="00DC5852">
      <w:pPr>
        <w:pStyle w:val="ab"/>
        <w:spacing w:beforeLines="50" w:before="156" w:beforeAutospacing="0" w:afterLines="50" w:after="156" w:afterAutospacing="0"/>
        <w:jc w:val="both"/>
        <w:rPr>
          <w:rFonts w:ascii="Times New Roman" w:eastAsiaTheme="minorEastAsia" w:hAnsi="Times New Roman" w:cs="Times New Roman"/>
          <w:kern w:val="2"/>
          <w:sz w:val="20"/>
          <w:szCs w:val="20"/>
        </w:rPr>
      </w:pPr>
    </w:p>
    <w:p w14:paraId="3B2280FB" w14:textId="77777777" w:rsidR="00DC5852" w:rsidRDefault="00DC5852">
      <w:pPr>
        <w:pStyle w:val="ab"/>
        <w:spacing w:beforeLines="50" w:before="156" w:beforeAutospacing="0" w:afterLines="50" w:after="156" w:afterAutospacing="0"/>
        <w:jc w:val="both"/>
        <w:rPr>
          <w:rFonts w:ascii="Times New Roman" w:eastAsiaTheme="minorEastAsia" w:hAnsi="Times New Roman" w:cs="Times New Roman"/>
          <w:kern w:val="2"/>
          <w:sz w:val="20"/>
          <w:szCs w:val="20"/>
        </w:rPr>
      </w:pPr>
    </w:p>
    <w:p w14:paraId="35BADFF2" w14:textId="77777777" w:rsidR="00DC5852" w:rsidRDefault="00DC5852">
      <w:pPr>
        <w:pStyle w:val="ab"/>
        <w:spacing w:beforeLines="50" w:before="156" w:beforeAutospacing="0" w:afterLines="50" w:after="156" w:afterAutospacing="0"/>
        <w:jc w:val="both"/>
        <w:rPr>
          <w:rFonts w:ascii="Times New Roman" w:eastAsiaTheme="minorEastAsia" w:hAnsi="Times New Roman" w:cs="Times New Roman"/>
          <w:kern w:val="2"/>
          <w:sz w:val="20"/>
          <w:szCs w:val="20"/>
        </w:rPr>
      </w:pPr>
    </w:p>
    <w:p w14:paraId="5D2E1AAF" w14:textId="77777777" w:rsidR="00DC5852" w:rsidRDefault="00DC5852">
      <w:pPr>
        <w:pStyle w:val="ab"/>
        <w:spacing w:beforeLines="50" w:before="156" w:beforeAutospacing="0" w:afterLines="50" w:after="156" w:afterAutospacing="0"/>
        <w:jc w:val="both"/>
        <w:rPr>
          <w:rFonts w:ascii="Times New Roman" w:eastAsiaTheme="minorEastAsia" w:hAnsi="Times New Roman" w:cs="Times New Roman"/>
          <w:kern w:val="2"/>
          <w:sz w:val="20"/>
          <w:szCs w:val="20"/>
        </w:rPr>
      </w:pPr>
    </w:p>
    <w:p w14:paraId="4CC28843" w14:textId="77777777" w:rsidR="00DC5852" w:rsidRDefault="00DC5852">
      <w:pPr>
        <w:pStyle w:val="ab"/>
        <w:spacing w:beforeLines="50" w:before="156" w:beforeAutospacing="0" w:afterLines="50" w:after="156" w:afterAutospacing="0"/>
        <w:jc w:val="both"/>
        <w:rPr>
          <w:rFonts w:ascii="Times New Roman" w:eastAsiaTheme="minorEastAsia" w:hAnsi="Times New Roman" w:cs="Times New Roman"/>
          <w:kern w:val="2"/>
          <w:sz w:val="20"/>
          <w:szCs w:val="20"/>
        </w:rPr>
      </w:pPr>
    </w:p>
    <w:bookmarkEnd w:id="3"/>
    <w:p w14:paraId="5DF24044" w14:textId="77777777" w:rsidR="00DC5852" w:rsidRDefault="00DC5852">
      <w:pPr>
        <w:pStyle w:val="ab"/>
        <w:spacing w:beforeLines="50" w:before="156" w:beforeAutospacing="0" w:afterLines="50" w:after="156" w:afterAutospacing="0"/>
        <w:jc w:val="both"/>
        <w:rPr>
          <w:sz w:val="28"/>
          <w:szCs w:val="28"/>
        </w:rPr>
      </w:pPr>
    </w:p>
    <w:sectPr w:rsidR="00DC5852"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757DC" w14:textId="77777777" w:rsidR="00B57DAE" w:rsidRDefault="00B57DAE">
      <w:r>
        <w:separator/>
      </w:r>
    </w:p>
  </w:endnote>
  <w:endnote w:type="continuationSeparator" w:id="0">
    <w:p w14:paraId="257582D2" w14:textId="77777777" w:rsidR="00B57DAE" w:rsidRDefault="00B57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963707"/>
    </w:sdtPr>
    <w:sdtEndPr/>
    <w:sdtContent>
      <w:p w14:paraId="6C727EC3" w14:textId="77777777" w:rsidR="00DC5852" w:rsidRDefault="001902DE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14:paraId="7F75F4C6" w14:textId="77777777" w:rsidR="00DC5852" w:rsidRDefault="00DC585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CD1C7" w14:textId="77777777" w:rsidR="00B57DAE" w:rsidRDefault="00B57DAE">
      <w:r>
        <w:separator/>
      </w:r>
    </w:p>
  </w:footnote>
  <w:footnote w:type="continuationSeparator" w:id="0">
    <w:p w14:paraId="488675B6" w14:textId="77777777" w:rsidR="00B57DAE" w:rsidRDefault="00B57D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D1CC0B"/>
    <w:multiLevelType w:val="singleLevel"/>
    <w:tmpl w:val="50D1CC0B"/>
    <w:lvl w:ilvl="0">
      <w:start w:val="2"/>
      <w:numFmt w:val="upperLetter"/>
      <w:suff w:val="nothing"/>
      <w:lvlText w:val="%1-"/>
      <w:lvlJc w:val="left"/>
      <w:rPr>
        <w:rFonts w:hint="default"/>
        <w:b/>
        <w:bCs/>
      </w:rPr>
    </w:lvl>
  </w:abstractNum>
  <w:num w:numId="1" w16cid:durableId="1093668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bordersDoNotSurroundHeader/>
  <w:bordersDoNotSurroundFooter/>
  <w:proofState w:spelling="clean" w:grammar="clean"/>
  <w:defaultTabStop w:val="72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IwMjZjZTk5ZjI4NTVmNjg3NzNjNzIzOTVmZmU3ZDQifQ=="/>
  </w:docVars>
  <w:rsids>
    <w:rsidRoot w:val="003D03A4"/>
    <w:rsid w:val="00030EB3"/>
    <w:rsid w:val="00036D98"/>
    <w:rsid w:val="00064F82"/>
    <w:rsid w:val="000E51D5"/>
    <w:rsid w:val="001341EE"/>
    <w:rsid w:val="00175A43"/>
    <w:rsid w:val="001902DE"/>
    <w:rsid w:val="002357F0"/>
    <w:rsid w:val="00297C1B"/>
    <w:rsid w:val="002B5217"/>
    <w:rsid w:val="002C3E65"/>
    <w:rsid w:val="00304FE1"/>
    <w:rsid w:val="003A2725"/>
    <w:rsid w:val="003D03A4"/>
    <w:rsid w:val="00443BF8"/>
    <w:rsid w:val="004528B8"/>
    <w:rsid w:val="0047652F"/>
    <w:rsid w:val="00493EA9"/>
    <w:rsid w:val="004B7D5B"/>
    <w:rsid w:val="004D1CC0"/>
    <w:rsid w:val="004E59BC"/>
    <w:rsid w:val="00503964"/>
    <w:rsid w:val="00524BD8"/>
    <w:rsid w:val="005251B4"/>
    <w:rsid w:val="00526CD5"/>
    <w:rsid w:val="0053336C"/>
    <w:rsid w:val="005350FF"/>
    <w:rsid w:val="005A168B"/>
    <w:rsid w:val="005C4252"/>
    <w:rsid w:val="005F6F03"/>
    <w:rsid w:val="00652AA7"/>
    <w:rsid w:val="00661B5D"/>
    <w:rsid w:val="006830C9"/>
    <w:rsid w:val="006A519B"/>
    <w:rsid w:val="006A51E0"/>
    <w:rsid w:val="006A768A"/>
    <w:rsid w:val="006B2190"/>
    <w:rsid w:val="006B7E3F"/>
    <w:rsid w:val="006D7FD9"/>
    <w:rsid w:val="00757D6F"/>
    <w:rsid w:val="007842BC"/>
    <w:rsid w:val="00823044"/>
    <w:rsid w:val="00866A7E"/>
    <w:rsid w:val="008B6380"/>
    <w:rsid w:val="008D0138"/>
    <w:rsid w:val="009113A4"/>
    <w:rsid w:val="00916DD4"/>
    <w:rsid w:val="00936F88"/>
    <w:rsid w:val="0096458C"/>
    <w:rsid w:val="009C2D3B"/>
    <w:rsid w:val="009D0C4C"/>
    <w:rsid w:val="009E3FEA"/>
    <w:rsid w:val="00A74CAB"/>
    <w:rsid w:val="00A841A0"/>
    <w:rsid w:val="00AC1BE0"/>
    <w:rsid w:val="00AE0C78"/>
    <w:rsid w:val="00AE2403"/>
    <w:rsid w:val="00B03E0C"/>
    <w:rsid w:val="00B34A9C"/>
    <w:rsid w:val="00B46483"/>
    <w:rsid w:val="00B5275F"/>
    <w:rsid w:val="00B57DAE"/>
    <w:rsid w:val="00B70A49"/>
    <w:rsid w:val="00B74811"/>
    <w:rsid w:val="00B7545D"/>
    <w:rsid w:val="00B87A9A"/>
    <w:rsid w:val="00B96753"/>
    <w:rsid w:val="00BC5A57"/>
    <w:rsid w:val="00BE49B7"/>
    <w:rsid w:val="00C41D8C"/>
    <w:rsid w:val="00C57D49"/>
    <w:rsid w:val="00C91B81"/>
    <w:rsid w:val="00CD4317"/>
    <w:rsid w:val="00CD7D03"/>
    <w:rsid w:val="00D4467E"/>
    <w:rsid w:val="00D6193B"/>
    <w:rsid w:val="00D73F26"/>
    <w:rsid w:val="00D84538"/>
    <w:rsid w:val="00D86824"/>
    <w:rsid w:val="00DA7A10"/>
    <w:rsid w:val="00DC5852"/>
    <w:rsid w:val="00E55D31"/>
    <w:rsid w:val="00E71A9E"/>
    <w:rsid w:val="00ED077E"/>
    <w:rsid w:val="00EF706E"/>
    <w:rsid w:val="00F20AD9"/>
    <w:rsid w:val="00F22B29"/>
    <w:rsid w:val="00F63D4D"/>
    <w:rsid w:val="00F95071"/>
    <w:rsid w:val="00FF798A"/>
    <w:rsid w:val="19815662"/>
    <w:rsid w:val="2A974AF7"/>
    <w:rsid w:val="2F91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F59C4D"/>
  <w14:defaultImageDpi w14:val="32767"/>
  <w15:docId w15:val="{E99E470D-D246-4E26-ADA9-718137C8F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link w:val="ac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d">
    <w:name w:val="annotation subject"/>
    <w:basedOn w:val="a3"/>
    <w:next w:val="a3"/>
    <w:link w:val="ae"/>
    <w:uiPriority w:val="99"/>
    <w:semiHidden/>
    <w:unhideWhenUsed/>
    <w:pPr>
      <w:jc w:val="both"/>
    </w:pPr>
    <w:rPr>
      <w:b/>
      <w:bCs/>
      <w:sz w:val="20"/>
      <w:szCs w:val="20"/>
    </w:rPr>
  </w:style>
  <w:style w:type="character" w:styleId="af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8">
    <w:name w:val="页脚 字符"/>
    <w:basedOn w:val="a0"/>
    <w:link w:val="a7"/>
    <w:uiPriority w:val="99"/>
    <w:rPr>
      <w:kern w:val="2"/>
      <w:sz w:val="18"/>
      <w:szCs w:val="18"/>
      <w:lang w:val="en-US"/>
    </w:rPr>
  </w:style>
  <w:style w:type="character" w:customStyle="1" w:styleId="ac">
    <w:name w:val="普通(网站) 字符"/>
    <w:basedOn w:val="a0"/>
    <w:link w:val="ab"/>
    <w:uiPriority w:val="99"/>
    <w:rPr>
      <w:rFonts w:ascii="宋体" w:eastAsia="宋体" w:hAnsi="宋体" w:cs="宋体"/>
      <w:sz w:val="24"/>
      <w:szCs w:val="24"/>
      <w:lang w:val="en-US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Segoe UI" w:hAnsi="Segoe UI" w:cs="Segoe UI"/>
      <w:kern w:val="2"/>
      <w:sz w:val="18"/>
      <w:szCs w:val="18"/>
      <w:lang w:val="en-US"/>
    </w:rPr>
  </w:style>
  <w:style w:type="character" w:customStyle="1" w:styleId="a4">
    <w:name w:val="批注文字 字符"/>
    <w:basedOn w:val="a0"/>
    <w:link w:val="a3"/>
    <w:uiPriority w:val="99"/>
    <w:qFormat/>
    <w:rPr>
      <w:kern w:val="2"/>
      <w:sz w:val="21"/>
      <w:lang w:val="en-US"/>
    </w:rPr>
  </w:style>
  <w:style w:type="character" w:customStyle="1" w:styleId="ae">
    <w:name w:val="批注主题 字符"/>
    <w:basedOn w:val="a4"/>
    <w:link w:val="ad"/>
    <w:uiPriority w:val="99"/>
    <w:semiHidden/>
    <w:rPr>
      <w:b/>
      <w:bCs/>
      <w:kern w:val="2"/>
      <w:sz w:val="20"/>
      <w:szCs w:val="20"/>
      <w:lang w:val="en-US"/>
    </w:rPr>
  </w:style>
  <w:style w:type="character" w:customStyle="1" w:styleId="aa">
    <w:name w:val="页眉 字符"/>
    <w:basedOn w:val="a0"/>
    <w:link w:val="a9"/>
    <w:uiPriority w:val="99"/>
    <w:rPr>
      <w:kern w:val="2"/>
      <w:sz w:val="18"/>
      <w:szCs w:val="18"/>
      <w:lang w:val="en-US"/>
    </w:rPr>
  </w:style>
  <w:style w:type="paragraph" w:customStyle="1" w:styleId="1">
    <w:name w:val="修订1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fontstyle01">
    <w:name w:val="fontstyle01"/>
    <w:basedOn w:val="a0"/>
    <w:rPr>
      <w:rFonts w:ascii="Calibri" w:hAnsi="Calibri" w:cs="Calibri" w:hint="default"/>
      <w:color w:val="4472C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746</Words>
  <Characters>4254</Characters>
  <Application>Microsoft Office Word</Application>
  <DocSecurity>0</DocSecurity>
  <Lines>35</Lines>
  <Paragraphs>9</Paragraphs>
  <ScaleCrop>false</ScaleCrop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一健 张</cp:lastModifiedBy>
  <cp:revision>20</cp:revision>
  <cp:lastPrinted>2020-03-08T03:45:00Z</cp:lastPrinted>
  <dcterms:created xsi:type="dcterms:W3CDTF">2023-03-23T04:35:00Z</dcterms:created>
  <dcterms:modified xsi:type="dcterms:W3CDTF">2023-08-13T08:32:00Z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9EE63F08DE7F46629455AFF281D94E33_12</vt:lpwstr>
  </property>
</Properties>
</file>