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5A56E" w14:textId="77777777" w:rsidR="00D923FD" w:rsidRPr="00CF138D" w:rsidRDefault="00D923FD" w:rsidP="00D923FD">
      <w:pPr>
        <w:pStyle w:val="Paragraph"/>
        <w:spacing w:before="0" w:after="120" w:line="480" w:lineRule="auto"/>
        <w:ind w:firstLine="0"/>
        <w:jc w:val="center"/>
        <w:rPr>
          <w:b/>
          <w:bCs/>
          <w:color w:val="000000" w:themeColor="text1"/>
        </w:rPr>
      </w:pPr>
      <w:r w:rsidRPr="00CF138D">
        <w:rPr>
          <w:b/>
          <w:bCs/>
          <w:color w:val="000000" w:themeColor="text1"/>
        </w:rPr>
        <w:t xml:space="preserve">TRIB3 silencing promotes the downregulation of </w:t>
      </w:r>
      <w:proofErr w:type="spellStart"/>
      <w:r w:rsidRPr="00CF138D">
        <w:rPr>
          <w:b/>
          <w:bCs/>
          <w:color w:val="000000" w:themeColor="text1"/>
        </w:rPr>
        <w:t>Akt</w:t>
      </w:r>
      <w:proofErr w:type="spellEnd"/>
      <w:r w:rsidRPr="00CF138D">
        <w:rPr>
          <w:b/>
          <w:bCs/>
          <w:color w:val="000000" w:themeColor="text1"/>
        </w:rPr>
        <w:t xml:space="preserve"> pathway and PAX3-FOXO1 in high-risk rhabdomyosarcoma</w:t>
      </w:r>
    </w:p>
    <w:p w14:paraId="6675B2E6" w14:textId="1EAFE026" w:rsidR="00D923FD" w:rsidRDefault="00D923FD" w:rsidP="00CF138D">
      <w:pPr>
        <w:pStyle w:val="Paragraph"/>
        <w:spacing w:before="0" w:after="120" w:line="480" w:lineRule="auto"/>
        <w:ind w:firstLine="0"/>
        <w:jc w:val="center"/>
        <w:rPr>
          <w:bCs/>
          <w:color w:val="000000" w:themeColor="text1"/>
        </w:rPr>
      </w:pPr>
      <w:r w:rsidRPr="00CF138D">
        <w:rPr>
          <w:bCs/>
          <w:color w:val="000000" w:themeColor="text1"/>
        </w:rPr>
        <w:t>Gallo-Oller et al.</w:t>
      </w:r>
    </w:p>
    <w:p w14:paraId="5C36DD68" w14:textId="77777777" w:rsidR="00CF138D" w:rsidRPr="00CF138D" w:rsidRDefault="00CF138D" w:rsidP="00CF138D">
      <w:pPr>
        <w:pStyle w:val="Paragraph"/>
        <w:spacing w:before="0" w:after="120" w:line="480" w:lineRule="auto"/>
        <w:ind w:firstLine="0"/>
        <w:jc w:val="center"/>
        <w:rPr>
          <w:bCs/>
          <w:color w:val="000000" w:themeColor="text1"/>
        </w:rPr>
      </w:pPr>
      <w:bookmarkStart w:id="0" w:name="_GoBack"/>
      <w:bookmarkEnd w:id="0"/>
    </w:p>
    <w:p w14:paraId="4C5D1219" w14:textId="711F569A" w:rsidR="00D923FD" w:rsidRPr="00CF138D" w:rsidRDefault="00F70EB0" w:rsidP="00CF138D">
      <w:pPr>
        <w:spacing w:after="120" w:line="480" w:lineRule="auto"/>
        <w:rPr>
          <w:rFonts w:ascii="Times New Roman" w:eastAsia="Times New Roman" w:hAnsi="Times New Roman" w:cs="Times New Roman"/>
          <w:b/>
          <w:bCs/>
          <w:color w:val="000000" w:themeColor="text1"/>
          <w:sz w:val="24"/>
          <w:szCs w:val="24"/>
          <w:lang w:val="en-US"/>
        </w:rPr>
      </w:pPr>
      <w:r w:rsidRPr="00CF138D">
        <w:rPr>
          <w:rFonts w:ascii="Times New Roman" w:eastAsia="Times New Roman" w:hAnsi="Times New Roman" w:cs="Times New Roman"/>
          <w:b/>
          <w:bCs/>
          <w:color w:val="000000" w:themeColor="text1"/>
          <w:sz w:val="24"/>
          <w:szCs w:val="24"/>
          <w:lang w:val="en-US"/>
        </w:rPr>
        <w:t>ADDITIONAL FILE</w:t>
      </w:r>
    </w:p>
    <w:p w14:paraId="298C1C2E" w14:textId="77777777" w:rsidR="00CF27CE" w:rsidRPr="00CF138D" w:rsidRDefault="00CF27CE" w:rsidP="00CF27CE">
      <w:pPr>
        <w:pStyle w:val="Paragraph"/>
        <w:spacing w:before="0" w:after="120" w:line="480" w:lineRule="auto"/>
        <w:ind w:firstLine="0"/>
        <w:jc w:val="both"/>
        <w:rPr>
          <w:b/>
          <w:bCs/>
          <w:color w:val="000000" w:themeColor="text1"/>
        </w:rPr>
      </w:pPr>
      <w:r w:rsidRPr="00CF138D">
        <w:rPr>
          <w:b/>
          <w:bCs/>
          <w:color w:val="000000" w:themeColor="text1"/>
        </w:rPr>
        <w:t>Material and methods</w:t>
      </w:r>
    </w:p>
    <w:p w14:paraId="7F21D50B" w14:textId="77777777" w:rsidR="00CF27CE" w:rsidRPr="00CF138D" w:rsidRDefault="00CF27CE" w:rsidP="00CF27CE">
      <w:pPr>
        <w:pStyle w:val="Paragraph"/>
        <w:spacing w:before="0" w:after="120" w:line="480" w:lineRule="auto"/>
        <w:ind w:firstLine="0"/>
        <w:jc w:val="both"/>
        <w:rPr>
          <w:i/>
          <w:color w:val="000000" w:themeColor="text1"/>
        </w:rPr>
      </w:pPr>
      <w:r w:rsidRPr="00CF138D">
        <w:rPr>
          <w:i/>
          <w:color w:val="000000" w:themeColor="text1"/>
        </w:rPr>
        <w:t>Mining transcriptome data for rhabdomyosarcoma</w:t>
      </w:r>
    </w:p>
    <w:p w14:paraId="4FF6FA03" w14:textId="77777777" w:rsidR="00CF27CE" w:rsidRPr="00CF138D" w:rsidRDefault="00CF27CE" w:rsidP="00CF27CE">
      <w:pPr>
        <w:pStyle w:val="Paragraph"/>
        <w:spacing w:before="0" w:after="120" w:line="480" w:lineRule="auto"/>
        <w:jc w:val="both"/>
        <w:rPr>
          <w:color w:val="000000" w:themeColor="text1"/>
        </w:rPr>
      </w:pPr>
      <w:r w:rsidRPr="00CF138D">
        <w:rPr>
          <w:color w:val="000000" w:themeColor="text1"/>
        </w:rPr>
        <w:t xml:space="preserve">We conducted an mRNA expression analysis using the R2 Genomics Analysis and Visualization platform (http://r2.amc.nl). The following datasets were included in our analysis: 1) Normal Muscle - </w:t>
      </w:r>
      <w:proofErr w:type="spellStart"/>
      <w:r w:rsidRPr="00CF138D">
        <w:rPr>
          <w:color w:val="000000" w:themeColor="text1"/>
        </w:rPr>
        <w:t>Hofman</w:t>
      </w:r>
      <w:proofErr w:type="spellEnd"/>
      <w:r w:rsidRPr="00CF138D">
        <w:rPr>
          <w:color w:val="000000" w:themeColor="text1"/>
        </w:rPr>
        <w:t xml:space="preserve"> - 121 - MAS5.0 - u133a: only the control group was selected (n=16) </w:t>
      </w:r>
      <w:r w:rsidRPr="00CF138D">
        <w:rPr>
          <w:color w:val="000000" w:themeColor="text1"/>
        </w:rPr>
        <w:fldChar w:fldCharType="begin" w:fldLock="1"/>
      </w:r>
      <w:r w:rsidRPr="00CF138D">
        <w:rPr>
          <w:color w:val="000000" w:themeColor="text1"/>
        </w:rPr>
        <w:instrText>ADDIN CSL_CITATION {"citationItems":[{"id":"ITEM-1","itemData":{"DOI":"10.1093/brain/awl023","ISSN":"14602156","PMID":"16478798","abstract":"Mutations of lamin A/C (LMNA) cause a wide range of human disorders, including progeria, lipodystrophy, neuropathies and autosomal dominant Emery-Dreifuss muscular dystrophy (EDMD). EDMD is also caused by X-linked recessive loss-of-function mutations of emerin, another component of the inner nuclear lamina that directly interacts with LMNA. One model for disease pathogenesis of LMNA and emerin mutations is cell-specific perturbations of the mRNA transcriptome in terminally differentiated cells. To test this model, we studied 125 human muscle biopsies from 13 diagnostic groups (125 U133A, 125 U133B microarrays), including EDMD patients with LMNA and emerin mutations. A Visual and Statistical Data Analyzer (VISDA) algorithm was used to statistically model cluster hierarchy, resulting in a tree of phenotypic classifications. Validations of the diagnostic tree included permutations of U133A and U133B arrays, and use of two probe set algorithms (MAS5.0 and MBE1). This showed that the two nuclear envelope defects (EDMD LMNA, EDMD emerin) were highly related disorders and were also related to fascioscapulohumeral muscular dystrophy (FSHD). FSHD has recently been hypothesized to involve abnormal interactions of chromatin with the nuclear envelope. To identify disease-specific transcripts for EDMD, we applied a leave-one-out (LOO) cross-validation approach using LMNA patient muscle as a test data set, with reverse transcription-polymerase chain reaction (RT-PCR) validations in both LMNA and emerin patient muscle. A high proportion of top-ranked and validated transcripts were components of the same transcriptional regulatory pathway involving Rb1 and MyoD during muscle regeneration (CRI-1, CREBBP, NapIL1, ECREBBP/p300), where each was specifically upregulated in EDMD. Using a muscle regeneration time series (27 time points) we develop a transcriptional model for downstream consequences of LMNA and emerin mutations. We propose that key interactions between the nuclear envelope and Rb and MyoD fail in EDMD at the point of myoblast exit from the cell cycle, leading to poorly coordinated phosphorylation and acetylation steps. Our data is consistent with mutations of nuclear lamina components leading to destabilization of the transcriptome in differentiated cells. © The Author (2006). Published by Oxford University Press on behalf of the Guarantors of Brain. All rights reserved.","author":[{"dropping-particle":"","family":"Bakay","given":"Marina","non-dropping-particle":"","parse-names":false,"suffix":""},{"dropping-particle":"","family":"Wang","given":"Zuyi","non-dropping-particle":"","parse-names":false,"suffix":""},{"dropping-particle":"","family":"Melcon","given":"Gisela","non-dropping-particle":"","parse-names":false,"suffix":""},{"dropping-particle":"","family":"Schiltz","given":"Louis","non-dropping-particle":"","parse-names":false,"suffix":""},{"dropping-particle":"","family":"Xuan","given":"Jianhua","non-dropping-particle":"","parse-names":false,"suffix":""},{"dropping-particle":"","family":"Zhao","given":"Po","non-dropping-particle":"","parse-names":false,"suffix":""},{"dropping-particle":"","family":"Sartorelli","given":"Vittorio","non-dropping-particle":"","parse-names":false,"suffix":""},{"dropping-particle":"","family":"Seo","given":"Jinwook","non-dropping-particle":"","parse-names":false,"suffix":""},{"dropping-particle":"","family":"Pegoraro","given":"Elena","non-dropping-particle":"","parse-names":false,"suffix":""},{"dropping-particle":"","family":"Angelini","given":"Corrado","non-dropping-particle":"","parse-names":false,"suffix":""},{"dropping-particle":"","family":"Shneiderman","given":"Ben","non-dropping-particle":"","parse-names":false,"suffix":""},{"dropping-particle":"","family":"Escolar","given":"Diana","non-dropping-particle":"","parse-names":false,"suffix":""},{"dropping-particle":"","family":"Chen","given":"Yi Wen","non-dropping-particle":"","parse-names":false,"suffix":""},{"dropping-particle":"","family":"Winokur","given":"Sara T.","non-dropping-particle":"","parse-names":false,"suffix":""},{"dropping-particle":"","family":"Pachman","given":"Lauren M.","non-dropping-particle":"","parse-names":false,"suffix":""},{"dropping-particle":"","family":"Fan","given":"Chenguang","non-dropping-particle":"","parse-names":false,"suffix":""},{"dropping-particle":"","family":"Mandler","given":"Raul","non-dropping-particle":"","parse-names":false,"suffix":""},{"dropping-particle":"","family":"Nevo","given":"Yoram","non-dropping-particle":"","parse-names":false,"suffix":""},{"dropping-particle":"","family":"Gordon","given":"Erynn","non-dropping-particle":"","parse-names":false,"suffix":""},{"dropping-particle":"","family":"Zhu","given":"Yitan","non-dropping-particle":"","parse-names":false,"suffix":""},{"dropping-particle":"","family":"Dong","given":"Yibin","non-dropping-particle":"","parse-names":false,"suffix":""},{"dropping-particle":"","family":"Wang","given":"Yue","non-dropping-particle":"","parse-names":false,"suffix":""},{"dropping-particle":"","family":"Hoffman","given":"Eric P.","non-dropping-particle":"","parse-names":false,"suffix":""}],"container-title":"Brain","id":"ITEM-1","issued":{"date-parts":[["2006"]]},"title":"Nuclear envelope dystrophies show a transcriptional fingerprint suggesting disruption of Rb-MyoD pathways in muscle regeneration","type":"article-journal"},"uris":["http://www.mendeley.com/documents/?uuid=9119f832-32ad-4ee5-9ee9-87729992c1d7"]}],"mendeley":{"formattedCitation":"[1]","plainTextFormattedCitation":"[1]","previouslyFormattedCitation":"[1]"},"properties":{"noteIndex":0},"schema":"https://github.com/citation-style-language/schema/raw/master/csl-citation.json"}</w:instrText>
      </w:r>
      <w:r w:rsidRPr="00CF138D">
        <w:rPr>
          <w:color w:val="000000" w:themeColor="text1"/>
        </w:rPr>
        <w:fldChar w:fldCharType="separate"/>
      </w:r>
      <w:r w:rsidRPr="00CF138D">
        <w:rPr>
          <w:noProof/>
          <w:color w:val="000000" w:themeColor="text1"/>
        </w:rPr>
        <w:t>[1]</w:t>
      </w:r>
      <w:r w:rsidRPr="00CF138D">
        <w:rPr>
          <w:color w:val="000000" w:themeColor="text1"/>
        </w:rPr>
        <w:fldChar w:fldCharType="end"/>
      </w:r>
      <w:r w:rsidRPr="00CF138D">
        <w:rPr>
          <w:color w:val="000000" w:themeColor="text1"/>
        </w:rPr>
        <w:t xml:space="preserve">; 2) Normal Muscle Skeletal - </w:t>
      </w:r>
      <w:proofErr w:type="spellStart"/>
      <w:r w:rsidRPr="00CF138D">
        <w:rPr>
          <w:color w:val="000000" w:themeColor="text1"/>
        </w:rPr>
        <w:t>Asmann</w:t>
      </w:r>
      <w:proofErr w:type="spellEnd"/>
      <w:r w:rsidRPr="00CF138D">
        <w:rPr>
          <w:color w:val="000000" w:themeColor="text1"/>
        </w:rPr>
        <w:t xml:space="preserve"> - 40 - MAS5.0 - u133p2: the analysis considered only young individuals to avoid age-related bias (n=20) </w:t>
      </w:r>
      <w:r w:rsidRPr="00CF138D">
        <w:rPr>
          <w:color w:val="000000" w:themeColor="text1"/>
        </w:rPr>
        <w:fldChar w:fldCharType="begin" w:fldLock="1"/>
      </w:r>
      <w:r w:rsidRPr="00CF138D">
        <w:rPr>
          <w:color w:val="000000" w:themeColor="text1"/>
        </w:rPr>
        <w:instrText>ADDIN CSL_CITATION {"citationItems":[{"id":"ITEM-1","itemData":{"DOI":"10.2337/db08-0349","ISSN":"00121797","PMID":"18716044","abstract":"OBJECTIVE-We determined whether reduced insulin sensitivity, mitochondrial dysfunction, and other age-related dysfunctions are inevitable consequences of aging or secondary to physical inactivity. RESEARCH DESIGN AND METHODS-Insulin sensitivity was measured by hyperinsulinemic-euglycemic clamp and ATP production in mitochondria isolated from vastus lateralis biopsies of 42 healthy sedentary and endurance-trained young (18-30 years old) and older (59-76 years old) subjects. Expression of proteins involved in fuel metabolism was measured by mass spectrometry. Citrate synthase activity, mitochondrial DNA (mtDNA) abundance, and expression of nuclear-encoded transcription factors for mitochondrial biogenesis were measured. SIRT3, a mitochondrial sirtuin linked to lifespan-enhancing effects of caloric restriction, was measured by immunoblot. RESULTS-Insulin-induced glucose disposal and suppression of endogenous glucose production were higher in the trained young and older subjects, but no age effect was noted. Age-related decline in mitochondrial oxidative capacity was absent in endurance-trained individuals. Although endurance-trained individuals exhibited higher expression of mitochondrial proteins, mtDNA, and mitochondrial transcription factors, there were persisting effects of age. SIRT3 expression was lower with age in sedentary but equally elevated regardless of age in endurance-trained individuals. CONCLUSIONS-The results demonstrate that reduced insulin sensitivity is likely related to changes in adiposity and to physical inactivity rather than being an inevitable consequence of aging. The results also show that regular endurance exercise partly normalizes age-related mitochondrial dysfunction, although there are persisting effects of age on mtDNA abundance and expression of nuclear transcription factors and mitochondrial protein. Furthermore, exercise may promote longevity through pathways common to effects of caloric restriction. © 2008 by the American Diabetes Association.","author":[{"dropping-particle":"","family":"Lanza","given":"Ian R.","non-dropping-particle":"","parse-names":false,"suffix":""},{"dropping-particle":"","family":"Short","given":"Daniel K.","non-dropping-particle":"","parse-names":false,"suffix":""},{"dropping-particle":"","family":"Short","given":"Kevin R.","non-dropping-particle":"","parse-names":false,"suffix":""},{"dropping-particle":"","family":"Raghavakaimal","given":"Sreekumar","non-dropping-particle":"","parse-names":false,"suffix":""},{"dropping-particle":"","family":"Basu","given":"Rita","non-dropping-particle":"","parse-names":false,"suffix":""},{"dropping-particle":"","family":"Joyner","given":"Michael J.","non-dropping-particle":"","parse-names":false,"suffix":""},{"dropping-particle":"","family":"McConnell","given":"Joseph P.","non-dropping-particle":"","parse-names":false,"suffix":""},{"dropping-particle":"","family":"Nair","given":"K. Sreekumaran","non-dropping-particle":"","parse-names":false,"suffix":""}],"container-title":"Diabetes","id":"ITEM-1","issued":{"date-parts":[["2008"]]},"title":"Endurance exercise as a countermeasure for aging","type":"article-journal"},"uris":["http://www.mendeley.com/documents/?uuid=a5ba10ba-5ec9-431e-b70b-93125c59012b"]}],"mendeley":{"formattedCitation":"[2]","plainTextFormattedCitation":"[2]","previouslyFormattedCitation":"[2]"},"properties":{"noteIndex":0},"schema":"https://github.com/citation-style-language/schema/raw/master/csl-citation.json"}</w:instrText>
      </w:r>
      <w:r w:rsidRPr="00CF138D">
        <w:rPr>
          <w:color w:val="000000" w:themeColor="text1"/>
        </w:rPr>
        <w:fldChar w:fldCharType="separate"/>
      </w:r>
      <w:r w:rsidRPr="00CF138D">
        <w:rPr>
          <w:noProof/>
          <w:color w:val="000000" w:themeColor="text1"/>
        </w:rPr>
        <w:t>[2]</w:t>
      </w:r>
      <w:r w:rsidRPr="00CF138D">
        <w:rPr>
          <w:color w:val="000000" w:themeColor="text1"/>
        </w:rPr>
        <w:fldChar w:fldCharType="end"/>
      </w:r>
      <w:r w:rsidRPr="00CF138D">
        <w:rPr>
          <w:color w:val="000000" w:themeColor="text1"/>
        </w:rPr>
        <w:t xml:space="preserve">; 3) Normal Muscle - Gordon - 22 - MAS5.0 - u133p2: only the subset of young patients (n=14) was included (n=14) </w:t>
      </w:r>
      <w:r w:rsidRPr="00CF138D">
        <w:rPr>
          <w:color w:val="000000" w:themeColor="text1"/>
        </w:rPr>
        <w:fldChar w:fldCharType="begin" w:fldLock="1"/>
      </w:r>
      <w:r w:rsidRPr="00CF138D">
        <w:rPr>
          <w:color w:val="000000" w:themeColor="text1"/>
        </w:rPr>
        <w:instrText>ADDIN CSL_CITATION {"citationItems":[{"id":"ITEM-1","itemData":{"DOI":"10.1093/gerona/glt015","ISSN":"10795006","PMID":"23418191","abstract":"To develop a global view of muscle transcriptional differences between older men and women and sex-specific aging, we obtained muscle biopsies from the biceps brachii of young and older men and women and profiled the whole-genome gene expression using microarray. A logistic regression-based method in combination with an intensity-based Bayesian moderated t test was used to identify significant sex-and aging-related gene functional groups. Our analysis revealed extensive sex differences in the muscle transcriptome of older individuals and different patterns of transcriptional changes with aging in men and women. In older women, we observed a coordinated transcriptional upregulation of immune activation, extracellular matrix remodeling, and lipids storage; and a downregulation of mitochondrial biogenesis and function and muscle regeneration. The effect of aging results in sexual dimorphic alterations in the skeletal muscle transcriptome, which may modify the risk for developing musculoskeletal and metabolic diseases in men and women. © 2013 The Author.","author":[{"dropping-particle":"","family":"Liu","given":"Dongmei","non-dropping-particle":"","parse-names":false,"suffix":""},{"dropping-particle":"","family":"Sartor","given":"Maureen A.","non-dropping-particle":"","parse-names":false,"suffix":""},{"dropping-particle":"","family":"Nader","given":"Gustavo A.","non-dropping-particle":"","parse-names":false,"suffix":""},{"dropping-particle":"","family":"Pistilli","given":"Emidio E.","non-dropping-particle":"","parse-names":false,"suffix":""},{"dropping-particle":"","family":"Tanton","given":"Leah","non-dropping-particle":"","parse-names":false,"suffix":""},{"dropping-particle":"","family":"Lilly","given":"Charles","non-dropping-particle":"","parse-names":false,"suffix":""},{"dropping-particle":"","family":"Gutmann","given":"Laurie","non-dropping-particle":"","parse-names":false,"suffix":""},{"dropping-particle":"","family":"Iglayreger","given":"Heidi B.","non-dropping-particle":"","parse-names":false,"suffix":""},{"dropping-particle":"","family":"Visich","given":"Paul S.","non-dropping-particle":"","parse-names":false,"suffix":""},{"dropping-particle":"","family":"Hoffman","given":"Eric P.","non-dropping-particle":"","parse-names":false,"suffix":""},{"dropping-particle":"","family":"Gordon","given":"Paul M.","non-dropping-particle":"","parse-names":false,"suffix":""}],"container-title":"Journals of Gerontology - Series A Biological Sciences and Medical Sciences","id":"ITEM-1","issued":{"date-parts":[["2013"]]},"title":"Microarray analysis reveals novel features of the muscle aging process in men and women","type":"article-journal"},"uris":["http://www.mendeley.com/documents/?uuid=249db7ca-8369-41c7-a9c2-301cb7ead53b"]}],"mendeley":{"formattedCitation":"[3]","plainTextFormattedCitation":"[3]","previouslyFormattedCitation":"[3]"},"properties":{"noteIndex":0},"schema":"https://github.com/citation-style-language/schema/raw/master/csl-citation.json"}</w:instrText>
      </w:r>
      <w:r w:rsidRPr="00CF138D">
        <w:rPr>
          <w:color w:val="000000" w:themeColor="text1"/>
        </w:rPr>
        <w:fldChar w:fldCharType="separate"/>
      </w:r>
      <w:r w:rsidRPr="00CF138D">
        <w:rPr>
          <w:noProof/>
          <w:color w:val="000000" w:themeColor="text1"/>
        </w:rPr>
        <w:t>[3]</w:t>
      </w:r>
      <w:r w:rsidRPr="00CF138D">
        <w:rPr>
          <w:color w:val="000000" w:themeColor="text1"/>
        </w:rPr>
        <w:fldChar w:fldCharType="end"/>
      </w:r>
      <w:r w:rsidRPr="00CF138D">
        <w:rPr>
          <w:color w:val="000000" w:themeColor="text1"/>
        </w:rPr>
        <w:t xml:space="preserve">; 4) Tumor Rhabdomyosarcoma - </w:t>
      </w:r>
      <w:proofErr w:type="spellStart"/>
      <w:r w:rsidRPr="00CF138D">
        <w:rPr>
          <w:color w:val="000000" w:themeColor="text1"/>
        </w:rPr>
        <w:t>Davicioni</w:t>
      </w:r>
      <w:proofErr w:type="spellEnd"/>
      <w:r w:rsidRPr="00CF138D">
        <w:rPr>
          <w:color w:val="000000" w:themeColor="text1"/>
        </w:rPr>
        <w:t xml:space="preserve"> - 147 - MAS5.0 - u133a: this dataset comprised 147 tumor samples (n=147) </w:t>
      </w:r>
      <w:r w:rsidRPr="00CF138D">
        <w:rPr>
          <w:color w:val="000000" w:themeColor="text1"/>
        </w:rPr>
        <w:fldChar w:fldCharType="begin" w:fldLock="1"/>
      </w:r>
      <w:r w:rsidRPr="00CF138D">
        <w:rPr>
          <w:color w:val="000000" w:themeColor="text1"/>
        </w:rPr>
        <w:instrText>ADDIN CSL_CITATION {"citationItems":[{"id":"ITEM-1","itemData":{"DOI":"10.1158/0008-5472.CAN-05-4578","ISSN":"00085472","PMID":"16849537","abstract":"Alveolar rhabdomyosarcomas (ARMS) are aggressive soft-tissue sarcomas affecting children and young adults. Most ARMS tumors express the PAX3-FKHR or PAX7-FKHR (PAX-FKHR) fusion genes resulting from the t(2;13) or t(1;13) chromosomal translocations, respectively. However, up to 25% of ARMS tumors are fusion negative, making it unclear whether ARMS represent a single disease or multiple clinical and biological entities with a common phenotype. To test to what extent PAX-FKHR determine class and behavior of ARMS, we used oligonucleotide microarray expression profiling on 139 primary rhabdomyosarcoma tumors and an in vitro model. We found that ARMS tumors expressing either PAX-FKHR gene share a common expression profile distinct from fusion-negative ARMS and from the other rhabdomyosarcoma variants. We also observed that PAX-FKHR expression above a minimum level is necessary for the detection of this expression profile. Using an ectopic PAX3-FKHR and PAX7-FKHR expression model, we identified an expression signature regulated by PAX-FKHR that is specific to PAX-FKHR-positive ARMS tumors. Data mining for functional annotations of signature genes suggested a role for PAX-FKHR in regulating ARMS proliferation and differentiation. Cox regression modeling identified a subset of genes within the PAX-FKHR expression signature that segregated ARMS patients into three risk groups with 5-year overall survival estimates of 7%, 48%, and 93%. These prognostic classes were independent of conventional clinical risk factors. Our results show that PAX-FKHR dictate a specific expression signature that helps define the molecular phenotype of PAX-FKHR-positive ARMS tumors and, because it is linked with disease outcome in ARMS patients, determine tumor behavior. ©2006 American Association for Cancer Research.","author":[{"dropping-particle":"","family":"Davicioni","given":"Elai","non-dropping-particle":"","parse-names":false,"suffix":""},{"dropping-particle":"","family":"Finckenstein","given":"Friedrich Graf","non-dropping-particle":"","parse-names":false,"suffix":""},{"dropping-particle":"","family":"Shahbazian","given":"Violette","non-dropping-particle":"","parse-names":false,"suffix":""},{"dropping-particle":"","family":"Buckley","given":"Jonathan D.","non-dropping-particle":"","parse-names":false,"suffix":""},{"dropping-particle":"","family":"Triche","given":"Timothy J.","non-dropping-particle":"","parse-names":false,"suffix":""},{"dropping-particle":"","family":"Anderson","given":"Michael J.","non-dropping-particle":"","parse-names":false,"suffix":""}],"container-title":"Cancer Research","id":"ITEM-1","issued":{"date-parts":[["2006"]]},"title":"Identification of a PAX-FKHR gene expression signature that defines molecular classes and determines the prognosis of alveolar rhabdomyosarcomas","type":"article-journal"},"uris":["http://www.mendeley.com/documents/?uuid=ace60d31-9b43-457e-b86e-a3c03e3ee8e9"]}],"mendeley":{"formattedCitation":"[4]","plainTextFormattedCitation":"[4]","previouslyFormattedCitation":"[4]"},"properties":{"noteIndex":0},"schema":"https://github.com/citation-style-language/schema/raw/master/csl-citation.json"}</w:instrText>
      </w:r>
      <w:r w:rsidRPr="00CF138D">
        <w:rPr>
          <w:color w:val="000000" w:themeColor="text1"/>
        </w:rPr>
        <w:fldChar w:fldCharType="separate"/>
      </w:r>
      <w:r w:rsidRPr="00CF138D">
        <w:rPr>
          <w:noProof/>
          <w:color w:val="000000" w:themeColor="text1"/>
        </w:rPr>
        <w:t>[4]</w:t>
      </w:r>
      <w:r w:rsidRPr="00CF138D">
        <w:rPr>
          <w:color w:val="000000" w:themeColor="text1"/>
        </w:rPr>
        <w:fldChar w:fldCharType="end"/>
      </w:r>
      <w:r w:rsidRPr="00CF138D">
        <w:rPr>
          <w:color w:val="000000" w:themeColor="text1"/>
        </w:rPr>
        <w:t xml:space="preserve">; 5) Tumor Alveolar Rhabdomyosarcoma - </w:t>
      </w:r>
      <w:proofErr w:type="spellStart"/>
      <w:r w:rsidRPr="00CF138D">
        <w:rPr>
          <w:color w:val="000000" w:themeColor="text1"/>
        </w:rPr>
        <w:t>Heiskanen</w:t>
      </w:r>
      <w:proofErr w:type="spellEnd"/>
      <w:r w:rsidRPr="00CF138D">
        <w:rPr>
          <w:color w:val="000000" w:themeColor="text1"/>
        </w:rPr>
        <w:t xml:space="preserve"> - 186 - MAS5.0 - u133a: only patient tumor samples were used for the analysis, excluding cell line data (n=158) </w:t>
      </w:r>
      <w:r w:rsidRPr="00CF138D">
        <w:rPr>
          <w:color w:val="000000" w:themeColor="text1"/>
        </w:rPr>
        <w:fldChar w:fldCharType="begin" w:fldLock="1"/>
      </w:r>
      <w:r w:rsidRPr="00CF138D">
        <w:rPr>
          <w:color w:val="000000" w:themeColor="text1"/>
        </w:rPr>
        <w:instrText>ADDIN CSL_CITATION {"citationItems":[{"id":"ITEM-1","itemData":{"DOI":"10.1158/0008-5472.CAN-05-4578","ISSN":"00085472","PMID":"16849537","abstract":"Alveolar rhabdomyosarcomas (ARMS) are aggressive soft-tissue sarcomas affecting children and young adults. Most ARMS tumors express the PAX3-FKHR or PAX7-FKHR (PAX-FKHR) fusion genes resulting from the t(2;13) or t(1;13) chromosomal translocations, respectively. However, up to 25% of ARMS tumors are fusion negative, making it unclear whether ARMS represent a single disease or multiple clinical and biological entities with a common phenotype. To test to what extent PAX-FKHR determine class and behavior of ARMS, we used oligonucleotide microarray expression profiling on 139 primary rhabdomyosarcoma tumors and an in vitro model. We found that ARMS tumors expressing either PAX-FKHR gene share a common expression profile distinct from fusion-negative ARMS and from the other rhabdomyosarcoma variants. We also observed that PAX-FKHR expression above a minimum level is necessary for the detection of this expression profile. Using an ectopic PAX3-FKHR and PAX7-FKHR expression model, we identified an expression signature regulated by PAX-FKHR that is specific to PAX-FKHR-positive ARMS tumors. Data mining for functional annotations of signature genes suggested a role for PAX-FKHR in regulating ARMS proliferation and differentiation. Cox regression modeling identified a subset of genes within the PAX-FKHR expression signature that segregated ARMS patients into three risk groups with 5-year overall survival estimates of 7%, 48%, and 93%. These prognostic classes were independent of conventional clinical risk factors. Our results show that PAX-FKHR dictate a specific expression signature that helps define the molecular phenotype of PAX-FKHR-positive ARMS tumors and, because it is linked with disease outcome in ARMS patients, determine tumor behavior. ©2006 American Association for Cancer Research.","author":[{"dropping-particle":"","family":"Davicioni","given":"Elai","non-dropping-particle":"","parse-names":false,"suffix":""},{"dropping-particle":"","family":"Finckenstein","given":"Friedrich Graf","non-dropping-particle":"","parse-names":false,"suffix":""},{"dropping-particle":"","family":"Shahbazian","given":"Violette","non-dropping-particle":"","parse-names":false,"suffix":""},{"dropping-particle":"","family":"Buckley","given":"Jonathan D.","non-dropping-particle":"","parse-names":false,"suffix":""},{"dropping-particle":"","family":"Triche","given":"Timothy J.","non-dropping-particle":"","parse-names":false,"suffix":""},{"dropping-particle":"","family":"Anderson","given":"Michael J.","non-dropping-particle":"","parse-names":false,"suffix":""}],"container-title":"Cancer Research","id":"ITEM-1","issued":{"date-parts":[["2006"]]},"title":"Identification of a PAX-FKHR gene expression signature that defines molecular classes and determines the prognosis of alveolar rhabdomyosarcomas","type":"article-journal"},"uris":["http://www.mendeley.com/documents/?uuid=ace60d31-9b43-457e-b86e-a3c03e3ee8e9"]}],"mendeley":{"formattedCitation":"[4]","plainTextFormattedCitation":"[4]","previouslyFormattedCitation":"[4]"},"properties":{"noteIndex":0},"schema":"https://github.com/citation-style-language/schema/raw/master/csl-citation.json"}</w:instrText>
      </w:r>
      <w:r w:rsidRPr="00CF138D">
        <w:rPr>
          <w:color w:val="000000" w:themeColor="text1"/>
        </w:rPr>
        <w:fldChar w:fldCharType="separate"/>
      </w:r>
      <w:r w:rsidRPr="00CF138D">
        <w:rPr>
          <w:noProof/>
          <w:color w:val="000000" w:themeColor="text1"/>
          <w:lang w:val="es-ES"/>
        </w:rPr>
        <w:t>[4]</w:t>
      </w:r>
      <w:r w:rsidRPr="00CF138D">
        <w:rPr>
          <w:color w:val="000000" w:themeColor="text1"/>
        </w:rPr>
        <w:fldChar w:fldCharType="end"/>
      </w:r>
      <w:r w:rsidRPr="00CF138D">
        <w:rPr>
          <w:color w:val="000000" w:themeColor="text1"/>
          <w:lang w:val="es-ES"/>
        </w:rPr>
        <w:t xml:space="preserve">; and 6) Tumor </w:t>
      </w:r>
      <w:proofErr w:type="spellStart"/>
      <w:r w:rsidRPr="00CF138D">
        <w:rPr>
          <w:color w:val="000000" w:themeColor="text1"/>
          <w:lang w:val="es-ES"/>
        </w:rPr>
        <w:t>Rhabdomyosarcoma</w:t>
      </w:r>
      <w:proofErr w:type="spellEnd"/>
      <w:r w:rsidRPr="00CF138D">
        <w:rPr>
          <w:color w:val="000000" w:themeColor="text1"/>
          <w:lang w:val="es-ES"/>
        </w:rPr>
        <w:t xml:space="preserve"> - </w:t>
      </w:r>
      <w:proofErr w:type="spellStart"/>
      <w:r w:rsidRPr="00CF138D">
        <w:rPr>
          <w:color w:val="000000" w:themeColor="text1"/>
          <w:lang w:val="es-ES"/>
        </w:rPr>
        <w:t>Barr</w:t>
      </w:r>
      <w:proofErr w:type="spellEnd"/>
      <w:r w:rsidRPr="00CF138D">
        <w:rPr>
          <w:color w:val="000000" w:themeColor="text1"/>
          <w:lang w:val="es-ES"/>
        </w:rPr>
        <w:t xml:space="preserve"> - 58 - MAS5.0 - u133p2 (n=58) </w:t>
      </w:r>
      <w:r w:rsidRPr="00CF138D">
        <w:rPr>
          <w:color w:val="000000" w:themeColor="text1"/>
        </w:rPr>
        <w:fldChar w:fldCharType="begin" w:fldLock="1"/>
      </w:r>
      <w:r w:rsidRPr="00CF138D">
        <w:rPr>
          <w:color w:val="000000" w:themeColor="text1"/>
          <w:lang w:val="es-ES"/>
        </w:rPr>
        <w:instrText>ADDIN CSL_CITATION {"citationItems":[{"id":"ITEM-1","itemData":{"DOI":"10.1038/modpathol.2015.82","ISSN":"15300285","PMID":"26226845","abstract":"Rhabdomyosarcoma comprises two major subtypes, fusion positive (PAX3-FOXO1 or PAX7-FOXO1) and fusion negative. To investigate the significance of DNA methylation in these subtypes, we analyzed methylation profiles of 37 rhabdomyosarcoma tumors and 10 rhabdomyosarcoma cell lines, as well as 8 normal tissues. Unsupervised clustering of DNA methylation clearly distinguished the fusion-positive and fusion-negative subsets. The fusion-positive tumors showed substantially lower overall levels of methylation compared with fusion-negative tumors. Comparison with the methylation pattern of normal skeletal muscle and bone marrow indicates that fusion-negative rhabdomyosarcoma is more similar to these normal tissues compared with fusion-positive rhabdomyosarcoma, and suggests that many of the methylation differences between these subtypes arise from 'aberrant' hyper- and hypomethylation events in fusion-positive rhabdomyosarcoma. Integrative methylation and gene expression analysis revealed that methylation differences between fusion-positive and fusion-negative tumors could either be positively or negatively associated with mRNA expression. There was no significant difference in the distribution of PAX3-FOXO1-binding sites between genes with and without differential methylation. However, the finding that PAX3-FOXO1-binding sites were enriched among genes that were both differentially methylated and differentially expressed suggests that the fusion protein interacts with DNA methylation to regulate target gene expression. An 11-gene DNA methylation signature, classifying the rhabdomyosarcoma tumors into fusion-positive and fusion-negative subsets, was established and validated by pyrosequencing assays. Notably, EMILIN1 (part of the 11-gene signature) showed higher methylation and lower mRNA expression in fusion-positive compared with fusion-negative tumors, and demonstrated demethylation and re-expression in multiple fusion-positive cell lines after treatment with 5-aza-2′-deoxycytidine. In conclusion, our study demonstrates that fusion-positive and fusion-negative rhabdomyosarcoma tumors possess characteristic methylation profiles that contribute to the expression differences between these fusion subtypes. These findings indicate an important relationship between fusion status and epigenetic changes in rhabdomyosarcoma, present a novel appro</w:instrText>
      </w:r>
      <w:r w:rsidRPr="00CF138D">
        <w:rPr>
          <w:color w:val="000000" w:themeColor="text1"/>
        </w:rPr>
        <w:instrText>ach for ascertaining fusion status, and may identify new therapeutic targets in rhabdomyosarcoma.","author":[{"dropping-particle":"","family":"Sun","given":"Wenyue","non-dropping-particle":"","parse-names":false,"suffix":""},{"dropping-particle":"","family":"Chatterjee","given":"Bishwanath","non-dropping-particle":"","parse-names":false,"suffix":""},{"dropping-particle":"","family":"Wang","given":"Yonghong","non-dropping-particle":"","parse-names":false,"suffix":""},{"dropping-particle":"","family":"Stevenson","given":"Holly S.","non-dropping-particle":"","parse-names":false,"suffix":""},{"dropping-particle":"","family":"Edelman","given":"Daniel C.","non-dropping-particle":"","parse-names":false,"suffix":""},{"dropping-particle":"","family":"Meltzer","given":"Paul S.","non-dropping-particle":"","parse-names":false,"suffix":""},{"dropping-particle":"","family":"Barr","given":"Frederic G.","non-dropping-particle":"","parse-names":false,"suffix":""}],"container-title":"Modern Pathology","id":"ITEM-1","issued":{"date-parts":[["2015"]]},"title":"Distinct methylation profiles characterize fusion-positive and fusion-negative rhabdomyosarcoma","type":"article-journal"},"uris":["http://www.mendeley.com/documents/?uuid=2cf65932-ec38-4c91-833b-092619e36a93"]}],"mendeley":{"formattedCitation":"[5]","plainTextFormattedCitation":"[5]","previouslyFormattedCitation":"[5]"},"properties":{"noteIndex":0},"schema":"https://github.com/citation-style-language/schema/raw/master/csl-citation.json"}</w:instrText>
      </w:r>
      <w:r w:rsidRPr="00CF138D">
        <w:rPr>
          <w:color w:val="000000" w:themeColor="text1"/>
        </w:rPr>
        <w:fldChar w:fldCharType="separate"/>
      </w:r>
      <w:r w:rsidRPr="00CF138D">
        <w:rPr>
          <w:noProof/>
          <w:color w:val="000000" w:themeColor="text1"/>
        </w:rPr>
        <w:t>[5]</w:t>
      </w:r>
      <w:r w:rsidRPr="00CF138D">
        <w:rPr>
          <w:color w:val="000000" w:themeColor="text1"/>
        </w:rPr>
        <w:fldChar w:fldCharType="end"/>
      </w:r>
      <w:r w:rsidRPr="00CF138D">
        <w:rPr>
          <w:color w:val="000000" w:themeColor="text1"/>
        </w:rPr>
        <w:t xml:space="preserve">. </w:t>
      </w:r>
    </w:p>
    <w:p w14:paraId="50E21809" w14:textId="77777777" w:rsidR="00CF27CE" w:rsidRPr="00CF138D" w:rsidRDefault="00CF27CE" w:rsidP="00CF27CE">
      <w:pPr>
        <w:pStyle w:val="Paragraph"/>
        <w:spacing w:before="0" w:after="120" w:line="480" w:lineRule="auto"/>
        <w:jc w:val="both"/>
        <w:rPr>
          <w:color w:val="000000" w:themeColor="text1"/>
        </w:rPr>
      </w:pPr>
    </w:p>
    <w:p w14:paraId="0CC0EE09" w14:textId="77777777" w:rsidR="00CF27CE" w:rsidRPr="00CF138D" w:rsidRDefault="00CF27CE" w:rsidP="00CF27CE">
      <w:pPr>
        <w:pStyle w:val="Paragraph"/>
        <w:spacing w:before="0" w:after="120" w:line="480" w:lineRule="auto"/>
        <w:ind w:firstLine="0"/>
        <w:jc w:val="both"/>
        <w:rPr>
          <w:i/>
          <w:color w:val="000000" w:themeColor="text1"/>
        </w:rPr>
      </w:pPr>
      <w:r w:rsidRPr="00CF138D">
        <w:rPr>
          <w:i/>
          <w:color w:val="000000" w:themeColor="text1"/>
        </w:rPr>
        <w:t>Cell lines and culture conditions</w:t>
      </w:r>
    </w:p>
    <w:p w14:paraId="60787DCC" w14:textId="77777777" w:rsidR="00CF27CE" w:rsidRPr="00CF138D" w:rsidRDefault="00CF27CE" w:rsidP="00CF27CE">
      <w:pPr>
        <w:pStyle w:val="Paragraph"/>
        <w:spacing w:after="120" w:line="480" w:lineRule="auto"/>
        <w:jc w:val="both"/>
        <w:rPr>
          <w:color w:val="000000" w:themeColor="text1"/>
        </w:rPr>
      </w:pPr>
      <w:r w:rsidRPr="00CF138D">
        <w:rPr>
          <w:color w:val="000000" w:themeColor="text1"/>
        </w:rPr>
        <w:t>All cell lines were cultured in MEM media (</w:t>
      </w:r>
      <w:proofErr w:type="spellStart"/>
      <w:r w:rsidRPr="00CF138D">
        <w:rPr>
          <w:color w:val="000000" w:themeColor="text1"/>
        </w:rPr>
        <w:t>Biowest</w:t>
      </w:r>
      <w:proofErr w:type="spellEnd"/>
      <w:r w:rsidRPr="00CF138D">
        <w:rPr>
          <w:color w:val="000000" w:themeColor="text1"/>
        </w:rPr>
        <w:t xml:space="preserve">) supplemented with 10% fetal bovine serum (Sigma-Aldrich), 2mM L-glutamine, 1mM sodium pyruvate, 1x non-essential amino acids, 100U/ml penicillin, and 0.1mg/ml streptomycin (all from </w:t>
      </w:r>
      <w:proofErr w:type="spellStart"/>
      <w:r w:rsidRPr="00CF138D">
        <w:rPr>
          <w:color w:val="000000" w:themeColor="text1"/>
        </w:rPr>
        <w:t>Biowest</w:t>
      </w:r>
      <w:proofErr w:type="spellEnd"/>
      <w:r w:rsidRPr="00CF138D">
        <w:rPr>
          <w:color w:val="000000" w:themeColor="text1"/>
        </w:rPr>
        <w:t>). Cells were maintained in a humidified incubator with 5% CO</w:t>
      </w:r>
      <w:r w:rsidRPr="00CF138D">
        <w:rPr>
          <w:color w:val="000000" w:themeColor="text1"/>
          <w:vertAlign w:val="subscript"/>
        </w:rPr>
        <w:t>2</w:t>
      </w:r>
      <w:r w:rsidRPr="00CF138D">
        <w:rPr>
          <w:color w:val="000000" w:themeColor="text1"/>
        </w:rPr>
        <w:t xml:space="preserve"> at 37°C.</w:t>
      </w:r>
    </w:p>
    <w:p w14:paraId="6653EB0E" w14:textId="77777777" w:rsidR="00CF27CE" w:rsidRPr="00CF138D" w:rsidRDefault="00CF27CE" w:rsidP="00CF27CE">
      <w:pPr>
        <w:pStyle w:val="Paragraph"/>
        <w:spacing w:before="0" w:after="120" w:line="480" w:lineRule="auto"/>
        <w:ind w:firstLine="0"/>
        <w:jc w:val="both"/>
        <w:rPr>
          <w:i/>
          <w:color w:val="000000" w:themeColor="text1"/>
        </w:rPr>
      </w:pPr>
      <w:r w:rsidRPr="00CF138D">
        <w:rPr>
          <w:i/>
          <w:color w:val="000000" w:themeColor="text1"/>
        </w:rPr>
        <w:lastRenderedPageBreak/>
        <w:t>Lentiviral transduction</w:t>
      </w:r>
    </w:p>
    <w:p w14:paraId="3C6D53F3" w14:textId="77777777" w:rsidR="002B287D" w:rsidRPr="00CF138D" w:rsidRDefault="002B287D" w:rsidP="002B287D">
      <w:pPr>
        <w:pStyle w:val="Paragraph"/>
        <w:spacing w:before="0" w:after="120" w:line="480" w:lineRule="auto"/>
        <w:jc w:val="both"/>
        <w:rPr>
          <w:color w:val="000000" w:themeColor="text1"/>
        </w:rPr>
      </w:pPr>
      <w:r w:rsidRPr="00CF138D">
        <w:rPr>
          <w:color w:val="000000" w:themeColor="text1"/>
        </w:rPr>
        <w:t>To achieve TRIB3 knockdown, we employed shRNA technology using the pLKO.1 (constitutive) or pLKO-3xLacO (inducible by IPTG) vector systems from MISSION® shRNA (Sigma Aldrich). In the constitutive system, we tested five different shRNA sequences: TRCN0000197212 (referred to as sh12), TRCN0000295919 (sh19), TRCN0000196756 (sh56), TRCN0000199684 (sh84), and TRCN0000307989 (sh89). Among these, sh56 and sh84 were selected for further experimental procedures. Lentiviral particles were generated by co-transfecting the respective vectors with the packaging plasmids pMD2.G (RRID: Addgene_12259) and psPAX2 (RRID: Addgene_12260) in HEK293T cells (RRID: CVCL_0063). Subsequently, 2×10</w:t>
      </w:r>
      <w:r w:rsidRPr="00CF138D">
        <w:rPr>
          <w:color w:val="000000" w:themeColor="text1"/>
          <w:vertAlign w:val="superscript"/>
        </w:rPr>
        <w:t>5</w:t>
      </w:r>
      <w:r w:rsidRPr="00CF138D">
        <w:rPr>
          <w:color w:val="000000" w:themeColor="text1"/>
        </w:rPr>
        <w:t xml:space="preserve"> cells (RD, RH4, or RH30) were seeded in 60mm dishes, incubated overnight, and infected with the produced lentiviral particles. After 48 hours of infection, positive-transduced cells were selected by treating them with puromycin (1μg/ml, Sigma-Aldrich) for 72 hours. The knockdown efficiency was assessed by performing WB analysis.</w:t>
      </w:r>
    </w:p>
    <w:p w14:paraId="493A5F47" w14:textId="77777777" w:rsidR="00CF27CE" w:rsidRPr="00CF138D" w:rsidRDefault="00CF27CE" w:rsidP="00CF27CE">
      <w:pPr>
        <w:pStyle w:val="Paragraph"/>
        <w:spacing w:before="0" w:after="120" w:line="480" w:lineRule="auto"/>
        <w:ind w:firstLine="0"/>
        <w:jc w:val="both"/>
        <w:rPr>
          <w:b/>
          <w:color w:val="000000" w:themeColor="text1"/>
        </w:rPr>
      </w:pPr>
    </w:p>
    <w:p w14:paraId="5F660401" w14:textId="77777777" w:rsidR="00CF27CE" w:rsidRPr="00CF138D" w:rsidRDefault="00CF27CE" w:rsidP="00CF27CE">
      <w:pPr>
        <w:pStyle w:val="Paragraph"/>
        <w:spacing w:before="0" w:after="120" w:line="480" w:lineRule="auto"/>
        <w:ind w:firstLine="0"/>
        <w:jc w:val="both"/>
        <w:rPr>
          <w:i/>
          <w:color w:val="000000" w:themeColor="text1"/>
        </w:rPr>
      </w:pPr>
      <w:r w:rsidRPr="00CF138D">
        <w:rPr>
          <w:i/>
          <w:color w:val="000000" w:themeColor="text1"/>
        </w:rPr>
        <w:t>Cell survival</w:t>
      </w:r>
    </w:p>
    <w:p w14:paraId="67B472B4" w14:textId="77777777" w:rsidR="00CF27CE" w:rsidRPr="00CF138D" w:rsidRDefault="00CF27CE" w:rsidP="00CF27CE">
      <w:pPr>
        <w:pStyle w:val="Paragraph"/>
        <w:spacing w:before="0" w:after="120" w:line="480" w:lineRule="auto"/>
        <w:jc w:val="both"/>
        <w:rPr>
          <w:color w:val="000000" w:themeColor="text1"/>
        </w:rPr>
      </w:pPr>
      <w:r w:rsidRPr="00CF138D">
        <w:rPr>
          <w:color w:val="000000" w:themeColor="text1"/>
        </w:rPr>
        <w:t>The crystal violet assay was conducted to measure cell survival. Briefly, 5×10</w:t>
      </w:r>
      <w:r w:rsidRPr="00CF138D">
        <w:rPr>
          <w:color w:val="000000" w:themeColor="text1"/>
          <w:vertAlign w:val="superscript"/>
        </w:rPr>
        <w:t>2</w:t>
      </w:r>
      <w:r w:rsidRPr="00CF138D">
        <w:rPr>
          <w:color w:val="000000" w:themeColor="text1"/>
        </w:rPr>
        <w:t xml:space="preserve"> cells were seeded in 96-well plates. After 1, 3, 5, or 7 days of growth, cells were washed with PBS and stained with 0.5% crystal violet in 20% ethanol. Following three washes with PBS, the plates were air-dried overnight. The crystals were dissolved in 50 µL of a 15% acetic acid solution, and the absorbance was measured at 590nm using an Epoch Microplate Spectrophotometer (</w:t>
      </w:r>
      <w:proofErr w:type="spellStart"/>
      <w:r w:rsidRPr="00CF138D">
        <w:rPr>
          <w:color w:val="000000" w:themeColor="text1"/>
        </w:rPr>
        <w:t>Biotek</w:t>
      </w:r>
      <w:proofErr w:type="spellEnd"/>
      <w:r w:rsidRPr="00CF138D">
        <w:rPr>
          <w:color w:val="000000" w:themeColor="text1"/>
        </w:rPr>
        <w:t xml:space="preserve">). Proliferation values were expressed as absorbance after subtracting the background OD590 using a blank control. Similarly, in the inducible model, </w:t>
      </w:r>
      <w:r w:rsidRPr="00CF138D">
        <w:rPr>
          <w:color w:val="000000" w:themeColor="text1"/>
        </w:rPr>
        <w:lastRenderedPageBreak/>
        <w:t>after seeding the cells and an overnight incubation, IPTG was added at different concentrations, and proliferation was determined at 1, 3, 5, or 7 days after induction.</w:t>
      </w:r>
    </w:p>
    <w:p w14:paraId="10A14327" w14:textId="77777777" w:rsidR="00CF27CE" w:rsidRPr="00CF138D" w:rsidRDefault="00CF27CE" w:rsidP="00CF27CE">
      <w:pPr>
        <w:pStyle w:val="Paragraph"/>
        <w:tabs>
          <w:tab w:val="left" w:pos="6610"/>
        </w:tabs>
        <w:spacing w:before="0" w:after="120" w:line="480" w:lineRule="auto"/>
        <w:ind w:firstLine="0"/>
        <w:jc w:val="both"/>
        <w:rPr>
          <w:color w:val="000000" w:themeColor="text1"/>
        </w:rPr>
      </w:pPr>
    </w:p>
    <w:p w14:paraId="1599E7E4" w14:textId="77777777" w:rsidR="00CF27CE" w:rsidRPr="00CF138D" w:rsidRDefault="00CF27CE" w:rsidP="00CF27CE">
      <w:pPr>
        <w:pStyle w:val="Paragraph"/>
        <w:spacing w:before="0" w:after="120" w:line="480" w:lineRule="auto"/>
        <w:ind w:firstLine="0"/>
        <w:jc w:val="both"/>
        <w:rPr>
          <w:i/>
          <w:color w:val="000000" w:themeColor="text1"/>
        </w:rPr>
      </w:pPr>
      <w:r w:rsidRPr="00CF138D">
        <w:rPr>
          <w:i/>
          <w:color w:val="000000" w:themeColor="text1"/>
        </w:rPr>
        <w:t>Western blotting</w:t>
      </w:r>
    </w:p>
    <w:p w14:paraId="4C61DC8F" w14:textId="77777777" w:rsidR="00CF27CE" w:rsidRPr="00CF138D" w:rsidRDefault="00CF27CE" w:rsidP="00CF27CE">
      <w:pPr>
        <w:pStyle w:val="Paragraph"/>
        <w:spacing w:after="120" w:line="480" w:lineRule="auto"/>
        <w:jc w:val="both"/>
        <w:rPr>
          <w:color w:val="000000" w:themeColor="text1"/>
        </w:rPr>
      </w:pPr>
      <w:r w:rsidRPr="00CF138D">
        <w:rPr>
          <w:color w:val="000000" w:themeColor="text1"/>
        </w:rPr>
        <w:t>Protein expression was assessed through WB analysis. Total proteins were extracted using RIPA buffer supplemented with Halt™ Protease and Phosphatase Inhibitor Cocktail (</w:t>
      </w:r>
      <w:proofErr w:type="spellStart"/>
      <w:r w:rsidRPr="00CF138D">
        <w:rPr>
          <w:color w:val="000000" w:themeColor="text1"/>
        </w:rPr>
        <w:t>Thermo</w:t>
      </w:r>
      <w:proofErr w:type="spellEnd"/>
      <w:r w:rsidRPr="00CF138D">
        <w:rPr>
          <w:color w:val="000000" w:themeColor="text1"/>
        </w:rPr>
        <w:t xml:space="preserve"> Scientific). Approximately 20-30 </w:t>
      </w:r>
      <w:proofErr w:type="spellStart"/>
      <w:r w:rsidRPr="00CF138D">
        <w:rPr>
          <w:color w:val="000000" w:themeColor="text1"/>
        </w:rPr>
        <w:t>μg</w:t>
      </w:r>
      <w:proofErr w:type="spellEnd"/>
      <w:r w:rsidRPr="00CF138D">
        <w:rPr>
          <w:color w:val="000000" w:themeColor="text1"/>
        </w:rPr>
        <w:t xml:space="preserve"> of total protein was resolved in SDS-PAGE gels and transferred to a PVDF membrane. Following membrane blocking (with 5% non-fat milk or 5% BSA in TBST buffer), incubation with specific antibodies </w:t>
      </w:r>
      <w:r w:rsidR="00D923FD" w:rsidRPr="00CF138D">
        <w:rPr>
          <w:color w:val="000000" w:themeColor="text1"/>
        </w:rPr>
        <w:t xml:space="preserve">(Table </w:t>
      </w:r>
      <w:r w:rsidR="002B287D" w:rsidRPr="00CF138D">
        <w:rPr>
          <w:color w:val="000000" w:themeColor="text1"/>
        </w:rPr>
        <w:t>S</w:t>
      </w:r>
      <w:r w:rsidR="00D923FD" w:rsidRPr="00CF138D">
        <w:rPr>
          <w:color w:val="000000" w:themeColor="text1"/>
        </w:rPr>
        <w:t xml:space="preserve">1) </w:t>
      </w:r>
      <w:r w:rsidRPr="00CF138D">
        <w:rPr>
          <w:color w:val="000000" w:themeColor="text1"/>
        </w:rPr>
        <w:t>was performed. Secondary antibodies, including anti-mouse (</w:t>
      </w:r>
      <w:proofErr w:type="spellStart"/>
      <w:r w:rsidRPr="00CF138D">
        <w:rPr>
          <w:color w:val="000000" w:themeColor="text1"/>
        </w:rPr>
        <w:t>Dako</w:t>
      </w:r>
      <w:proofErr w:type="spellEnd"/>
      <w:r w:rsidRPr="00CF138D">
        <w:rPr>
          <w:color w:val="000000" w:themeColor="text1"/>
        </w:rPr>
        <w:t xml:space="preserve">, P0260) and anti-rabbit (Sigma, A0545), were used. Chemiluminescence detection was carried out using </w:t>
      </w:r>
      <w:proofErr w:type="spellStart"/>
      <w:r w:rsidRPr="00CF138D">
        <w:rPr>
          <w:color w:val="000000" w:themeColor="text1"/>
        </w:rPr>
        <w:t>Amersham</w:t>
      </w:r>
      <w:proofErr w:type="spellEnd"/>
      <w:r w:rsidRPr="00CF138D">
        <w:rPr>
          <w:color w:val="000000" w:themeColor="text1"/>
        </w:rPr>
        <w:t xml:space="preserve">™ ECL™ Prime Western Blotting Detection Reagent (GE Healthcare). The intensity of the bands was quantified using ImageJ software, as previously described </w:t>
      </w:r>
      <w:r w:rsidRPr="00CF138D">
        <w:rPr>
          <w:color w:val="000000" w:themeColor="text1"/>
        </w:rPr>
        <w:fldChar w:fldCharType="begin" w:fldLock="1"/>
      </w:r>
      <w:r w:rsidRPr="00CF138D">
        <w:rPr>
          <w:color w:val="000000" w:themeColor="text1"/>
        </w:rPr>
        <w:instrText>ADDIN CSL_CITATION {"citationItems":[{"id":"ITEM-1","itemData":{"DOI":"10.1016/j.jim.2018.03.004","ISSN":"18727905","PMID":"29522776","abstract":"Since its first description, Western blot has been widely used in molecular labs. It constitutes a multistep method that allows the detection and/or quantification of proteins from simple to complex protein mixtures. Western blot quantification method constitutes a critical step in order to obtain accurate and reproducible results. Due to the technical knowledge required for densitometry analysis together with the resources availability, standard office scanners are often used for the imaging acquisition of developed Western blot films. Furthermore, the use of semi-quantitative software as ImageJ (Java-based image-processing and analysis software) is clearly increasing in different scientific fields. In this work, we describe the use of office scanner coupled with the ImageJ software together with a new image background subtraction method for accurate Western blot quantification. The proposed method represents an affordable, accurate and reproducible approximation that could be used in the presence of limited resources availability.","author":[{"dropping-particle":"","family":"Gallo-Oller","given":"Gabriel","non-dropping-particle":"","parse-names":false,"suffix":""},{"dropping-particle":"","family":"Ordoñez","given":"Raquel","non-dropping-particle":"","parse-names":false,"suffix":""},{"dropping-particle":"","family":"Dotor","given":"Javier","non-dropping-particle":"","parse-names":false,"suffix":""}],"container-title":"Journal of Immunological Methods","id":"ITEM-1","issued":{"date-parts":[["2018"]]},"page":"1-5","title":"A new background subtraction method for Western blot densitometry band quantification through image analysis software","type":"article","volume":"457"},"uris":["http://www.mendeley.com/documents/?uuid=5e4eb041-4ab4-4fea-846a-43ec2ec9407c"]}],"mendeley":{"formattedCitation":"[6]","plainTextFormattedCitation":"[6]","previouslyFormattedCitation":"[6]"},"properties":{"noteIndex":0},"schema":"https://github.com/citation-style-language/schema/raw/master/csl-citation.json"}</w:instrText>
      </w:r>
      <w:r w:rsidRPr="00CF138D">
        <w:rPr>
          <w:color w:val="000000" w:themeColor="text1"/>
        </w:rPr>
        <w:fldChar w:fldCharType="separate"/>
      </w:r>
      <w:r w:rsidRPr="00CF138D">
        <w:rPr>
          <w:noProof/>
          <w:color w:val="000000" w:themeColor="text1"/>
        </w:rPr>
        <w:t>[6]</w:t>
      </w:r>
      <w:r w:rsidRPr="00CF138D">
        <w:rPr>
          <w:color w:val="000000" w:themeColor="text1"/>
        </w:rPr>
        <w:fldChar w:fldCharType="end"/>
      </w:r>
      <w:r w:rsidRPr="00CF138D">
        <w:rPr>
          <w:color w:val="000000" w:themeColor="text1"/>
        </w:rPr>
        <w:t>. The data were normalized to the β-Actin value.</w:t>
      </w:r>
    </w:p>
    <w:p w14:paraId="615745C5" w14:textId="77777777" w:rsidR="00CF27CE" w:rsidRPr="002D1AA8" w:rsidRDefault="00CF27CE" w:rsidP="00CF27CE">
      <w:pPr>
        <w:pStyle w:val="Paragraph"/>
        <w:spacing w:after="120" w:line="480" w:lineRule="auto"/>
        <w:jc w:val="both"/>
        <w:rPr>
          <w:color w:val="000000" w:themeColor="text1"/>
          <w:sz w:val="40"/>
          <w:szCs w:val="40"/>
        </w:rPr>
      </w:pPr>
    </w:p>
    <w:p w14:paraId="6C1C7F04" w14:textId="77777777" w:rsidR="00CF27CE" w:rsidRPr="002D1AA8" w:rsidRDefault="00CF27CE" w:rsidP="00CF27CE">
      <w:pPr>
        <w:pStyle w:val="Paragraph"/>
        <w:spacing w:after="120" w:line="480" w:lineRule="auto"/>
        <w:jc w:val="both"/>
        <w:rPr>
          <w:color w:val="000000" w:themeColor="text1"/>
          <w:sz w:val="40"/>
          <w:szCs w:val="40"/>
        </w:rPr>
      </w:pPr>
    </w:p>
    <w:p w14:paraId="3368A50B" w14:textId="77777777" w:rsidR="002B287D" w:rsidRPr="002D1AA8" w:rsidRDefault="002B287D" w:rsidP="00CF138D">
      <w:pPr>
        <w:pStyle w:val="Paragraph"/>
        <w:spacing w:after="120" w:line="480" w:lineRule="auto"/>
        <w:ind w:firstLine="0"/>
        <w:jc w:val="both"/>
        <w:rPr>
          <w:color w:val="000000" w:themeColor="text1"/>
          <w:sz w:val="40"/>
          <w:szCs w:val="40"/>
        </w:rPr>
      </w:pPr>
    </w:p>
    <w:p w14:paraId="50906273" w14:textId="77777777" w:rsidR="00EB3150" w:rsidRPr="002D1AA8" w:rsidRDefault="00EB3150" w:rsidP="00CF27CE">
      <w:pPr>
        <w:pStyle w:val="Paragraph"/>
        <w:spacing w:after="120" w:line="480" w:lineRule="auto"/>
        <w:jc w:val="both"/>
        <w:rPr>
          <w:color w:val="000000" w:themeColor="text1"/>
          <w:sz w:val="40"/>
          <w:szCs w:val="40"/>
        </w:rPr>
      </w:pPr>
    </w:p>
    <w:p w14:paraId="504C78D9" w14:textId="56DAD432" w:rsidR="00EB3150" w:rsidRDefault="00EB3150" w:rsidP="00CF138D">
      <w:pPr>
        <w:pStyle w:val="Paragraph"/>
        <w:spacing w:after="120" w:line="480" w:lineRule="auto"/>
        <w:ind w:firstLine="0"/>
        <w:jc w:val="both"/>
        <w:rPr>
          <w:color w:val="000000" w:themeColor="text1"/>
          <w:sz w:val="40"/>
          <w:szCs w:val="40"/>
        </w:rPr>
      </w:pPr>
    </w:p>
    <w:p w14:paraId="240B6C90" w14:textId="77777777" w:rsidR="00CF138D" w:rsidRPr="002D1AA8" w:rsidRDefault="00CF138D" w:rsidP="00CF138D">
      <w:pPr>
        <w:pStyle w:val="Paragraph"/>
        <w:spacing w:after="120" w:line="480" w:lineRule="auto"/>
        <w:ind w:firstLine="0"/>
        <w:jc w:val="both"/>
        <w:rPr>
          <w:color w:val="000000" w:themeColor="text1"/>
          <w:sz w:val="40"/>
          <w:szCs w:val="40"/>
        </w:rPr>
      </w:pPr>
    </w:p>
    <w:tbl>
      <w:tblPr>
        <w:tblW w:w="9038" w:type="dxa"/>
        <w:jc w:val="center"/>
        <w:tblCellMar>
          <w:left w:w="70" w:type="dxa"/>
          <w:right w:w="70" w:type="dxa"/>
        </w:tblCellMar>
        <w:tblLook w:val="04A0" w:firstRow="1" w:lastRow="0" w:firstColumn="1" w:lastColumn="0" w:noHBand="0" w:noVBand="1"/>
      </w:tblPr>
      <w:tblGrid>
        <w:gridCol w:w="1985"/>
        <w:gridCol w:w="1134"/>
        <w:gridCol w:w="1559"/>
        <w:gridCol w:w="851"/>
        <w:gridCol w:w="1559"/>
        <w:gridCol w:w="957"/>
        <w:gridCol w:w="993"/>
      </w:tblGrid>
      <w:tr w:rsidR="002D1AA8" w:rsidRPr="00111565" w14:paraId="40B36516" w14:textId="77777777" w:rsidTr="00111565">
        <w:trPr>
          <w:trHeight w:val="510"/>
          <w:jc w:val="center"/>
        </w:trPr>
        <w:tc>
          <w:tcPr>
            <w:tcW w:w="9038" w:type="dxa"/>
            <w:gridSpan w:val="7"/>
            <w:tcBorders>
              <w:top w:val="single" w:sz="8" w:space="0" w:color="auto"/>
              <w:left w:val="nil"/>
              <w:bottom w:val="single" w:sz="8" w:space="0" w:color="auto"/>
              <w:right w:val="nil"/>
            </w:tcBorders>
            <w:shd w:val="clear" w:color="auto" w:fill="auto"/>
            <w:noWrap/>
            <w:vAlign w:val="center"/>
          </w:tcPr>
          <w:p w14:paraId="20C50090" w14:textId="77777777" w:rsidR="00CF27CE" w:rsidRPr="00CF138D" w:rsidRDefault="00D923FD" w:rsidP="00CF27CE">
            <w:pPr>
              <w:spacing w:after="0" w:line="240" w:lineRule="auto"/>
              <w:jc w:val="center"/>
              <w:rPr>
                <w:rFonts w:ascii="Times New Roman" w:eastAsia="Times New Roman" w:hAnsi="Times New Roman" w:cs="Times New Roman"/>
                <w:b/>
                <w:bCs/>
                <w:color w:val="000000" w:themeColor="text1"/>
                <w:lang w:val="en-US" w:eastAsia="es-ES"/>
              </w:rPr>
            </w:pPr>
            <w:r w:rsidRPr="00CF138D">
              <w:rPr>
                <w:rFonts w:ascii="Times New Roman" w:eastAsia="Times New Roman" w:hAnsi="Times New Roman" w:cs="Times New Roman"/>
                <w:b/>
                <w:color w:val="000000" w:themeColor="text1"/>
                <w:lang w:val="en-US" w:eastAsia="es-ES"/>
              </w:rPr>
              <w:lastRenderedPageBreak/>
              <w:t xml:space="preserve">Table </w:t>
            </w:r>
            <w:r w:rsidR="002B287D" w:rsidRPr="00CF138D">
              <w:rPr>
                <w:rFonts w:ascii="Times New Roman" w:eastAsia="Times New Roman" w:hAnsi="Times New Roman" w:cs="Times New Roman"/>
                <w:b/>
                <w:color w:val="000000" w:themeColor="text1"/>
                <w:lang w:val="en-US" w:eastAsia="es-ES"/>
              </w:rPr>
              <w:t>S</w:t>
            </w:r>
            <w:r w:rsidRPr="00CF138D">
              <w:rPr>
                <w:rFonts w:ascii="Times New Roman" w:eastAsia="Times New Roman" w:hAnsi="Times New Roman" w:cs="Times New Roman"/>
                <w:b/>
                <w:color w:val="000000" w:themeColor="text1"/>
                <w:lang w:val="en-US" w:eastAsia="es-ES"/>
              </w:rPr>
              <w:t>1</w:t>
            </w:r>
            <w:r w:rsidRPr="00CF138D">
              <w:rPr>
                <w:rFonts w:ascii="Times New Roman" w:eastAsia="Times New Roman" w:hAnsi="Times New Roman" w:cs="Times New Roman"/>
                <w:color w:val="000000" w:themeColor="text1"/>
                <w:lang w:val="en-US" w:eastAsia="es-ES"/>
              </w:rPr>
              <w:t xml:space="preserve">. </w:t>
            </w:r>
            <w:r w:rsidR="00CF27CE" w:rsidRPr="00CF138D">
              <w:rPr>
                <w:rFonts w:ascii="Times New Roman" w:eastAsia="Times New Roman" w:hAnsi="Times New Roman" w:cs="Times New Roman"/>
                <w:color w:val="000000" w:themeColor="text1"/>
                <w:lang w:val="en-US" w:eastAsia="es-ES"/>
              </w:rPr>
              <w:t>Western blot antibodies conditions</w:t>
            </w:r>
          </w:p>
        </w:tc>
      </w:tr>
      <w:tr w:rsidR="002D1AA8" w:rsidRPr="00CF138D" w14:paraId="0E8DA515" w14:textId="77777777" w:rsidTr="00111565">
        <w:trPr>
          <w:trHeight w:val="510"/>
          <w:jc w:val="center"/>
        </w:trPr>
        <w:tc>
          <w:tcPr>
            <w:tcW w:w="1985" w:type="dxa"/>
            <w:tcBorders>
              <w:top w:val="nil"/>
              <w:left w:val="nil"/>
              <w:bottom w:val="single" w:sz="8" w:space="0" w:color="auto"/>
              <w:right w:val="nil"/>
            </w:tcBorders>
            <w:shd w:val="clear" w:color="auto" w:fill="auto"/>
            <w:noWrap/>
            <w:vAlign w:val="center"/>
          </w:tcPr>
          <w:p w14:paraId="3D39CF7D" w14:textId="77777777" w:rsidR="00CF27CE" w:rsidRPr="00CF138D" w:rsidRDefault="00CF27CE" w:rsidP="00CF27CE">
            <w:pPr>
              <w:spacing w:after="0" w:line="240" w:lineRule="auto"/>
              <w:rPr>
                <w:rFonts w:ascii="Times New Roman" w:eastAsia="Times New Roman" w:hAnsi="Times New Roman" w:cs="Times New Roman"/>
                <w:b/>
                <w:bCs/>
                <w:color w:val="000000" w:themeColor="text1"/>
                <w:lang w:eastAsia="es-ES"/>
              </w:rPr>
            </w:pPr>
            <w:r w:rsidRPr="00CF138D">
              <w:rPr>
                <w:rFonts w:ascii="Times New Roman" w:eastAsia="Times New Roman" w:hAnsi="Times New Roman" w:cs="Times New Roman"/>
                <w:b/>
                <w:bCs/>
                <w:color w:val="000000" w:themeColor="text1"/>
                <w:lang w:eastAsia="es-ES"/>
              </w:rPr>
              <w:t xml:space="preserve">Target </w:t>
            </w:r>
            <w:proofErr w:type="spellStart"/>
            <w:r w:rsidRPr="00CF138D">
              <w:rPr>
                <w:rFonts w:ascii="Times New Roman" w:eastAsia="Times New Roman" w:hAnsi="Times New Roman" w:cs="Times New Roman"/>
                <w:b/>
                <w:bCs/>
                <w:color w:val="000000" w:themeColor="text1"/>
                <w:lang w:eastAsia="es-ES"/>
              </w:rPr>
              <w:t>protein</w:t>
            </w:r>
            <w:proofErr w:type="spellEnd"/>
          </w:p>
        </w:tc>
        <w:tc>
          <w:tcPr>
            <w:tcW w:w="1134" w:type="dxa"/>
            <w:tcBorders>
              <w:top w:val="nil"/>
              <w:left w:val="nil"/>
              <w:bottom w:val="single" w:sz="8" w:space="0" w:color="auto"/>
              <w:right w:val="nil"/>
            </w:tcBorders>
            <w:shd w:val="clear" w:color="auto" w:fill="auto"/>
            <w:noWrap/>
            <w:vAlign w:val="center"/>
          </w:tcPr>
          <w:p w14:paraId="6DD9C7B9" w14:textId="77777777" w:rsidR="00CF27CE" w:rsidRPr="00CF138D" w:rsidRDefault="00CF27CE" w:rsidP="00CF27CE">
            <w:pPr>
              <w:spacing w:after="0" w:line="240" w:lineRule="auto"/>
              <w:jc w:val="center"/>
              <w:rPr>
                <w:rFonts w:ascii="Times New Roman" w:eastAsia="Times New Roman" w:hAnsi="Times New Roman" w:cs="Times New Roman"/>
                <w:b/>
                <w:bCs/>
                <w:color w:val="000000" w:themeColor="text1"/>
                <w:lang w:eastAsia="es-ES"/>
              </w:rPr>
            </w:pPr>
            <w:proofErr w:type="spellStart"/>
            <w:r w:rsidRPr="00CF138D">
              <w:rPr>
                <w:rFonts w:ascii="Times New Roman" w:eastAsia="Times New Roman" w:hAnsi="Times New Roman" w:cs="Times New Roman"/>
                <w:b/>
                <w:bCs/>
                <w:color w:val="000000" w:themeColor="text1"/>
                <w:lang w:eastAsia="es-ES"/>
              </w:rPr>
              <w:t>Cat</w:t>
            </w:r>
            <w:proofErr w:type="spellEnd"/>
            <w:r w:rsidRPr="00CF138D">
              <w:rPr>
                <w:rFonts w:ascii="Times New Roman" w:eastAsia="Times New Roman" w:hAnsi="Times New Roman" w:cs="Times New Roman"/>
                <w:b/>
                <w:bCs/>
                <w:color w:val="000000" w:themeColor="text1"/>
                <w:lang w:eastAsia="es-ES"/>
              </w:rPr>
              <w:t xml:space="preserve"> No</w:t>
            </w:r>
          </w:p>
        </w:tc>
        <w:tc>
          <w:tcPr>
            <w:tcW w:w="1559" w:type="dxa"/>
            <w:tcBorders>
              <w:top w:val="nil"/>
              <w:left w:val="nil"/>
              <w:bottom w:val="single" w:sz="8" w:space="0" w:color="auto"/>
              <w:right w:val="nil"/>
            </w:tcBorders>
            <w:shd w:val="clear" w:color="auto" w:fill="auto"/>
            <w:vAlign w:val="center"/>
          </w:tcPr>
          <w:p w14:paraId="56CFF1D3" w14:textId="77777777" w:rsidR="00CF27CE" w:rsidRPr="00CF138D" w:rsidRDefault="00CF27CE" w:rsidP="00CF27CE">
            <w:pPr>
              <w:spacing w:after="0" w:line="240" w:lineRule="auto"/>
              <w:jc w:val="center"/>
              <w:rPr>
                <w:rFonts w:ascii="Times New Roman" w:eastAsia="Times New Roman" w:hAnsi="Times New Roman" w:cs="Times New Roman"/>
                <w:b/>
                <w:bCs/>
                <w:color w:val="000000" w:themeColor="text1"/>
                <w:lang w:eastAsia="es-ES"/>
              </w:rPr>
            </w:pPr>
            <w:proofErr w:type="spellStart"/>
            <w:r w:rsidRPr="00CF138D">
              <w:rPr>
                <w:rFonts w:ascii="Times New Roman" w:eastAsia="Times New Roman" w:hAnsi="Times New Roman" w:cs="Times New Roman"/>
                <w:b/>
                <w:bCs/>
                <w:color w:val="000000" w:themeColor="text1"/>
                <w:lang w:eastAsia="es-ES"/>
              </w:rPr>
              <w:t>Supplier</w:t>
            </w:r>
            <w:proofErr w:type="spellEnd"/>
          </w:p>
        </w:tc>
        <w:tc>
          <w:tcPr>
            <w:tcW w:w="851" w:type="dxa"/>
            <w:tcBorders>
              <w:top w:val="nil"/>
              <w:left w:val="nil"/>
              <w:bottom w:val="single" w:sz="8" w:space="0" w:color="auto"/>
              <w:right w:val="nil"/>
            </w:tcBorders>
            <w:shd w:val="clear" w:color="auto" w:fill="auto"/>
            <w:noWrap/>
            <w:vAlign w:val="center"/>
          </w:tcPr>
          <w:p w14:paraId="027D21F8" w14:textId="77777777" w:rsidR="00CF27CE" w:rsidRPr="00CF138D" w:rsidRDefault="00CF27CE" w:rsidP="00CF27CE">
            <w:pPr>
              <w:spacing w:after="0" w:line="240" w:lineRule="auto"/>
              <w:jc w:val="center"/>
              <w:rPr>
                <w:rFonts w:ascii="Times New Roman" w:eastAsia="Times New Roman" w:hAnsi="Times New Roman" w:cs="Times New Roman"/>
                <w:b/>
                <w:bCs/>
                <w:color w:val="000000" w:themeColor="text1"/>
                <w:lang w:eastAsia="es-ES"/>
              </w:rPr>
            </w:pPr>
            <w:proofErr w:type="spellStart"/>
            <w:r w:rsidRPr="00CF138D">
              <w:rPr>
                <w:rFonts w:ascii="Times New Roman" w:eastAsia="Times New Roman" w:hAnsi="Times New Roman" w:cs="Times New Roman"/>
                <w:b/>
                <w:bCs/>
                <w:color w:val="000000" w:themeColor="text1"/>
                <w:lang w:eastAsia="es-ES"/>
              </w:rPr>
              <w:t>Source</w:t>
            </w:r>
            <w:proofErr w:type="spellEnd"/>
          </w:p>
        </w:tc>
        <w:tc>
          <w:tcPr>
            <w:tcW w:w="1559" w:type="dxa"/>
            <w:tcBorders>
              <w:top w:val="nil"/>
              <w:left w:val="nil"/>
              <w:bottom w:val="single" w:sz="8" w:space="0" w:color="auto"/>
              <w:right w:val="nil"/>
            </w:tcBorders>
            <w:shd w:val="clear" w:color="auto" w:fill="auto"/>
            <w:vAlign w:val="center"/>
          </w:tcPr>
          <w:p w14:paraId="158CD34E" w14:textId="77777777" w:rsidR="00CF27CE" w:rsidRPr="00CF138D" w:rsidRDefault="00CF27CE" w:rsidP="00CF27CE">
            <w:pPr>
              <w:spacing w:after="0" w:line="240" w:lineRule="auto"/>
              <w:jc w:val="center"/>
              <w:rPr>
                <w:rFonts w:ascii="Times New Roman" w:eastAsia="Times New Roman" w:hAnsi="Times New Roman" w:cs="Times New Roman"/>
                <w:b/>
                <w:bCs/>
                <w:color w:val="000000" w:themeColor="text1"/>
                <w:lang w:eastAsia="es-ES"/>
              </w:rPr>
            </w:pPr>
            <w:r w:rsidRPr="00CF138D">
              <w:rPr>
                <w:rFonts w:ascii="Times New Roman" w:eastAsia="Times New Roman" w:hAnsi="Times New Roman" w:cs="Times New Roman"/>
                <w:b/>
                <w:bCs/>
                <w:color w:val="000000" w:themeColor="text1"/>
                <w:lang w:eastAsia="es-ES"/>
              </w:rPr>
              <w:t xml:space="preserve">Molecular </w:t>
            </w:r>
            <w:proofErr w:type="spellStart"/>
            <w:r w:rsidRPr="00CF138D">
              <w:rPr>
                <w:rFonts w:ascii="Times New Roman" w:eastAsia="Times New Roman" w:hAnsi="Times New Roman" w:cs="Times New Roman"/>
                <w:b/>
                <w:bCs/>
                <w:color w:val="000000" w:themeColor="text1"/>
                <w:lang w:eastAsia="es-ES"/>
              </w:rPr>
              <w:t>Weight</w:t>
            </w:r>
            <w:proofErr w:type="spellEnd"/>
          </w:p>
        </w:tc>
        <w:tc>
          <w:tcPr>
            <w:tcW w:w="957" w:type="dxa"/>
            <w:tcBorders>
              <w:top w:val="nil"/>
              <w:left w:val="nil"/>
              <w:bottom w:val="single" w:sz="8" w:space="0" w:color="auto"/>
              <w:right w:val="nil"/>
            </w:tcBorders>
            <w:shd w:val="clear" w:color="auto" w:fill="auto"/>
            <w:vAlign w:val="center"/>
          </w:tcPr>
          <w:p w14:paraId="56931142" w14:textId="77777777" w:rsidR="00CF27CE" w:rsidRPr="00CF138D" w:rsidRDefault="00CF27CE" w:rsidP="00CF27CE">
            <w:pPr>
              <w:spacing w:after="0" w:line="240" w:lineRule="auto"/>
              <w:jc w:val="center"/>
              <w:rPr>
                <w:rFonts w:ascii="Times New Roman" w:eastAsia="Times New Roman" w:hAnsi="Times New Roman" w:cs="Times New Roman"/>
                <w:b/>
                <w:bCs/>
                <w:color w:val="000000" w:themeColor="text1"/>
                <w:lang w:eastAsia="es-ES"/>
              </w:rPr>
            </w:pPr>
            <w:r w:rsidRPr="00CF138D">
              <w:rPr>
                <w:rFonts w:ascii="Times New Roman" w:eastAsia="Times New Roman" w:hAnsi="Times New Roman" w:cs="Times New Roman"/>
                <w:b/>
                <w:bCs/>
                <w:color w:val="000000" w:themeColor="text1"/>
                <w:lang w:eastAsia="es-ES"/>
              </w:rPr>
              <w:t xml:space="preserve">1ry </w:t>
            </w:r>
            <w:proofErr w:type="spellStart"/>
            <w:r w:rsidRPr="00CF138D">
              <w:rPr>
                <w:rFonts w:ascii="Times New Roman" w:eastAsia="Times New Roman" w:hAnsi="Times New Roman" w:cs="Times New Roman"/>
                <w:b/>
                <w:bCs/>
                <w:color w:val="000000" w:themeColor="text1"/>
                <w:lang w:eastAsia="es-ES"/>
              </w:rPr>
              <w:t>dilution</w:t>
            </w:r>
            <w:proofErr w:type="spellEnd"/>
          </w:p>
        </w:tc>
        <w:tc>
          <w:tcPr>
            <w:tcW w:w="993" w:type="dxa"/>
            <w:tcBorders>
              <w:top w:val="nil"/>
              <w:left w:val="nil"/>
              <w:bottom w:val="single" w:sz="8" w:space="0" w:color="auto"/>
              <w:right w:val="nil"/>
            </w:tcBorders>
            <w:shd w:val="clear" w:color="auto" w:fill="auto"/>
            <w:vAlign w:val="center"/>
          </w:tcPr>
          <w:p w14:paraId="6309EB1D" w14:textId="77777777" w:rsidR="00CF27CE" w:rsidRPr="00CF138D" w:rsidRDefault="00CF27CE" w:rsidP="00CF27CE">
            <w:pPr>
              <w:spacing w:after="0" w:line="240" w:lineRule="auto"/>
              <w:jc w:val="center"/>
              <w:rPr>
                <w:rFonts w:ascii="Times New Roman" w:eastAsia="Times New Roman" w:hAnsi="Times New Roman" w:cs="Times New Roman"/>
                <w:b/>
                <w:bCs/>
                <w:color w:val="000000" w:themeColor="text1"/>
                <w:lang w:eastAsia="es-ES"/>
              </w:rPr>
            </w:pPr>
            <w:r w:rsidRPr="00CF138D">
              <w:rPr>
                <w:rFonts w:ascii="Times New Roman" w:eastAsia="Times New Roman" w:hAnsi="Times New Roman" w:cs="Times New Roman"/>
                <w:b/>
                <w:bCs/>
                <w:color w:val="000000" w:themeColor="text1"/>
                <w:lang w:eastAsia="es-ES"/>
              </w:rPr>
              <w:t xml:space="preserve">2ry </w:t>
            </w:r>
            <w:proofErr w:type="spellStart"/>
            <w:r w:rsidRPr="00CF138D">
              <w:rPr>
                <w:rFonts w:ascii="Times New Roman" w:eastAsia="Times New Roman" w:hAnsi="Times New Roman" w:cs="Times New Roman"/>
                <w:b/>
                <w:bCs/>
                <w:color w:val="000000" w:themeColor="text1"/>
                <w:lang w:eastAsia="es-ES"/>
              </w:rPr>
              <w:t>dilution</w:t>
            </w:r>
            <w:proofErr w:type="spellEnd"/>
          </w:p>
        </w:tc>
      </w:tr>
      <w:tr w:rsidR="002D1AA8" w:rsidRPr="00CF138D" w14:paraId="4024E709"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6B02DF88"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TRIB3</w:t>
            </w:r>
          </w:p>
        </w:tc>
        <w:tc>
          <w:tcPr>
            <w:tcW w:w="1134" w:type="dxa"/>
            <w:tcBorders>
              <w:top w:val="nil"/>
              <w:left w:val="nil"/>
              <w:bottom w:val="single" w:sz="4" w:space="0" w:color="auto"/>
              <w:right w:val="nil"/>
            </w:tcBorders>
            <w:shd w:val="clear" w:color="auto" w:fill="auto"/>
            <w:noWrap/>
            <w:vAlign w:val="center"/>
            <w:hideMark/>
          </w:tcPr>
          <w:p w14:paraId="68465A7E"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ab75846</w:t>
            </w:r>
          </w:p>
        </w:tc>
        <w:tc>
          <w:tcPr>
            <w:tcW w:w="1559" w:type="dxa"/>
            <w:tcBorders>
              <w:top w:val="nil"/>
              <w:left w:val="nil"/>
              <w:bottom w:val="single" w:sz="4" w:space="0" w:color="auto"/>
              <w:right w:val="nil"/>
            </w:tcBorders>
            <w:shd w:val="clear" w:color="auto" w:fill="auto"/>
            <w:noWrap/>
            <w:vAlign w:val="center"/>
            <w:hideMark/>
          </w:tcPr>
          <w:p w14:paraId="6E0A77CD"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Abcam</w:t>
            </w:r>
            <w:proofErr w:type="spellEnd"/>
          </w:p>
        </w:tc>
        <w:tc>
          <w:tcPr>
            <w:tcW w:w="851" w:type="dxa"/>
            <w:tcBorders>
              <w:top w:val="nil"/>
              <w:left w:val="nil"/>
              <w:bottom w:val="single" w:sz="4" w:space="0" w:color="auto"/>
              <w:right w:val="nil"/>
            </w:tcBorders>
            <w:shd w:val="clear" w:color="auto" w:fill="auto"/>
            <w:noWrap/>
            <w:vAlign w:val="center"/>
            <w:hideMark/>
          </w:tcPr>
          <w:p w14:paraId="22A2E01F"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nil"/>
              <w:left w:val="nil"/>
              <w:bottom w:val="single" w:sz="4" w:space="0" w:color="auto"/>
              <w:right w:val="nil"/>
            </w:tcBorders>
            <w:shd w:val="clear" w:color="auto" w:fill="auto"/>
            <w:noWrap/>
            <w:vAlign w:val="center"/>
            <w:hideMark/>
          </w:tcPr>
          <w:p w14:paraId="5D7CC76C"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40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noWrap/>
            <w:vAlign w:val="center"/>
            <w:hideMark/>
          </w:tcPr>
          <w:p w14:paraId="16FB62FD"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1/1,000</w:t>
            </w:r>
          </w:p>
        </w:tc>
        <w:tc>
          <w:tcPr>
            <w:tcW w:w="993" w:type="dxa"/>
            <w:tcBorders>
              <w:top w:val="nil"/>
              <w:left w:val="nil"/>
              <w:bottom w:val="single" w:sz="4" w:space="0" w:color="auto"/>
              <w:right w:val="nil"/>
            </w:tcBorders>
            <w:shd w:val="clear" w:color="auto" w:fill="auto"/>
            <w:noWrap/>
            <w:vAlign w:val="center"/>
            <w:hideMark/>
          </w:tcPr>
          <w:p w14:paraId="451134D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1/2,000</w:t>
            </w:r>
          </w:p>
        </w:tc>
      </w:tr>
      <w:tr w:rsidR="002D1AA8" w:rsidRPr="00CF138D" w14:paraId="5DA6276C"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62C01052"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Actin</w:t>
            </w:r>
            <w:proofErr w:type="spellEnd"/>
          </w:p>
        </w:tc>
        <w:tc>
          <w:tcPr>
            <w:tcW w:w="1134" w:type="dxa"/>
            <w:tcBorders>
              <w:top w:val="nil"/>
              <w:left w:val="nil"/>
              <w:bottom w:val="single" w:sz="4" w:space="0" w:color="auto"/>
              <w:right w:val="nil"/>
            </w:tcBorders>
            <w:shd w:val="clear" w:color="auto" w:fill="auto"/>
            <w:noWrap/>
            <w:vAlign w:val="center"/>
            <w:hideMark/>
          </w:tcPr>
          <w:p w14:paraId="7D3F01A3"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sc-47778</w:t>
            </w:r>
          </w:p>
        </w:tc>
        <w:tc>
          <w:tcPr>
            <w:tcW w:w="1559" w:type="dxa"/>
            <w:tcBorders>
              <w:top w:val="nil"/>
              <w:left w:val="nil"/>
              <w:bottom w:val="single" w:sz="4" w:space="0" w:color="auto"/>
              <w:right w:val="nil"/>
            </w:tcBorders>
            <w:shd w:val="clear" w:color="auto" w:fill="auto"/>
            <w:noWrap/>
            <w:vAlign w:val="center"/>
            <w:hideMark/>
          </w:tcPr>
          <w:p w14:paraId="752EC0F9"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Santa Cruz</w:t>
            </w:r>
          </w:p>
        </w:tc>
        <w:tc>
          <w:tcPr>
            <w:tcW w:w="851" w:type="dxa"/>
            <w:tcBorders>
              <w:top w:val="nil"/>
              <w:left w:val="nil"/>
              <w:bottom w:val="single" w:sz="4" w:space="0" w:color="auto"/>
              <w:right w:val="nil"/>
            </w:tcBorders>
            <w:shd w:val="clear" w:color="auto" w:fill="auto"/>
            <w:noWrap/>
            <w:vAlign w:val="center"/>
            <w:hideMark/>
          </w:tcPr>
          <w:p w14:paraId="1DAE0CEA"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Mouse</w:t>
            </w:r>
          </w:p>
        </w:tc>
        <w:tc>
          <w:tcPr>
            <w:tcW w:w="1559" w:type="dxa"/>
            <w:tcBorders>
              <w:top w:val="nil"/>
              <w:left w:val="nil"/>
              <w:bottom w:val="single" w:sz="4" w:space="0" w:color="auto"/>
              <w:right w:val="nil"/>
            </w:tcBorders>
            <w:shd w:val="clear" w:color="auto" w:fill="auto"/>
            <w:noWrap/>
            <w:vAlign w:val="center"/>
            <w:hideMark/>
          </w:tcPr>
          <w:p w14:paraId="39323B9C"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43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noWrap/>
            <w:vAlign w:val="center"/>
            <w:hideMark/>
          </w:tcPr>
          <w:p w14:paraId="572597E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1/20,000</w:t>
            </w:r>
          </w:p>
        </w:tc>
        <w:tc>
          <w:tcPr>
            <w:tcW w:w="993" w:type="dxa"/>
            <w:tcBorders>
              <w:top w:val="nil"/>
              <w:left w:val="nil"/>
              <w:bottom w:val="single" w:sz="4" w:space="0" w:color="auto"/>
              <w:right w:val="nil"/>
            </w:tcBorders>
            <w:shd w:val="clear" w:color="auto" w:fill="auto"/>
            <w:noWrap/>
            <w:vAlign w:val="center"/>
            <w:hideMark/>
          </w:tcPr>
          <w:p w14:paraId="584156A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1/20,000</w:t>
            </w:r>
          </w:p>
        </w:tc>
      </w:tr>
      <w:tr w:rsidR="002D1AA8" w:rsidRPr="00CF138D" w14:paraId="29A27633"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4A434382"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BAX</w:t>
            </w:r>
          </w:p>
        </w:tc>
        <w:tc>
          <w:tcPr>
            <w:tcW w:w="1134" w:type="dxa"/>
            <w:tcBorders>
              <w:top w:val="nil"/>
              <w:left w:val="nil"/>
              <w:bottom w:val="single" w:sz="4" w:space="0" w:color="auto"/>
              <w:right w:val="nil"/>
            </w:tcBorders>
            <w:shd w:val="clear" w:color="auto" w:fill="auto"/>
            <w:noWrap/>
            <w:vAlign w:val="center"/>
            <w:hideMark/>
          </w:tcPr>
          <w:p w14:paraId="1181B3F0"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ABC11</w:t>
            </w:r>
          </w:p>
        </w:tc>
        <w:tc>
          <w:tcPr>
            <w:tcW w:w="1559" w:type="dxa"/>
            <w:tcBorders>
              <w:top w:val="nil"/>
              <w:left w:val="nil"/>
              <w:bottom w:val="single" w:sz="4" w:space="0" w:color="auto"/>
              <w:right w:val="nil"/>
            </w:tcBorders>
            <w:shd w:val="clear" w:color="auto" w:fill="auto"/>
            <w:noWrap/>
            <w:vAlign w:val="center"/>
            <w:hideMark/>
          </w:tcPr>
          <w:p w14:paraId="37E0AC45"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Millipore</w:t>
            </w:r>
            <w:proofErr w:type="spellEnd"/>
          </w:p>
        </w:tc>
        <w:tc>
          <w:tcPr>
            <w:tcW w:w="851" w:type="dxa"/>
            <w:tcBorders>
              <w:top w:val="nil"/>
              <w:left w:val="nil"/>
              <w:bottom w:val="single" w:sz="4" w:space="0" w:color="auto"/>
              <w:right w:val="nil"/>
            </w:tcBorders>
            <w:shd w:val="clear" w:color="auto" w:fill="auto"/>
            <w:noWrap/>
            <w:vAlign w:val="center"/>
            <w:hideMark/>
          </w:tcPr>
          <w:p w14:paraId="413DA1BE"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nil"/>
              <w:left w:val="nil"/>
              <w:bottom w:val="single" w:sz="4" w:space="0" w:color="auto"/>
              <w:right w:val="nil"/>
            </w:tcBorders>
            <w:shd w:val="clear" w:color="auto" w:fill="auto"/>
            <w:noWrap/>
            <w:vAlign w:val="center"/>
            <w:hideMark/>
          </w:tcPr>
          <w:p w14:paraId="7472C538"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21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noWrap/>
            <w:vAlign w:val="center"/>
            <w:hideMark/>
          </w:tcPr>
          <w:p w14:paraId="7204F552"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1/2,000</w:t>
            </w:r>
          </w:p>
        </w:tc>
        <w:tc>
          <w:tcPr>
            <w:tcW w:w="993" w:type="dxa"/>
            <w:tcBorders>
              <w:top w:val="nil"/>
              <w:left w:val="nil"/>
              <w:bottom w:val="single" w:sz="4" w:space="0" w:color="auto"/>
              <w:right w:val="nil"/>
            </w:tcBorders>
            <w:shd w:val="clear" w:color="auto" w:fill="auto"/>
            <w:noWrap/>
            <w:vAlign w:val="center"/>
            <w:hideMark/>
          </w:tcPr>
          <w:p w14:paraId="43442DEB"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1/4,000</w:t>
            </w:r>
          </w:p>
        </w:tc>
      </w:tr>
      <w:tr w:rsidR="002D1AA8" w:rsidRPr="00CF138D" w14:paraId="57A2C009" w14:textId="77777777" w:rsidTr="00111565">
        <w:trPr>
          <w:trHeight w:val="510"/>
          <w:jc w:val="center"/>
        </w:trPr>
        <w:tc>
          <w:tcPr>
            <w:tcW w:w="1985" w:type="dxa"/>
            <w:tcBorders>
              <w:top w:val="nil"/>
              <w:left w:val="nil"/>
              <w:bottom w:val="single" w:sz="4" w:space="0" w:color="auto"/>
              <w:right w:val="nil"/>
            </w:tcBorders>
            <w:shd w:val="clear" w:color="auto" w:fill="auto"/>
            <w:vAlign w:val="center"/>
            <w:hideMark/>
          </w:tcPr>
          <w:p w14:paraId="589D5699"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Capase-3 </w:t>
            </w:r>
          </w:p>
        </w:tc>
        <w:tc>
          <w:tcPr>
            <w:tcW w:w="1134" w:type="dxa"/>
            <w:tcBorders>
              <w:top w:val="nil"/>
              <w:left w:val="nil"/>
              <w:bottom w:val="single" w:sz="4" w:space="0" w:color="auto"/>
              <w:right w:val="nil"/>
            </w:tcBorders>
            <w:shd w:val="clear" w:color="auto" w:fill="auto"/>
            <w:noWrap/>
            <w:vAlign w:val="center"/>
            <w:hideMark/>
          </w:tcPr>
          <w:p w14:paraId="270FFDC8"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ab32351</w:t>
            </w:r>
          </w:p>
        </w:tc>
        <w:tc>
          <w:tcPr>
            <w:tcW w:w="1559" w:type="dxa"/>
            <w:tcBorders>
              <w:top w:val="nil"/>
              <w:left w:val="nil"/>
              <w:bottom w:val="single" w:sz="4" w:space="0" w:color="auto"/>
              <w:right w:val="nil"/>
            </w:tcBorders>
            <w:shd w:val="clear" w:color="auto" w:fill="auto"/>
            <w:noWrap/>
            <w:vAlign w:val="center"/>
            <w:hideMark/>
          </w:tcPr>
          <w:p w14:paraId="2B879F19"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Abcam</w:t>
            </w:r>
            <w:proofErr w:type="spellEnd"/>
          </w:p>
        </w:tc>
        <w:tc>
          <w:tcPr>
            <w:tcW w:w="851" w:type="dxa"/>
            <w:tcBorders>
              <w:top w:val="nil"/>
              <w:left w:val="nil"/>
              <w:bottom w:val="single" w:sz="4" w:space="0" w:color="auto"/>
              <w:right w:val="nil"/>
            </w:tcBorders>
            <w:shd w:val="clear" w:color="auto" w:fill="auto"/>
            <w:noWrap/>
            <w:vAlign w:val="center"/>
            <w:hideMark/>
          </w:tcPr>
          <w:p w14:paraId="0CEF59D4"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nil"/>
              <w:left w:val="nil"/>
              <w:bottom w:val="single" w:sz="4" w:space="0" w:color="auto"/>
              <w:right w:val="nil"/>
            </w:tcBorders>
            <w:shd w:val="clear" w:color="auto" w:fill="auto"/>
            <w:noWrap/>
            <w:vAlign w:val="center"/>
            <w:hideMark/>
          </w:tcPr>
          <w:p w14:paraId="5555C20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32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noWrap/>
            <w:vAlign w:val="center"/>
            <w:hideMark/>
          </w:tcPr>
          <w:p w14:paraId="5601603B"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1/4,000</w:t>
            </w:r>
          </w:p>
        </w:tc>
        <w:tc>
          <w:tcPr>
            <w:tcW w:w="993" w:type="dxa"/>
            <w:tcBorders>
              <w:top w:val="nil"/>
              <w:left w:val="nil"/>
              <w:bottom w:val="single" w:sz="4" w:space="0" w:color="auto"/>
              <w:right w:val="nil"/>
            </w:tcBorders>
            <w:shd w:val="clear" w:color="auto" w:fill="auto"/>
            <w:noWrap/>
            <w:vAlign w:val="center"/>
            <w:hideMark/>
          </w:tcPr>
          <w:p w14:paraId="0DD5A189"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1/10,000</w:t>
            </w:r>
          </w:p>
        </w:tc>
      </w:tr>
      <w:tr w:rsidR="002D1AA8" w:rsidRPr="00CF138D" w14:paraId="6B7A2704" w14:textId="77777777" w:rsidTr="00111565">
        <w:trPr>
          <w:trHeight w:val="510"/>
          <w:jc w:val="center"/>
        </w:trPr>
        <w:tc>
          <w:tcPr>
            <w:tcW w:w="1985" w:type="dxa"/>
            <w:tcBorders>
              <w:top w:val="nil"/>
              <w:left w:val="nil"/>
              <w:bottom w:val="single" w:sz="4" w:space="0" w:color="auto"/>
              <w:right w:val="nil"/>
            </w:tcBorders>
            <w:shd w:val="clear" w:color="auto" w:fill="auto"/>
            <w:vAlign w:val="center"/>
            <w:hideMark/>
          </w:tcPr>
          <w:p w14:paraId="19AE0D1D"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Capase-3 </w:t>
            </w:r>
            <w:proofErr w:type="spellStart"/>
            <w:r w:rsidRPr="00CF138D">
              <w:rPr>
                <w:rFonts w:ascii="Times New Roman" w:eastAsia="Times New Roman" w:hAnsi="Times New Roman" w:cs="Times New Roman"/>
                <w:color w:val="000000" w:themeColor="text1"/>
                <w:lang w:eastAsia="es-ES"/>
              </w:rPr>
              <w:t>cleaved</w:t>
            </w:r>
            <w:proofErr w:type="spellEnd"/>
          </w:p>
        </w:tc>
        <w:tc>
          <w:tcPr>
            <w:tcW w:w="1134" w:type="dxa"/>
            <w:tcBorders>
              <w:top w:val="nil"/>
              <w:left w:val="nil"/>
              <w:bottom w:val="nil"/>
              <w:right w:val="nil"/>
            </w:tcBorders>
            <w:shd w:val="clear" w:color="auto" w:fill="auto"/>
            <w:noWrap/>
            <w:vAlign w:val="center"/>
            <w:hideMark/>
          </w:tcPr>
          <w:p w14:paraId="4539BDF8"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ab32351</w:t>
            </w:r>
          </w:p>
        </w:tc>
        <w:tc>
          <w:tcPr>
            <w:tcW w:w="1559" w:type="dxa"/>
            <w:tcBorders>
              <w:top w:val="nil"/>
              <w:left w:val="nil"/>
              <w:bottom w:val="single" w:sz="4" w:space="0" w:color="auto"/>
              <w:right w:val="nil"/>
            </w:tcBorders>
            <w:shd w:val="clear" w:color="auto" w:fill="auto"/>
            <w:noWrap/>
            <w:vAlign w:val="center"/>
            <w:hideMark/>
          </w:tcPr>
          <w:p w14:paraId="5339A1EB"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Abcam</w:t>
            </w:r>
            <w:proofErr w:type="spellEnd"/>
          </w:p>
        </w:tc>
        <w:tc>
          <w:tcPr>
            <w:tcW w:w="851" w:type="dxa"/>
            <w:tcBorders>
              <w:top w:val="nil"/>
              <w:left w:val="nil"/>
              <w:bottom w:val="single" w:sz="4" w:space="0" w:color="auto"/>
              <w:right w:val="nil"/>
            </w:tcBorders>
            <w:shd w:val="clear" w:color="auto" w:fill="auto"/>
            <w:noWrap/>
            <w:vAlign w:val="center"/>
            <w:hideMark/>
          </w:tcPr>
          <w:p w14:paraId="65059181"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nil"/>
              <w:left w:val="nil"/>
              <w:bottom w:val="nil"/>
              <w:right w:val="nil"/>
            </w:tcBorders>
            <w:shd w:val="clear" w:color="auto" w:fill="auto"/>
            <w:noWrap/>
            <w:vAlign w:val="center"/>
            <w:hideMark/>
          </w:tcPr>
          <w:p w14:paraId="21ABF99A"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17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noWrap/>
            <w:vAlign w:val="center"/>
            <w:hideMark/>
          </w:tcPr>
          <w:p w14:paraId="5D934676"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1/2,000</w:t>
            </w:r>
          </w:p>
        </w:tc>
        <w:tc>
          <w:tcPr>
            <w:tcW w:w="993" w:type="dxa"/>
            <w:tcBorders>
              <w:top w:val="nil"/>
              <w:left w:val="nil"/>
              <w:bottom w:val="nil"/>
              <w:right w:val="nil"/>
            </w:tcBorders>
            <w:shd w:val="clear" w:color="auto" w:fill="auto"/>
            <w:noWrap/>
            <w:vAlign w:val="center"/>
            <w:hideMark/>
          </w:tcPr>
          <w:p w14:paraId="7602FB93"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1/4,000</w:t>
            </w:r>
          </w:p>
        </w:tc>
      </w:tr>
      <w:tr w:rsidR="002D1AA8" w:rsidRPr="00CF138D" w14:paraId="62D2EB3C"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4837C4F4"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PARP</w:t>
            </w:r>
          </w:p>
        </w:tc>
        <w:tc>
          <w:tcPr>
            <w:tcW w:w="1134" w:type="dxa"/>
            <w:tcBorders>
              <w:top w:val="single" w:sz="4" w:space="0" w:color="auto"/>
              <w:left w:val="nil"/>
              <w:bottom w:val="single" w:sz="4" w:space="0" w:color="auto"/>
              <w:right w:val="nil"/>
            </w:tcBorders>
            <w:shd w:val="clear" w:color="auto" w:fill="auto"/>
            <w:noWrap/>
            <w:vAlign w:val="center"/>
            <w:hideMark/>
          </w:tcPr>
          <w:p w14:paraId="1E8BB243"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#9542</w:t>
            </w:r>
          </w:p>
        </w:tc>
        <w:tc>
          <w:tcPr>
            <w:tcW w:w="1559" w:type="dxa"/>
            <w:tcBorders>
              <w:top w:val="nil"/>
              <w:left w:val="nil"/>
              <w:bottom w:val="single" w:sz="4" w:space="0" w:color="auto"/>
              <w:right w:val="nil"/>
            </w:tcBorders>
            <w:shd w:val="clear" w:color="auto" w:fill="auto"/>
            <w:noWrap/>
            <w:vAlign w:val="center"/>
            <w:hideMark/>
          </w:tcPr>
          <w:p w14:paraId="70428436"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Cell</w:t>
            </w:r>
            <w:proofErr w:type="spellEnd"/>
            <w:r w:rsidRPr="00CF138D">
              <w:rPr>
                <w:rFonts w:ascii="Times New Roman" w:eastAsia="Times New Roman" w:hAnsi="Times New Roman" w:cs="Times New Roman"/>
                <w:color w:val="000000" w:themeColor="text1"/>
                <w:lang w:eastAsia="es-ES"/>
              </w:rPr>
              <w:t xml:space="preserve"> </w:t>
            </w:r>
            <w:proofErr w:type="spellStart"/>
            <w:r w:rsidRPr="00CF138D">
              <w:rPr>
                <w:rFonts w:ascii="Times New Roman" w:eastAsia="Times New Roman" w:hAnsi="Times New Roman" w:cs="Times New Roman"/>
                <w:color w:val="000000" w:themeColor="text1"/>
                <w:lang w:eastAsia="es-ES"/>
              </w:rPr>
              <w:t>Signaling</w:t>
            </w:r>
            <w:proofErr w:type="spellEnd"/>
          </w:p>
        </w:tc>
        <w:tc>
          <w:tcPr>
            <w:tcW w:w="851" w:type="dxa"/>
            <w:tcBorders>
              <w:top w:val="nil"/>
              <w:left w:val="nil"/>
              <w:bottom w:val="single" w:sz="4" w:space="0" w:color="auto"/>
              <w:right w:val="nil"/>
            </w:tcBorders>
            <w:shd w:val="clear" w:color="auto" w:fill="auto"/>
            <w:noWrap/>
            <w:vAlign w:val="center"/>
            <w:hideMark/>
          </w:tcPr>
          <w:p w14:paraId="42D6FD95"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single" w:sz="4" w:space="0" w:color="auto"/>
              <w:left w:val="nil"/>
              <w:bottom w:val="single" w:sz="4" w:space="0" w:color="auto"/>
              <w:right w:val="nil"/>
            </w:tcBorders>
            <w:shd w:val="clear" w:color="auto" w:fill="auto"/>
            <w:noWrap/>
            <w:vAlign w:val="center"/>
            <w:hideMark/>
          </w:tcPr>
          <w:p w14:paraId="4CCB219B"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116 and 89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noWrap/>
            <w:vAlign w:val="center"/>
            <w:hideMark/>
          </w:tcPr>
          <w:p w14:paraId="27D5276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1/2,000</w:t>
            </w:r>
          </w:p>
        </w:tc>
        <w:tc>
          <w:tcPr>
            <w:tcW w:w="993" w:type="dxa"/>
            <w:tcBorders>
              <w:top w:val="single" w:sz="4" w:space="0" w:color="auto"/>
              <w:left w:val="nil"/>
              <w:bottom w:val="single" w:sz="4" w:space="0" w:color="auto"/>
              <w:right w:val="nil"/>
            </w:tcBorders>
            <w:shd w:val="clear" w:color="auto" w:fill="auto"/>
            <w:noWrap/>
            <w:vAlign w:val="center"/>
            <w:hideMark/>
          </w:tcPr>
          <w:p w14:paraId="37556A11"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1/4,000</w:t>
            </w:r>
          </w:p>
        </w:tc>
      </w:tr>
      <w:tr w:rsidR="002D1AA8" w:rsidRPr="00CF138D" w14:paraId="03E1A4AF"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50974D90"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Phospho</w:t>
            </w:r>
            <w:proofErr w:type="spellEnd"/>
            <w:r w:rsidRPr="00CF138D">
              <w:rPr>
                <w:rFonts w:ascii="Times New Roman" w:eastAsia="Times New Roman" w:hAnsi="Times New Roman" w:cs="Times New Roman"/>
                <w:color w:val="000000" w:themeColor="text1"/>
                <w:lang w:eastAsia="es-ES"/>
              </w:rPr>
              <w:t>-AKT (Ser473)</w:t>
            </w:r>
          </w:p>
        </w:tc>
        <w:tc>
          <w:tcPr>
            <w:tcW w:w="1134" w:type="dxa"/>
            <w:tcBorders>
              <w:top w:val="nil"/>
              <w:left w:val="nil"/>
              <w:bottom w:val="single" w:sz="4" w:space="0" w:color="auto"/>
              <w:right w:val="nil"/>
            </w:tcBorders>
            <w:shd w:val="clear" w:color="auto" w:fill="auto"/>
            <w:noWrap/>
            <w:vAlign w:val="center"/>
            <w:hideMark/>
          </w:tcPr>
          <w:p w14:paraId="57877550"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#4060</w:t>
            </w:r>
          </w:p>
        </w:tc>
        <w:tc>
          <w:tcPr>
            <w:tcW w:w="1559" w:type="dxa"/>
            <w:tcBorders>
              <w:top w:val="nil"/>
              <w:left w:val="nil"/>
              <w:bottom w:val="single" w:sz="4" w:space="0" w:color="auto"/>
              <w:right w:val="nil"/>
            </w:tcBorders>
            <w:shd w:val="clear" w:color="auto" w:fill="auto"/>
            <w:noWrap/>
            <w:vAlign w:val="center"/>
            <w:hideMark/>
          </w:tcPr>
          <w:p w14:paraId="02AC5C6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Cell</w:t>
            </w:r>
            <w:proofErr w:type="spellEnd"/>
            <w:r w:rsidRPr="00CF138D">
              <w:rPr>
                <w:rFonts w:ascii="Times New Roman" w:eastAsia="Times New Roman" w:hAnsi="Times New Roman" w:cs="Times New Roman"/>
                <w:color w:val="000000" w:themeColor="text1"/>
                <w:lang w:eastAsia="es-ES"/>
              </w:rPr>
              <w:t xml:space="preserve"> </w:t>
            </w:r>
            <w:proofErr w:type="spellStart"/>
            <w:r w:rsidRPr="00CF138D">
              <w:rPr>
                <w:rFonts w:ascii="Times New Roman" w:eastAsia="Times New Roman" w:hAnsi="Times New Roman" w:cs="Times New Roman"/>
                <w:color w:val="000000" w:themeColor="text1"/>
                <w:lang w:eastAsia="es-ES"/>
              </w:rPr>
              <w:t>Signaling</w:t>
            </w:r>
            <w:proofErr w:type="spellEnd"/>
          </w:p>
        </w:tc>
        <w:tc>
          <w:tcPr>
            <w:tcW w:w="851" w:type="dxa"/>
            <w:tcBorders>
              <w:top w:val="nil"/>
              <w:left w:val="nil"/>
              <w:bottom w:val="single" w:sz="4" w:space="0" w:color="auto"/>
              <w:right w:val="nil"/>
            </w:tcBorders>
            <w:shd w:val="clear" w:color="auto" w:fill="auto"/>
            <w:noWrap/>
            <w:vAlign w:val="center"/>
            <w:hideMark/>
          </w:tcPr>
          <w:p w14:paraId="296182D5"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nil"/>
              <w:left w:val="nil"/>
              <w:bottom w:val="single" w:sz="4" w:space="0" w:color="auto"/>
              <w:right w:val="nil"/>
            </w:tcBorders>
            <w:shd w:val="clear" w:color="auto" w:fill="auto"/>
            <w:vAlign w:val="center"/>
            <w:hideMark/>
          </w:tcPr>
          <w:p w14:paraId="1CE4EDB1"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60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noWrap/>
            <w:vAlign w:val="center"/>
            <w:hideMark/>
          </w:tcPr>
          <w:p w14:paraId="157F4E49"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1/1,000</w:t>
            </w:r>
          </w:p>
        </w:tc>
        <w:tc>
          <w:tcPr>
            <w:tcW w:w="993" w:type="dxa"/>
            <w:tcBorders>
              <w:top w:val="nil"/>
              <w:left w:val="nil"/>
              <w:bottom w:val="single" w:sz="4" w:space="0" w:color="auto"/>
              <w:right w:val="nil"/>
            </w:tcBorders>
            <w:shd w:val="clear" w:color="auto" w:fill="auto"/>
            <w:noWrap/>
            <w:vAlign w:val="center"/>
            <w:hideMark/>
          </w:tcPr>
          <w:p w14:paraId="4FEAF5B9"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1/4,000</w:t>
            </w:r>
          </w:p>
        </w:tc>
      </w:tr>
      <w:tr w:rsidR="002D1AA8" w:rsidRPr="00CF138D" w14:paraId="21B6F743"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02778553"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AKT</w:t>
            </w:r>
          </w:p>
        </w:tc>
        <w:tc>
          <w:tcPr>
            <w:tcW w:w="1134" w:type="dxa"/>
            <w:tcBorders>
              <w:top w:val="nil"/>
              <w:left w:val="nil"/>
              <w:bottom w:val="single" w:sz="4" w:space="0" w:color="auto"/>
              <w:right w:val="nil"/>
            </w:tcBorders>
            <w:shd w:val="clear" w:color="auto" w:fill="auto"/>
            <w:noWrap/>
            <w:vAlign w:val="center"/>
            <w:hideMark/>
          </w:tcPr>
          <w:p w14:paraId="3E427A06"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sc-5298</w:t>
            </w:r>
          </w:p>
        </w:tc>
        <w:tc>
          <w:tcPr>
            <w:tcW w:w="1559" w:type="dxa"/>
            <w:tcBorders>
              <w:top w:val="nil"/>
              <w:left w:val="nil"/>
              <w:bottom w:val="single" w:sz="4" w:space="0" w:color="auto"/>
              <w:right w:val="nil"/>
            </w:tcBorders>
            <w:shd w:val="clear" w:color="auto" w:fill="auto"/>
            <w:noWrap/>
            <w:vAlign w:val="center"/>
            <w:hideMark/>
          </w:tcPr>
          <w:p w14:paraId="17500CDB"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Santa Cruz</w:t>
            </w:r>
          </w:p>
        </w:tc>
        <w:tc>
          <w:tcPr>
            <w:tcW w:w="851" w:type="dxa"/>
            <w:tcBorders>
              <w:top w:val="nil"/>
              <w:left w:val="nil"/>
              <w:bottom w:val="single" w:sz="4" w:space="0" w:color="auto"/>
              <w:right w:val="nil"/>
            </w:tcBorders>
            <w:shd w:val="clear" w:color="auto" w:fill="auto"/>
            <w:noWrap/>
            <w:vAlign w:val="center"/>
            <w:hideMark/>
          </w:tcPr>
          <w:p w14:paraId="7509DB69"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Mouse</w:t>
            </w:r>
          </w:p>
        </w:tc>
        <w:tc>
          <w:tcPr>
            <w:tcW w:w="1559" w:type="dxa"/>
            <w:tcBorders>
              <w:top w:val="nil"/>
              <w:left w:val="nil"/>
              <w:bottom w:val="single" w:sz="4" w:space="0" w:color="auto"/>
              <w:right w:val="nil"/>
            </w:tcBorders>
            <w:shd w:val="clear" w:color="auto" w:fill="auto"/>
            <w:vAlign w:val="center"/>
            <w:hideMark/>
          </w:tcPr>
          <w:p w14:paraId="163351A5"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60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noWrap/>
            <w:vAlign w:val="center"/>
            <w:hideMark/>
          </w:tcPr>
          <w:p w14:paraId="49CFDC3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1/1,000</w:t>
            </w:r>
          </w:p>
        </w:tc>
        <w:tc>
          <w:tcPr>
            <w:tcW w:w="993" w:type="dxa"/>
            <w:tcBorders>
              <w:top w:val="nil"/>
              <w:left w:val="nil"/>
              <w:bottom w:val="single" w:sz="4" w:space="0" w:color="auto"/>
              <w:right w:val="nil"/>
            </w:tcBorders>
            <w:shd w:val="clear" w:color="auto" w:fill="auto"/>
            <w:noWrap/>
            <w:vAlign w:val="center"/>
            <w:hideMark/>
          </w:tcPr>
          <w:p w14:paraId="46400970"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1/5,000</w:t>
            </w:r>
          </w:p>
        </w:tc>
      </w:tr>
      <w:tr w:rsidR="002D1AA8" w:rsidRPr="00CF138D" w14:paraId="3B77CFE5"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03389C8F"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Phospho-PRAS40 (Tht246)</w:t>
            </w:r>
          </w:p>
        </w:tc>
        <w:tc>
          <w:tcPr>
            <w:tcW w:w="1134" w:type="dxa"/>
            <w:tcBorders>
              <w:top w:val="nil"/>
              <w:left w:val="nil"/>
              <w:bottom w:val="nil"/>
              <w:right w:val="nil"/>
            </w:tcBorders>
            <w:shd w:val="clear" w:color="auto" w:fill="auto"/>
            <w:noWrap/>
            <w:vAlign w:val="center"/>
            <w:hideMark/>
          </w:tcPr>
          <w:p w14:paraId="2DDADDE9"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#2997</w:t>
            </w:r>
          </w:p>
        </w:tc>
        <w:tc>
          <w:tcPr>
            <w:tcW w:w="1559" w:type="dxa"/>
            <w:tcBorders>
              <w:top w:val="nil"/>
              <w:left w:val="nil"/>
              <w:bottom w:val="nil"/>
              <w:right w:val="nil"/>
            </w:tcBorders>
            <w:shd w:val="clear" w:color="auto" w:fill="auto"/>
            <w:noWrap/>
            <w:vAlign w:val="center"/>
            <w:hideMark/>
          </w:tcPr>
          <w:p w14:paraId="408003D2"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Cell</w:t>
            </w:r>
            <w:proofErr w:type="spellEnd"/>
            <w:r w:rsidRPr="00CF138D">
              <w:rPr>
                <w:rFonts w:ascii="Times New Roman" w:eastAsia="Times New Roman" w:hAnsi="Times New Roman" w:cs="Times New Roman"/>
                <w:color w:val="000000" w:themeColor="text1"/>
                <w:lang w:eastAsia="es-ES"/>
              </w:rPr>
              <w:t xml:space="preserve"> </w:t>
            </w:r>
            <w:proofErr w:type="spellStart"/>
            <w:r w:rsidRPr="00CF138D">
              <w:rPr>
                <w:rFonts w:ascii="Times New Roman" w:eastAsia="Times New Roman" w:hAnsi="Times New Roman" w:cs="Times New Roman"/>
                <w:color w:val="000000" w:themeColor="text1"/>
                <w:lang w:eastAsia="es-ES"/>
              </w:rPr>
              <w:t>Signaling</w:t>
            </w:r>
            <w:proofErr w:type="spellEnd"/>
          </w:p>
        </w:tc>
        <w:tc>
          <w:tcPr>
            <w:tcW w:w="851" w:type="dxa"/>
            <w:tcBorders>
              <w:top w:val="nil"/>
              <w:left w:val="nil"/>
              <w:bottom w:val="nil"/>
              <w:right w:val="nil"/>
            </w:tcBorders>
            <w:shd w:val="clear" w:color="auto" w:fill="auto"/>
            <w:noWrap/>
            <w:vAlign w:val="center"/>
            <w:hideMark/>
          </w:tcPr>
          <w:p w14:paraId="0A1F6769"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nil"/>
              <w:left w:val="nil"/>
              <w:bottom w:val="nil"/>
              <w:right w:val="nil"/>
            </w:tcBorders>
            <w:shd w:val="clear" w:color="auto" w:fill="auto"/>
            <w:noWrap/>
            <w:vAlign w:val="center"/>
            <w:hideMark/>
          </w:tcPr>
          <w:p w14:paraId="71CECBA2"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40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noWrap/>
            <w:vAlign w:val="center"/>
            <w:hideMark/>
          </w:tcPr>
          <w:p w14:paraId="2566F14D"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1/1,000</w:t>
            </w:r>
          </w:p>
        </w:tc>
        <w:tc>
          <w:tcPr>
            <w:tcW w:w="993" w:type="dxa"/>
            <w:tcBorders>
              <w:top w:val="nil"/>
              <w:left w:val="nil"/>
              <w:bottom w:val="single" w:sz="4" w:space="0" w:color="auto"/>
              <w:right w:val="nil"/>
            </w:tcBorders>
            <w:shd w:val="clear" w:color="auto" w:fill="auto"/>
            <w:noWrap/>
            <w:vAlign w:val="center"/>
            <w:hideMark/>
          </w:tcPr>
          <w:p w14:paraId="7943DCBA"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1/8,000</w:t>
            </w:r>
          </w:p>
        </w:tc>
      </w:tr>
      <w:tr w:rsidR="002D1AA8" w:rsidRPr="00CF138D" w14:paraId="1D083A91"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7E6F55A3"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PRAS40</w:t>
            </w:r>
          </w:p>
        </w:tc>
        <w:tc>
          <w:tcPr>
            <w:tcW w:w="1134" w:type="dxa"/>
            <w:tcBorders>
              <w:top w:val="single" w:sz="4" w:space="0" w:color="auto"/>
              <w:left w:val="nil"/>
              <w:bottom w:val="single" w:sz="4" w:space="0" w:color="auto"/>
              <w:right w:val="nil"/>
            </w:tcBorders>
            <w:shd w:val="clear" w:color="auto" w:fill="auto"/>
            <w:noWrap/>
            <w:vAlign w:val="center"/>
            <w:hideMark/>
          </w:tcPr>
          <w:p w14:paraId="10353911"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#2691</w:t>
            </w:r>
          </w:p>
        </w:tc>
        <w:tc>
          <w:tcPr>
            <w:tcW w:w="1559" w:type="dxa"/>
            <w:tcBorders>
              <w:top w:val="single" w:sz="4" w:space="0" w:color="auto"/>
              <w:left w:val="nil"/>
              <w:bottom w:val="single" w:sz="4" w:space="0" w:color="auto"/>
              <w:right w:val="nil"/>
            </w:tcBorders>
            <w:shd w:val="clear" w:color="auto" w:fill="auto"/>
            <w:noWrap/>
            <w:vAlign w:val="center"/>
            <w:hideMark/>
          </w:tcPr>
          <w:p w14:paraId="64DAF58C"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Cell</w:t>
            </w:r>
            <w:proofErr w:type="spellEnd"/>
            <w:r w:rsidRPr="00CF138D">
              <w:rPr>
                <w:rFonts w:ascii="Times New Roman" w:eastAsia="Times New Roman" w:hAnsi="Times New Roman" w:cs="Times New Roman"/>
                <w:color w:val="000000" w:themeColor="text1"/>
                <w:lang w:eastAsia="es-ES"/>
              </w:rPr>
              <w:t xml:space="preserve"> </w:t>
            </w:r>
            <w:proofErr w:type="spellStart"/>
            <w:r w:rsidRPr="00CF138D">
              <w:rPr>
                <w:rFonts w:ascii="Times New Roman" w:eastAsia="Times New Roman" w:hAnsi="Times New Roman" w:cs="Times New Roman"/>
                <w:color w:val="000000" w:themeColor="text1"/>
                <w:lang w:eastAsia="es-ES"/>
              </w:rPr>
              <w:t>Signaling</w:t>
            </w:r>
            <w:proofErr w:type="spellEnd"/>
          </w:p>
        </w:tc>
        <w:tc>
          <w:tcPr>
            <w:tcW w:w="851" w:type="dxa"/>
            <w:tcBorders>
              <w:top w:val="single" w:sz="4" w:space="0" w:color="auto"/>
              <w:left w:val="nil"/>
              <w:bottom w:val="single" w:sz="4" w:space="0" w:color="auto"/>
              <w:right w:val="nil"/>
            </w:tcBorders>
            <w:shd w:val="clear" w:color="auto" w:fill="auto"/>
            <w:vAlign w:val="center"/>
            <w:hideMark/>
          </w:tcPr>
          <w:p w14:paraId="3F0AFACA"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single" w:sz="4" w:space="0" w:color="auto"/>
              <w:left w:val="nil"/>
              <w:bottom w:val="single" w:sz="4" w:space="0" w:color="auto"/>
              <w:right w:val="nil"/>
            </w:tcBorders>
            <w:shd w:val="clear" w:color="auto" w:fill="auto"/>
            <w:noWrap/>
            <w:vAlign w:val="center"/>
            <w:hideMark/>
          </w:tcPr>
          <w:p w14:paraId="2343E5AF"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40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nil"/>
              <w:right w:val="nil"/>
            </w:tcBorders>
            <w:shd w:val="clear" w:color="auto" w:fill="auto"/>
            <w:noWrap/>
            <w:vAlign w:val="center"/>
            <w:hideMark/>
          </w:tcPr>
          <w:p w14:paraId="7ECF3D4B"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1/2,000</w:t>
            </w:r>
          </w:p>
        </w:tc>
        <w:tc>
          <w:tcPr>
            <w:tcW w:w="993" w:type="dxa"/>
            <w:tcBorders>
              <w:top w:val="nil"/>
              <w:left w:val="nil"/>
              <w:bottom w:val="single" w:sz="4" w:space="0" w:color="auto"/>
              <w:right w:val="nil"/>
            </w:tcBorders>
            <w:shd w:val="clear" w:color="auto" w:fill="auto"/>
            <w:noWrap/>
            <w:vAlign w:val="center"/>
            <w:hideMark/>
          </w:tcPr>
          <w:p w14:paraId="6F6F547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1/8,000</w:t>
            </w:r>
          </w:p>
        </w:tc>
      </w:tr>
      <w:tr w:rsidR="002D1AA8" w:rsidRPr="00CF138D" w14:paraId="59E58373"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5FBB7E5A"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Phospho-rpS6 (Ser235/236)</w:t>
            </w:r>
          </w:p>
        </w:tc>
        <w:tc>
          <w:tcPr>
            <w:tcW w:w="1134" w:type="dxa"/>
            <w:tcBorders>
              <w:top w:val="nil"/>
              <w:left w:val="nil"/>
              <w:bottom w:val="single" w:sz="4" w:space="0" w:color="auto"/>
              <w:right w:val="nil"/>
            </w:tcBorders>
            <w:shd w:val="clear" w:color="auto" w:fill="auto"/>
            <w:noWrap/>
            <w:vAlign w:val="center"/>
            <w:hideMark/>
          </w:tcPr>
          <w:p w14:paraId="36EB2CF2"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#4858</w:t>
            </w:r>
          </w:p>
        </w:tc>
        <w:tc>
          <w:tcPr>
            <w:tcW w:w="1559" w:type="dxa"/>
            <w:tcBorders>
              <w:top w:val="nil"/>
              <w:left w:val="nil"/>
              <w:bottom w:val="single" w:sz="4" w:space="0" w:color="auto"/>
              <w:right w:val="nil"/>
            </w:tcBorders>
            <w:shd w:val="clear" w:color="auto" w:fill="auto"/>
            <w:noWrap/>
            <w:vAlign w:val="center"/>
            <w:hideMark/>
          </w:tcPr>
          <w:p w14:paraId="7728091E"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Cell</w:t>
            </w:r>
            <w:proofErr w:type="spellEnd"/>
            <w:r w:rsidRPr="00CF138D">
              <w:rPr>
                <w:rFonts w:ascii="Times New Roman" w:eastAsia="Times New Roman" w:hAnsi="Times New Roman" w:cs="Times New Roman"/>
                <w:color w:val="000000" w:themeColor="text1"/>
                <w:lang w:eastAsia="es-ES"/>
              </w:rPr>
              <w:t xml:space="preserve"> </w:t>
            </w:r>
            <w:proofErr w:type="spellStart"/>
            <w:r w:rsidRPr="00CF138D">
              <w:rPr>
                <w:rFonts w:ascii="Times New Roman" w:eastAsia="Times New Roman" w:hAnsi="Times New Roman" w:cs="Times New Roman"/>
                <w:color w:val="000000" w:themeColor="text1"/>
                <w:lang w:eastAsia="es-ES"/>
              </w:rPr>
              <w:t>Signaling</w:t>
            </w:r>
            <w:proofErr w:type="spellEnd"/>
          </w:p>
        </w:tc>
        <w:tc>
          <w:tcPr>
            <w:tcW w:w="851" w:type="dxa"/>
            <w:tcBorders>
              <w:top w:val="nil"/>
              <w:left w:val="nil"/>
              <w:bottom w:val="single" w:sz="4" w:space="0" w:color="auto"/>
              <w:right w:val="nil"/>
            </w:tcBorders>
            <w:shd w:val="clear" w:color="auto" w:fill="auto"/>
            <w:vAlign w:val="center"/>
            <w:hideMark/>
          </w:tcPr>
          <w:p w14:paraId="55F2AF7F"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nil"/>
              <w:left w:val="nil"/>
              <w:bottom w:val="single" w:sz="4" w:space="0" w:color="auto"/>
              <w:right w:val="nil"/>
            </w:tcBorders>
            <w:shd w:val="clear" w:color="auto" w:fill="auto"/>
            <w:vAlign w:val="center"/>
            <w:hideMark/>
          </w:tcPr>
          <w:p w14:paraId="5A436EAE"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32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single" w:sz="4" w:space="0" w:color="auto"/>
              <w:left w:val="nil"/>
              <w:bottom w:val="single" w:sz="4" w:space="0" w:color="auto"/>
              <w:right w:val="nil"/>
            </w:tcBorders>
            <w:shd w:val="clear" w:color="auto" w:fill="auto"/>
            <w:noWrap/>
            <w:vAlign w:val="center"/>
            <w:hideMark/>
          </w:tcPr>
          <w:p w14:paraId="67F9F75A"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1/5,000</w:t>
            </w:r>
          </w:p>
        </w:tc>
        <w:tc>
          <w:tcPr>
            <w:tcW w:w="993" w:type="dxa"/>
            <w:tcBorders>
              <w:top w:val="nil"/>
              <w:left w:val="nil"/>
              <w:bottom w:val="single" w:sz="4" w:space="0" w:color="auto"/>
              <w:right w:val="nil"/>
            </w:tcBorders>
            <w:shd w:val="clear" w:color="auto" w:fill="auto"/>
            <w:noWrap/>
            <w:vAlign w:val="center"/>
            <w:hideMark/>
          </w:tcPr>
          <w:p w14:paraId="7B933858"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1/8,000</w:t>
            </w:r>
          </w:p>
        </w:tc>
      </w:tr>
      <w:tr w:rsidR="002D1AA8" w:rsidRPr="00CF138D" w14:paraId="3D0064E0"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54F0B9CE"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S6</w:t>
            </w:r>
          </w:p>
        </w:tc>
        <w:tc>
          <w:tcPr>
            <w:tcW w:w="1134" w:type="dxa"/>
            <w:tcBorders>
              <w:top w:val="nil"/>
              <w:left w:val="nil"/>
              <w:bottom w:val="single" w:sz="4" w:space="0" w:color="auto"/>
              <w:right w:val="nil"/>
            </w:tcBorders>
            <w:shd w:val="clear" w:color="auto" w:fill="auto"/>
            <w:noWrap/>
            <w:vAlign w:val="center"/>
            <w:hideMark/>
          </w:tcPr>
          <w:p w14:paraId="3214E44F"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#2217</w:t>
            </w:r>
          </w:p>
        </w:tc>
        <w:tc>
          <w:tcPr>
            <w:tcW w:w="1559" w:type="dxa"/>
            <w:tcBorders>
              <w:top w:val="nil"/>
              <w:left w:val="nil"/>
              <w:bottom w:val="single" w:sz="4" w:space="0" w:color="auto"/>
              <w:right w:val="nil"/>
            </w:tcBorders>
            <w:shd w:val="clear" w:color="auto" w:fill="auto"/>
            <w:noWrap/>
            <w:vAlign w:val="center"/>
            <w:hideMark/>
          </w:tcPr>
          <w:p w14:paraId="668787AF"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Cell</w:t>
            </w:r>
            <w:proofErr w:type="spellEnd"/>
            <w:r w:rsidRPr="00CF138D">
              <w:rPr>
                <w:rFonts w:ascii="Times New Roman" w:eastAsia="Times New Roman" w:hAnsi="Times New Roman" w:cs="Times New Roman"/>
                <w:color w:val="000000" w:themeColor="text1"/>
                <w:lang w:eastAsia="es-ES"/>
              </w:rPr>
              <w:t xml:space="preserve"> </w:t>
            </w:r>
            <w:proofErr w:type="spellStart"/>
            <w:r w:rsidRPr="00CF138D">
              <w:rPr>
                <w:rFonts w:ascii="Times New Roman" w:eastAsia="Times New Roman" w:hAnsi="Times New Roman" w:cs="Times New Roman"/>
                <w:color w:val="000000" w:themeColor="text1"/>
                <w:lang w:eastAsia="es-ES"/>
              </w:rPr>
              <w:t>Signaling</w:t>
            </w:r>
            <w:proofErr w:type="spellEnd"/>
          </w:p>
        </w:tc>
        <w:tc>
          <w:tcPr>
            <w:tcW w:w="851" w:type="dxa"/>
            <w:tcBorders>
              <w:top w:val="nil"/>
              <w:left w:val="nil"/>
              <w:bottom w:val="single" w:sz="4" w:space="0" w:color="auto"/>
              <w:right w:val="nil"/>
            </w:tcBorders>
            <w:shd w:val="clear" w:color="auto" w:fill="auto"/>
            <w:vAlign w:val="center"/>
            <w:hideMark/>
          </w:tcPr>
          <w:p w14:paraId="786D2E5F"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nil"/>
              <w:left w:val="nil"/>
              <w:bottom w:val="single" w:sz="4" w:space="0" w:color="auto"/>
              <w:right w:val="nil"/>
            </w:tcBorders>
            <w:shd w:val="clear" w:color="auto" w:fill="auto"/>
            <w:vAlign w:val="center"/>
            <w:hideMark/>
          </w:tcPr>
          <w:p w14:paraId="0F98DEA3"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32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noWrap/>
            <w:vAlign w:val="center"/>
            <w:hideMark/>
          </w:tcPr>
          <w:p w14:paraId="76A1CAE2"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1/2,000</w:t>
            </w:r>
          </w:p>
        </w:tc>
        <w:tc>
          <w:tcPr>
            <w:tcW w:w="993" w:type="dxa"/>
            <w:tcBorders>
              <w:top w:val="nil"/>
              <w:left w:val="nil"/>
              <w:bottom w:val="single" w:sz="4" w:space="0" w:color="auto"/>
              <w:right w:val="nil"/>
            </w:tcBorders>
            <w:shd w:val="clear" w:color="auto" w:fill="auto"/>
            <w:noWrap/>
            <w:vAlign w:val="center"/>
            <w:hideMark/>
          </w:tcPr>
          <w:p w14:paraId="37F13EBB"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1/8,000</w:t>
            </w:r>
          </w:p>
        </w:tc>
      </w:tr>
      <w:tr w:rsidR="002D1AA8" w:rsidRPr="00CF138D" w14:paraId="3531E428" w14:textId="77777777" w:rsidTr="00111565">
        <w:trPr>
          <w:trHeight w:val="510"/>
          <w:jc w:val="center"/>
        </w:trPr>
        <w:tc>
          <w:tcPr>
            <w:tcW w:w="1985" w:type="dxa"/>
            <w:tcBorders>
              <w:top w:val="nil"/>
              <w:left w:val="nil"/>
              <w:bottom w:val="single" w:sz="4" w:space="0" w:color="auto"/>
              <w:right w:val="nil"/>
            </w:tcBorders>
            <w:shd w:val="clear" w:color="auto" w:fill="auto"/>
            <w:vAlign w:val="center"/>
            <w:hideMark/>
          </w:tcPr>
          <w:p w14:paraId="532AB027"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Phospho-FOXO1 (Ser322/S325)</w:t>
            </w:r>
          </w:p>
        </w:tc>
        <w:tc>
          <w:tcPr>
            <w:tcW w:w="1134" w:type="dxa"/>
            <w:tcBorders>
              <w:top w:val="nil"/>
              <w:left w:val="nil"/>
              <w:bottom w:val="single" w:sz="4" w:space="0" w:color="auto"/>
              <w:right w:val="nil"/>
            </w:tcBorders>
            <w:shd w:val="clear" w:color="auto" w:fill="auto"/>
            <w:noWrap/>
            <w:vAlign w:val="center"/>
            <w:hideMark/>
          </w:tcPr>
          <w:p w14:paraId="27B4ACA6"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ab60945</w:t>
            </w:r>
          </w:p>
        </w:tc>
        <w:tc>
          <w:tcPr>
            <w:tcW w:w="1559" w:type="dxa"/>
            <w:tcBorders>
              <w:top w:val="nil"/>
              <w:left w:val="nil"/>
              <w:bottom w:val="single" w:sz="4" w:space="0" w:color="auto"/>
              <w:right w:val="nil"/>
            </w:tcBorders>
            <w:shd w:val="clear" w:color="auto" w:fill="auto"/>
            <w:noWrap/>
            <w:vAlign w:val="center"/>
            <w:hideMark/>
          </w:tcPr>
          <w:p w14:paraId="59502608"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abcam</w:t>
            </w:r>
            <w:proofErr w:type="spellEnd"/>
          </w:p>
        </w:tc>
        <w:tc>
          <w:tcPr>
            <w:tcW w:w="851" w:type="dxa"/>
            <w:tcBorders>
              <w:top w:val="nil"/>
              <w:left w:val="nil"/>
              <w:bottom w:val="single" w:sz="4" w:space="0" w:color="auto"/>
              <w:right w:val="nil"/>
            </w:tcBorders>
            <w:shd w:val="clear" w:color="auto" w:fill="auto"/>
            <w:noWrap/>
            <w:vAlign w:val="center"/>
            <w:hideMark/>
          </w:tcPr>
          <w:p w14:paraId="72CFF6EA"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nil"/>
              <w:left w:val="nil"/>
              <w:bottom w:val="nil"/>
              <w:right w:val="nil"/>
            </w:tcBorders>
            <w:shd w:val="clear" w:color="auto" w:fill="auto"/>
            <w:noWrap/>
            <w:vAlign w:val="center"/>
            <w:hideMark/>
          </w:tcPr>
          <w:p w14:paraId="2F40726F"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100 </w:t>
            </w:r>
            <w:proofErr w:type="spellStart"/>
            <w:r w:rsidRPr="00CF138D">
              <w:rPr>
                <w:rFonts w:ascii="Times New Roman" w:eastAsia="Times New Roman" w:hAnsi="Times New Roman" w:cs="Times New Roman"/>
                <w:color w:val="000000" w:themeColor="text1"/>
                <w:lang w:eastAsia="es-ES"/>
              </w:rPr>
              <w:t>kDa</w:t>
            </w:r>
            <w:proofErr w:type="spellEnd"/>
            <w:r w:rsidRPr="00CF138D">
              <w:rPr>
                <w:rFonts w:ascii="Times New Roman" w:eastAsia="Times New Roman" w:hAnsi="Times New Roman" w:cs="Times New Roman"/>
                <w:color w:val="000000" w:themeColor="text1"/>
                <w:lang w:eastAsia="es-ES"/>
              </w:rPr>
              <w:t xml:space="preserve"> (</w:t>
            </w:r>
            <w:proofErr w:type="spellStart"/>
            <w:r w:rsidRPr="00CF138D">
              <w:rPr>
                <w:rFonts w:ascii="Times New Roman" w:eastAsia="Times New Roman" w:hAnsi="Times New Roman" w:cs="Times New Roman"/>
                <w:color w:val="000000" w:themeColor="text1"/>
                <w:lang w:eastAsia="es-ES"/>
              </w:rPr>
              <w:t>fusion</w:t>
            </w:r>
            <w:proofErr w:type="spellEnd"/>
            <w:r w:rsidRPr="00CF138D">
              <w:rPr>
                <w:rFonts w:ascii="Times New Roman" w:eastAsia="Times New Roman" w:hAnsi="Times New Roman" w:cs="Times New Roman"/>
                <w:color w:val="000000" w:themeColor="text1"/>
                <w:lang w:eastAsia="es-ES"/>
              </w:rPr>
              <w:t xml:space="preserve"> </w:t>
            </w:r>
            <w:proofErr w:type="spellStart"/>
            <w:r w:rsidRPr="00CF138D">
              <w:rPr>
                <w:rFonts w:ascii="Times New Roman" w:eastAsia="Times New Roman" w:hAnsi="Times New Roman" w:cs="Times New Roman"/>
                <w:color w:val="000000" w:themeColor="text1"/>
                <w:lang w:eastAsia="es-ES"/>
              </w:rPr>
              <w:t>protein</w:t>
            </w:r>
            <w:proofErr w:type="spellEnd"/>
            <w:r w:rsidRPr="00CF138D">
              <w:rPr>
                <w:rFonts w:ascii="Times New Roman" w:eastAsia="Times New Roman" w:hAnsi="Times New Roman" w:cs="Times New Roman"/>
                <w:color w:val="000000" w:themeColor="text1"/>
                <w:lang w:eastAsia="es-ES"/>
              </w:rPr>
              <w:t>)</w:t>
            </w:r>
          </w:p>
        </w:tc>
        <w:tc>
          <w:tcPr>
            <w:tcW w:w="957" w:type="dxa"/>
            <w:tcBorders>
              <w:top w:val="nil"/>
              <w:left w:val="nil"/>
              <w:bottom w:val="single" w:sz="4" w:space="0" w:color="auto"/>
              <w:right w:val="nil"/>
            </w:tcBorders>
            <w:shd w:val="clear" w:color="auto" w:fill="auto"/>
            <w:noWrap/>
            <w:vAlign w:val="center"/>
            <w:hideMark/>
          </w:tcPr>
          <w:p w14:paraId="5672D6E0"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1/2,000</w:t>
            </w:r>
          </w:p>
        </w:tc>
        <w:tc>
          <w:tcPr>
            <w:tcW w:w="993" w:type="dxa"/>
            <w:tcBorders>
              <w:top w:val="nil"/>
              <w:left w:val="nil"/>
              <w:bottom w:val="single" w:sz="4" w:space="0" w:color="auto"/>
              <w:right w:val="nil"/>
            </w:tcBorders>
            <w:shd w:val="clear" w:color="auto" w:fill="auto"/>
            <w:noWrap/>
            <w:vAlign w:val="center"/>
            <w:hideMark/>
          </w:tcPr>
          <w:p w14:paraId="0EAA4551"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1/4,000</w:t>
            </w:r>
          </w:p>
        </w:tc>
      </w:tr>
      <w:tr w:rsidR="002D1AA8" w:rsidRPr="00CF138D" w14:paraId="3E112554"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560AA10E"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FOXO1</w:t>
            </w:r>
          </w:p>
        </w:tc>
        <w:tc>
          <w:tcPr>
            <w:tcW w:w="1134" w:type="dxa"/>
            <w:tcBorders>
              <w:top w:val="nil"/>
              <w:left w:val="nil"/>
              <w:bottom w:val="single" w:sz="4" w:space="0" w:color="auto"/>
              <w:right w:val="nil"/>
            </w:tcBorders>
            <w:shd w:val="clear" w:color="auto" w:fill="auto"/>
            <w:noWrap/>
            <w:vAlign w:val="center"/>
            <w:hideMark/>
          </w:tcPr>
          <w:p w14:paraId="70D17DB6"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#2880</w:t>
            </w:r>
          </w:p>
        </w:tc>
        <w:tc>
          <w:tcPr>
            <w:tcW w:w="1559" w:type="dxa"/>
            <w:tcBorders>
              <w:top w:val="nil"/>
              <w:left w:val="nil"/>
              <w:bottom w:val="single" w:sz="4" w:space="0" w:color="auto"/>
              <w:right w:val="nil"/>
            </w:tcBorders>
            <w:shd w:val="clear" w:color="auto" w:fill="auto"/>
            <w:noWrap/>
            <w:vAlign w:val="center"/>
            <w:hideMark/>
          </w:tcPr>
          <w:p w14:paraId="2FD090FA"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Cell</w:t>
            </w:r>
            <w:proofErr w:type="spellEnd"/>
            <w:r w:rsidRPr="00CF138D">
              <w:rPr>
                <w:rFonts w:ascii="Times New Roman" w:eastAsia="Times New Roman" w:hAnsi="Times New Roman" w:cs="Times New Roman"/>
                <w:color w:val="000000" w:themeColor="text1"/>
                <w:lang w:eastAsia="es-ES"/>
              </w:rPr>
              <w:t xml:space="preserve"> </w:t>
            </w:r>
            <w:proofErr w:type="spellStart"/>
            <w:r w:rsidRPr="00CF138D">
              <w:rPr>
                <w:rFonts w:ascii="Times New Roman" w:eastAsia="Times New Roman" w:hAnsi="Times New Roman" w:cs="Times New Roman"/>
                <w:color w:val="000000" w:themeColor="text1"/>
                <w:lang w:eastAsia="es-ES"/>
              </w:rPr>
              <w:t>Signaling</w:t>
            </w:r>
            <w:proofErr w:type="spellEnd"/>
          </w:p>
        </w:tc>
        <w:tc>
          <w:tcPr>
            <w:tcW w:w="851" w:type="dxa"/>
            <w:tcBorders>
              <w:top w:val="nil"/>
              <w:left w:val="nil"/>
              <w:bottom w:val="single" w:sz="4" w:space="0" w:color="auto"/>
              <w:right w:val="nil"/>
            </w:tcBorders>
            <w:shd w:val="clear" w:color="auto" w:fill="auto"/>
            <w:noWrap/>
            <w:vAlign w:val="center"/>
            <w:hideMark/>
          </w:tcPr>
          <w:p w14:paraId="6F5682FC"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Rabbit</w:t>
            </w:r>
            <w:proofErr w:type="spellEnd"/>
          </w:p>
        </w:tc>
        <w:tc>
          <w:tcPr>
            <w:tcW w:w="1559" w:type="dxa"/>
            <w:tcBorders>
              <w:top w:val="single" w:sz="4" w:space="0" w:color="auto"/>
              <w:left w:val="nil"/>
              <w:bottom w:val="single" w:sz="4" w:space="0" w:color="auto"/>
              <w:right w:val="nil"/>
            </w:tcBorders>
            <w:shd w:val="clear" w:color="auto" w:fill="auto"/>
            <w:vAlign w:val="center"/>
            <w:hideMark/>
          </w:tcPr>
          <w:p w14:paraId="64EBF84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100 </w:t>
            </w:r>
            <w:proofErr w:type="spellStart"/>
            <w:r w:rsidRPr="00CF138D">
              <w:rPr>
                <w:rFonts w:ascii="Times New Roman" w:eastAsia="Times New Roman" w:hAnsi="Times New Roman" w:cs="Times New Roman"/>
                <w:color w:val="000000" w:themeColor="text1"/>
                <w:lang w:eastAsia="es-ES"/>
              </w:rPr>
              <w:t>kDa</w:t>
            </w:r>
            <w:proofErr w:type="spellEnd"/>
            <w:r w:rsidRPr="00CF138D">
              <w:rPr>
                <w:rFonts w:ascii="Times New Roman" w:eastAsia="Times New Roman" w:hAnsi="Times New Roman" w:cs="Times New Roman"/>
                <w:color w:val="000000" w:themeColor="text1"/>
                <w:lang w:eastAsia="es-ES"/>
              </w:rPr>
              <w:t xml:space="preserve"> (</w:t>
            </w:r>
            <w:proofErr w:type="spellStart"/>
            <w:r w:rsidRPr="00CF138D">
              <w:rPr>
                <w:rFonts w:ascii="Times New Roman" w:eastAsia="Times New Roman" w:hAnsi="Times New Roman" w:cs="Times New Roman"/>
                <w:color w:val="000000" w:themeColor="text1"/>
                <w:lang w:eastAsia="es-ES"/>
              </w:rPr>
              <w:t>fusion</w:t>
            </w:r>
            <w:proofErr w:type="spellEnd"/>
            <w:r w:rsidRPr="00CF138D">
              <w:rPr>
                <w:rFonts w:ascii="Times New Roman" w:eastAsia="Times New Roman" w:hAnsi="Times New Roman" w:cs="Times New Roman"/>
                <w:color w:val="000000" w:themeColor="text1"/>
                <w:lang w:eastAsia="es-ES"/>
              </w:rPr>
              <w:t xml:space="preserve"> </w:t>
            </w:r>
            <w:proofErr w:type="spellStart"/>
            <w:r w:rsidRPr="00CF138D">
              <w:rPr>
                <w:rFonts w:ascii="Times New Roman" w:eastAsia="Times New Roman" w:hAnsi="Times New Roman" w:cs="Times New Roman"/>
                <w:color w:val="000000" w:themeColor="text1"/>
                <w:lang w:eastAsia="es-ES"/>
              </w:rPr>
              <w:t>protein</w:t>
            </w:r>
            <w:proofErr w:type="spellEnd"/>
            <w:r w:rsidRPr="00CF138D">
              <w:rPr>
                <w:rFonts w:ascii="Times New Roman" w:eastAsia="Times New Roman" w:hAnsi="Times New Roman" w:cs="Times New Roman"/>
                <w:color w:val="000000" w:themeColor="text1"/>
                <w:lang w:eastAsia="es-ES"/>
              </w:rPr>
              <w:t>)</w:t>
            </w:r>
          </w:p>
        </w:tc>
        <w:tc>
          <w:tcPr>
            <w:tcW w:w="957" w:type="dxa"/>
            <w:tcBorders>
              <w:top w:val="nil"/>
              <w:left w:val="nil"/>
              <w:bottom w:val="single" w:sz="4" w:space="0" w:color="auto"/>
              <w:right w:val="nil"/>
            </w:tcBorders>
            <w:shd w:val="clear" w:color="auto" w:fill="auto"/>
            <w:noWrap/>
            <w:vAlign w:val="center"/>
            <w:hideMark/>
          </w:tcPr>
          <w:p w14:paraId="4BA0AA03"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1/4,000</w:t>
            </w:r>
          </w:p>
        </w:tc>
        <w:tc>
          <w:tcPr>
            <w:tcW w:w="993" w:type="dxa"/>
            <w:tcBorders>
              <w:top w:val="nil"/>
              <w:left w:val="nil"/>
              <w:bottom w:val="single" w:sz="4" w:space="0" w:color="auto"/>
              <w:right w:val="nil"/>
            </w:tcBorders>
            <w:shd w:val="clear" w:color="auto" w:fill="auto"/>
            <w:noWrap/>
            <w:vAlign w:val="center"/>
            <w:hideMark/>
          </w:tcPr>
          <w:p w14:paraId="6DA71658"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1/8,000</w:t>
            </w:r>
          </w:p>
        </w:tc>
      </w:tr>
      <w:tr w:rsidR="002D1AA8" w:rsidRPr="00CF138D" w14:paraId="6DF04F47"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32D1EEFE"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MYCN</w:t>
            </w:r>
          </w:p>
        </w:tc>
        <w:tc>
          <w:tcPr>
            <w:tcW w:w="1134" w:type="dxa"/>
            <w:tcBorders>
              <w:top w:val="nil"/>
              <w:left w:val="nil"/>
              <w:bottom w:val="single" w:sz="4" w:space="0" w:color="auto"/>
              <w:right w:val="nil"/>
            </w:tcBorders>
            <w:shd w:val="clear" w:color="auto" w:fill="auto"/>
            <w:vAlign w:val="center"/>
            <w:hideMark/>
          </w:tcPr>
          <w:p w14:paraId="3ACA5A32"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sc-53993</w:t>
            </w:r>
          </w:p>
        </w:tc>
        <w:tc>
          <w:tcPr>
            <w:tcW w:w="1559" w:type="dxa"/>
            <w:tcBorders>
              <w:top w:val="nil"/>
              <w:left w:val="nil"/>
              <w:bottom w:val="single" w:sz="4" w:space="0" w:color="auto"/>
              <w:right w:val="nil"/>
            </w:tcBorders>
            <w:shd w:val="clear" w:color="auto" w:fill="auto"/>
            <w:vAlign w:val="center"/>
            <w:hideMark/>
          </w:tcPr>
          <w:p w14:paraId="7FF2F46C"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Santa Cruz</w:t>
            </w:r>
          </w:p>
        </w:tc>
        <w:tc>
          <w:tcPr>
            <w:tcW w:w="851" w:type="dxa"/>
            <w:tcBorders>
              <w:top w:val="nil"/>
              <w:left w:val="nil"/>
              <w:bottom w:val="single" w:sz="4" w:space="0" w:color="auto"/>
              <w:right w:val="nil"/>
            </w:tcBorders>
            <w:shd w:val="clear" w:color="auto" w:fill="auto"/>
            <w:vAlign w:val="center"/>
            <w:hideMark/>
          </w:tcPr>
          <w:p w14:paraId="2697BF48"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Mouse</w:t>
            </w:r>
          </w:p>
        </w:tc>
        <w:tc>
          <w:tcPr>
            <w:tcW w:w="1559" w:type="dxa"/>
            <w:tcBorders>
              <w:top w:val="nil"/>
              <w:left w:val="nil"/>
              <w:bottom w:val="single" w:sz="4" w:space="0" w:color="auto"/>
              <w:right w:val="nil"/>
            </w:tcBorders>
            <w:shd w:val="clear" w:color="auto" w:fill="auto"/>
            <w:vAlign w:val="center"/>
            <w:hideMark/>
          </w:tcPr>
          <w:p w14:paraId="2692044D"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67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vAlign w:val="center"/>
            <w:hideMark/>
          </w:tcPr>
          <w:p w14:paraId="4ABBBAF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1/1,000</w:t>
            </w:r>
          </w:p>
        </w:tc>
        <w:tc>
          <w:tcPr>
            <w:tcW w:w="993" w:type="dxa"/>
            <w:tcBorders>
              <w:top w:val="nil"/>
              <w:left w:val="nil"/>
              <w:bottom w:val="single" w:sz="4" w:space="0" w:color="auto"/>
              <w:right w:val="nil"/>
            </w:tcBorders>
            <w:shd w:val="clear" w:color="auto" w:fill="auto"/>
            <w:vAlign w:val="center"/>
            <w:hideMark/>
          </w:tcPr>
          <w:p w14:paraId="1F006A0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1/2,000</w:t>
            </w:r>
          </w:p>
        </w:tc>
      </w:tr>
      <w:tr w:rsidR="002D1AA8" w:rsidRPr="00CF138D" w14:paraId="2BE523F1" w14:textId="77777777" w:rsidTr="00111565">
        <w:trPr>
          <w:trHeight w:val="510"/>
          <w:jc w:val="center"/>
        </w:trPr>
        <w:tc>
          <w:tcPr>
            <w:tcW w:w="1985" w:type="dxa"/>
            <w:tcBorders>
              <w:top w:val="nil"/>
              <w:left w:val="nil"/>
              <w:bottom w:val="single" w:sz="4" w:space="0" w:color="auto"/>
              <w:right w:val="nil"/>
            </w:tcBorders>
            <w:shd w:val="clear" w:color="auto" w:fill="auto"/>
            <w:noWrap/>
            <w:vAlign w:val="center"/>
            <w:hideMark/>
          </w:tcPr>
          <w:p w14:paraId="371E5499"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Myogenin</w:t>
            </w:r>
            <w:proofErr w:type="spellEnd"/>
          </w:p>
        </w:tc>
        <w:tc>
          <w:tcPr>
            <w:tcW w:w="1134" w:type="dxa"/>
            <w:tcBorders>
              <w:top w:val="nil"/>
              <w:left w:val="nil"/>
              <w:bottom w:val="single" w:sz="4" w:space="0" w:color="auto"/>
              <w:right w:val="nil"/>
            </w:tcBorders>
            <w:shd w:val="clear" w:color="auto" w:fill="auto"/>
            <w:noWrap/>
            <w:vAlign w:val="center"/>
            <w:hideMark/>
          </w:tcPr>
          <w:p w14:paraId="21A04A86"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sc-12732</w:t>
            </w:r>
          </w:p>
        </w:tc>
        <w:tc>
          <w:tcPr>
            <w:tcW w:w="1559" w:type="dxa"/>
            <w:tcBorders>
              <w:top w:val="nil"/>
              <w:left w:val="nil"/>
              <w:bottom w:val="single" w:sz="4" w:space="0" w:color="auto"/>
              <w:right w:val="nil"/>
            </w:tcBorders>
            <w:shd w:val="clear" w:color="auto" w:fill="auto"/>
            <w:noWrap/>
            <w:vAlign w:val="center"/>
            <w:hideMark/>
          </w:tcPr>
          <w:p w14:paraId="1D57C176"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Santa Cruz</w:t>
            </w:r>
          </w:p>
        </w:tc>
        <w:tc>
          <w:tcPr>
            <w:tcW w:w="851" w:type="dxa"/>
            <w:tcBorders>
              <w:top w:val="nil"/>
              <w:left w:val="nil"/>
              <w:bottom w:val="single" w:sz="4" w:space="0" w:color="auto"/>
              <w:right w:val="nil"/>
            </w:tcBorders>
            <w:shd w:val="clear" w:color="auto" w:fill="auto"/>
            <w:vAlign w:val="center"/>
            <w:hideMark/>
          </w:tcPr>
          <w:p w14:paraId="4AA589FB"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Mouse</w:t>
            </w:r>
          </w:p>
        </w:tc>
        <w:tc>
          <w:tcPr>
            <w:tcW w:w="1559" w:type="dxa"/>
            <w:tcBorders>
              <w:top w:val="nil"/>
              <w:left w:val="nil"/>
              <w:bottom w:val="single" w:sz="4" w:space="0" w:color="auto"/>
              <w:right w:val="nil"/>
            </w:tcBorders>
            <w:shd w:val="clear" w:color="auto" w:fill="auto"/>
            <w:noWrap/>
            <w:vAlign w:val="center"/>
            <w:hideMark/>
          </w:tcPr>
          <w:p w14:paraId="4BAB5247"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35 and 37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vAlign w:val="center"/>
            <w:hideMark/>
          </w:tcPr>
          <w:p w14:paraId="06803D72"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1/1,000</w:t>
            </w:r>
          </w:p>
        </w:tc>
        <w:tc>
          <w:tcPr>
            <w:tcW w:w="993" w:type="dxa"/>
            <w:tcBorders>
              <w:top w:val="nil"/>
              <w:left w:val="nil"/>
              <w:bottom w:val="single" w:sz="4" w:space="0" w:color="auto"/>
              <w:right w:val="nil"/>
            </w:tcBorders>
            <w:shd w:val="clear" w:color="auto" w:fill="auto"/>
            <w:noWrap/>
            <w:vAlign w:val="center"/>
            <w:hideMark/>
          </w:tcPr>
          <w:p w14:paraId="00C1F51E"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1/4,000</w:t>
            </w:r>
          </w:p>
        </w:tc>
      </w:tr>
      <w:tr w:rsidR="002D1AA8" w:rsidRPr="00CF138D" w14:paraId="21B61D0C" w14:textId="77777777" w:rsidTr="00111565">
        <w:trPr>
          <w:trHeight w:val="510"/>
          <w:jc w:val="center"/>
        </w:trPr>
        <w:tc>
          <w:tcPr>
            <w:tcW w:w="1985" w:type="dxa"/>
            <w:tcBorders>
              <w:top w:val="nil"/>
              <w:left w:val="nil"/>
              <w:bottom w:val="nil"/>
              <w:right w:val="nil"/>
            </w:tcBorders>
            <w:shd w:val="clear" w:color="auto" w:fill="auto"/>
            <w:noWrap/>
            <w:vAlign w:val="center"/>
            <w:hideMark/>
          </w:tcPr>
          <w:p w14:paraId="10A09631"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proofErr w:type="spellStart"/>
            <w:r w:rsidRPr="00CF138D">
              <w:rPr>
                <w:rFonts w:ascii="Times New Roman" w:eastAsia="Times New Roman" w:hAnsi="Times New Roman" w:cs="Times New Roman"/>
                <w:color w:val="000000" w:themeColor="text1"/>
                <w:lang w:eastAsia="es-ES"/>
              </w:rPr>
              <w:t>Lamin</w:t>
            </w:r>
            <w:proofErr w:type="spellEnd"/>
            <w:r w:rsidRPr="00CF138D">
              <w:rPr>
                <w:rFonts w:ascii="Times New Roman" w:eastAsia="Times New Roman" w:hAnsi="Times New Roman" w:cs="Times New Roman"/>
                <w:color w:val="000000" w:themeColor="text1"/>
                <w:lang w:eastAsia="es-ES"/>
              </w:rPr>
              <w:t xml:space="preserve"> A/C</w:t>
            </w:r>
          </w:p>
        </w:tc>
        <w:tc>
          <w:tcPr>
            <w:tcW w:w="1134" w:type="dxa"/>
            <w:tcBorders>
              <w:top w:val="nil"/>
              <w:left w:val="nil"/>
              <w:bottom w:val="single" w:sz="4" w:space="0" w:color="auto"/>
              <w:right w:val="nil"/>
            </w:tcBorders>
            <w:shd w:val="clear" w:color="auto" w:fill="auto"/>
            <w:vAlign w:val="center"/>
            <w:hideMark/>
          </w:tcPr>
          <w:p w14:paraId="7BAE9945"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sc-376248</w:t>
            </w:r>
          </w:p>
        </w:tc>
        <w:tc>
          <w:tcPr>
            <w:tcW w:w="1559" w:type="dxa"/>
            <w:tcBorders>
              <w:top w:val="nil"/>
              <w:left w:val="nil"/>
              <w:bottom w:val="single" w:sz="4" w:space="0" w:color="auto"/>
              <w:right w:val="nil"/>
            </w:tcBorders>
            <w:shd w:val="clear" w:color="auto" w:fill="auto"/>
            <w:vAlign w:val="center"/>
            <w:hideMark/>
          </w:tcPr>
          <w:p w14:paraId="743AEEDA"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Santa Cruz</w:t>
            </w:r>
          </w:p>
        </w:tc>
        <w:tc>
          <w:tcPr>
            <w:tcW w:w="851" w:type="dxa"/>
            <w:tcBorders>
              <w:top w:val="nil"/>
              <w:left w:val="nil"/>
              <w:bottom w:val="single" w:sz="4" w:space="0" w:color="auto"/>
              <w:right w:val="nil"/>
            </w:tcBorders>
            <w:shd w:val="clear" w:color="auto" w:fill="auto"/>
            <w:vAlign w:val="center"/>
            <w:hideMark/>
          </w:tcPr>
          <w:p w14:paraId="13EA1051"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Mouse</w:t>
            </w:r>
          </w:p>
        </w:tc>
        <w:tc>
          <w:tcPr>
            <w:tcW w:w="1559" w:type="dxa"/>
            <w:tcBorders>
              <w:top w:val="nil"/>
              <w:left w:val="nil"/>
              <w:bottom w:val="single" w:sz="4" w:space="0" w:color="auto"/>
              <w:right w:val="nil"/>
            </w:tcBorders>
            <w:shd w:val="clear" w:color="auto" w:fill="auto"/>
            <w:vAlign w:val="center"/>
            <w:hideMark/>
          </w:tcPr>
          <w:p w14:paraId="1580B54A"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69 and 62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noWrap/>
            <w:vAlign w:val="center"/>
            <w:hideMark/>
          </w:tcPr>
          <w:p w14:paraId="05B7A4C3"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1/2,000</w:t>
            </w:r>
          </w:p>
        </w:tc>
        <w:tc>
          <w:tcPr>
            <w:tcW w:w="993" w:type="dxa"/>
            <w:tcBorders>
              <w:top w:val="nil"/>
              <w:left w:val="nil"/>
              <w:bottom w:val="single" w:sz="4" w:space="0" w:color="auto"/>
              <w:right w:val="nil"/>
            </w:tcBorders>
            <w:shd w:val="clear" w:color="auto" w:fill="auto"/>
            <w:vAlign w:val="center"/>
            <w:hideMark/>
          </w:tcPr>
          <w:p w14:paraId="71388E40"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1/4,000</w:t>
            </w:r>
          </w:p>
        </w:tc>
      </w:tr>
      <w:tr w:rsidR="00CF27CE" w:rsidRPr="00CF138D" w14:paraId="59D2A4A7" w14:textId="77777777" w:rsidTr="00111565">
        <w:trPr>
          <w:trHeight w:val="510"/>
          <w:jc w:val="center"/>
        </w:trPr>
        <w:tc>
          <w:tcPr>
            <w:tcW w:w="1985" w:type="dxa"/>
            <w:tcBorders>
              <w:top w:val="single" w:sz="4" w:space="0" w:color="auto"/>
              <w:left w:val="nil"/>
              <w:bottom w:val="single" w:sz="4" w:space="0" w:color="auto"/>
              <w:right w:val="nil"/>
            </w:tcBorders>
            <w:shd w:val="clear" w:color="auto" w:fill="auto"/>
            <w:vAlign w:val="center"/>
            <w:hideMark/>
          </w:tcPr>
          <w:p w14:paraId="62850922" w14:textId="77777777" w:rsidR="00CF27CE" w:rsidRPr="00CF138D" w:rsidRDefault="00CF27CE" w:rsidP="00CF27CE">
            <w:pPr>
              <w:spacing w:after="0" w:line="240" w:lineRule="auto"/>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GAPDH</w:t>
            </w:r>
          </w:p>
        </w:tc>
        <w:tc>
          <w:tcPr>
            <w:tcW w:w="1134" w:type="dxa"/>
            <w:tcBorders>
              <w:top w:val="nil"/>
              <w:left w:val="nil"/>
              <w:bottom w:val="single" w:sz="4" w:space="0" w:color="auto"/>
              <w:right w:val="nil"/>
            </w:tcBorders>
            <w:shd w:val="clear" w:color="auto" w:fill="auto"/>
            <w:vAlign w:val="center"/>
            <w:hideMark/>
          </w:tcPr>
          <w:p w14:paraId="24BC4AE6"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sc-32233</w:t>
            </w:r>
          </w:p>
        </w:tc>
        <w:tc>
          <w:tcPr>
            <w:tcW w:w="1559" w:type="dxa"/>
            <w:tcBorders>
              <w:top w:val="nil"/>
              <w:left w:val="nil"/>
              <w:bottom w:val="single" w:sz="4" w:space="0" w:color="auto"/>
              <w:right w:val="nil"/>
            </w:tcBorders>
            <w:shd w:val="clear" w:color="auto" w:fill="auto"/>
            <w:vAlign w:val="center"/>
            <w:hideMark/>
          </w:tcPr>
          <w:p w14:paraId="66922275"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Santa Cruz</w:t>
            </w:r>
          </w:p>
        </w:tc>
        <w:tc>
          <w:tcPr>
            <w:tcW w:w="851" w:type="dxa"/>
            <w:tcBorders>
              <w:top w:val="nil"/>
              <w:left w:val="nil"/>
              <w:bottom w:val="single" w:sz="4" w:space="0" w:color="auto"/>
              <w:right w:val="nil"/>
            </w:tcBorders>
            <w:shd w:val="clear" w:color="auto" w:fill="auto"/>
            <w:vAlign w:val="center"/>
            <w:hideMark/>
          </w:tcPr>
          <w:p w14:paraId="0F40D898"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Mouse</w:t>
            </w:r>
          </w:p>
        </w:tc>
        <w:tc>
          <w:tcPr>
            <w:tcW w:w="1559" w:type="dxa"/>
            <w:tcBorders>
              <w:top w:val="nil"/>
              <w:left w:val="nil"/>
              <w:bottom w:val="single" w:sz="4" w:space="0" w:color="auto"/>
              <w:right w:val="nil"/>
            </w:tcBorders>
            <w:shd w:val="clear" w:color="auto" w:fill="auto"/>
            <w:vAlign w:val="center"/>
            <w:hideMark/>
          </w:tcPr>
          <w:p w14:paraId="45C1FCE2"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 xml:space="preserve">37 </w:t>
            </w:r>
            <w:proofErr w:type="spellStart"/>
            <w:r w:rsidRPr="00CF138D">
              <w:rPr>
                <w:rFonts w:ascii="Times New Roman" w:eastAsia="Times New Roman" w:hAnsi="Times New Roman" w:cs="Times New Roman"/>
                <w:color w:val="000000" w:themeColor="text1"/>
                <w:lang w:eastAsia="es-ES"/>
              </w:rPr>
              <w:t>kDa</w:t>
            </w:r>
            <w:proofErr w:type="spellEnd"/>
          </w:p>
        </w:tc>
        <w:tc>
          <w:tcPr>
            <w:tcW w:w="957" w:type="dxa"/>
            <w:tcBorders>
              <w:top w:val="nil"/>
              <w:left w:val="nil"/>
              <w:bottom w:val="single" w:sz="4" w:space="0" w:color="auto"/>
              <w:right w:val="nil"/>
            </w:tcBorders>
            <w:shd w:val="clear" w:color="auto" w:fill="auto"/>
            <w:vAlign w:val="center"/>
            <w:hideMark/>
          </w:tcPr>
          <w:p w14:paraId="3E0F56BF"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1/5,000</w:t>
            </w:r>
          </w:p>
        </w:tc>
        <w:tc>
          <w:tcPr>
            <w:tcW w:w="993" w:type="dxa"/>
            <w:tcBorders>
              <w:top w:val="nil"/>
              <w:left w:val="nil"/>
              <w:bottom w:val="single" w:sz="4" w:space="0" w:color="auto"/>
              <w:right w:val="nil"/>
            </w:tcBorders>
            <w:shd w:val="clear" w:color="auto" w:fill="auto"/>
            <w:vAlign w:val="center"/>
            <w:hideMark/>
          </w:tcPr>
          <w:p w14:paraId="6D7FC5C2" w14:textId="77777777" w:rsidR="00CF27CE" w:rsidRPr="00CF138D" w:rsidRDefault="00CF27CE" w:rsidP="00CF27CE">
            <w:pPr>
              <w:spacing w:after="0" w:line="240" w:lineRule="auto"/>
              <w:jc w:val="center"/>
              <w:rPr>
                <w:rFonts w:ascii="Times New Roman" w:eastAsia="Times New Roman" w:hAnsi="Times New Roman" w:cs="Times New Roman"/>
                <w:color w:val="000000" w:themeColor="text1"/>
                <w:lang w:eastAsia="es-ES"/>
              </w:rPr>
            </w:pPr>
            <w:r w:rsidRPr="00CF138D">
              <w:rPr>
                <w:rFonts w:ascii="Times New Roman" w:eastAsia="Times New Roman" w:hAnsi="Times New Roman" w:cs="Times New Roman"/>
                <w:color w:val="000000" w:themeColor="text1"/>
                <w:lang w:eastAsia="es-ES"/>
              </w:rPr>
              <w:t>1/5,000</w:t>
            </w:r>
          </w:p>
        </w:tc>
      </w:tr>
    </w:tbl>
    <w:p w14:paraId="01037A35" w14:textId="77777777" w:rsidR="00CF27CE" w:rsidRPr="00CF138D" w:rsidRDefault="00CF27CE" w:rsidP="00CF27CE">
      <w:pPr>
        <w:pStyle w:val="Paragraph"/>
        <w:spacing w:before="0" w:after="120" w:line="480" w:lineRule="auto"/>
        <w:jc w:val="both"/>
        <w:rPr>
          <w:color w:val="000000" w:themeColor="text1"/>
        </w:rPr>
      </w:pPr>
    </w:p>
    <w:p w14:paraId="7D73E711" w14:textId="77777777" w:rsidR="00CF27CE" w:rsidRPr="00CF138D" w:rsidRDefault="00CF27CE" w:rsidP="00CF27CE">
      <w:pPr>
        <w:pStyle w:val="Paragraph"/>
        <w:spacing w:before="0" w:after="120" w:line="480" w:lineRule="auto"/>
        <w:ind w:firstLine="0"/>
        <w:jc w:val="both"/>
        <w:rPr>
          <w:i/>
          <w:color w:val="000000" w:themeColor="text1"/>
        </w:rPr>
      </w:pPr>
      <w:r w:rsidRPr="00CF138D">
        <w:rPr>
          <w:i/>
          <w:color w:val="000000" w:themeColor="text1"/>
        </w:rPr>
        <w:t>Co-immunoprecipitation</w:t>
      </w:r>
    </w:p>
    <w:p w14:paraId="627470A2" w14:textId="71990DD4" w:rsidR="00CF27CE" w:rsidRPr="00CF138D" w:rsidRDefault="00CF27CE" w:rsidP="00CF27CE">
      <w:pPr>
        <w:pStyle w:val="Paragraph"/>
        <w:spacing w:after="120" w:line="480" w:lineRule="auto"/>
        <w:jc w:val="both"/>
        <w:rPr>
          <w:color w:val="000000" w:themeColor="text1"/>
        </w:rPr>
      </w:pPr>
      <w:r w:rsidRPr="00CF138D">
        <w:rPr>
          <w:color w:val="000000" w:themeColor="text1"/>
        </w:rPr>
        <w:t xml:space="preserve">For immunoprecipitation, cells were lysed in ice-cold RIPA buffer (25 </w:t>
      </w:r>
      <w:proofErr w:type="spellStart"/>
      <w:r w:rsidRPr="00CF138D">
        <w:rPr>
          <w:color w:val="000000" w:themeColor="text1"/>
        </w:rPr>
        <w:t>mM</w:t>
      </w:r>
      <w:proofErr w:type="spellEnd"/>
      <w:r w:rsidRPr="00CF138D">
        <w:rPr>
          <w:color w:val="000000" w:themeColor="text1"/>
        </w:rPr>
        <w:t xml:space="preserve"> Tris-</w:t>
      </w:r>
      <w:proofErr w:type="spellStart"/>
      <w:r w:rsidRPr="00CF138D">
        <w:rPr>
          <w:color w:val="000000" w:themeColor="text1"/>
        </w:rPr>
        <w:t>HCl</w:t>
      </w:r>
      <w:proofErr w:type="spellEnd"/>
      <w:r w:rsidRPr="00CF138D">
        <w:rPr>
          <w:color w:val="000000" w:themeColor="text1"/>
        </w:rPr>
        <w:t xml:space="preserve"> pH 7.6, 150 </w:t>
      </w:r>
      <w:proofErr w:type="spellStart"/>
      <w:r w:rsidRPr="00CF138D">
        <w:rPr>
          <w:color w:val="000000" w:themeColor="text1"/>
        </w:rPr>
        <w:t>mM</w:t>
      </w:r>
      <w:proofErr w:type="spellEnd"/>
      <w:r w:rsidRPr="00CF138D">
        <w:rPr>
          <w:color w:val="000000" w:themeColor="text1"/>
        </w:rPr>
        <w:t xml:space="preserve"> </w:t>
      </w:r>
      <w:proofErr w:type="spellStart"/>
      <w:r w:rsidRPr="00CF138D">
        <w:rPr>
          <w:color w:val="000000" w:themeColor="text1"/>
        </w:rPr>
        <w:t>NaCl</w:t>
      </w:r>
      <w:proofErr w:type="spellEnd"/>
      <w:r w:rsidRPr="00CF138D">
        <w:rPr>
          <w:color w:val="000000" w:themeColor="text1"/>
        </w:rPr>
        <w:t xml:space="preserve">, 1% NP-40, 1% sodium deoxycholate, 0.1% SDS). Protein G </w:t>
      </w:r>
      <w:proofErr w:type="spellStart"/>
      <w:r w:rsidRPr="00CF138D">
        <w:rPr>
          <w:color w:val="000000" w:themeColor="text1"/>
        </w:rPr>
        <w:t>Sepharose</w:t>
      </w:r>
      <w:proofErr w:type="spellEnd"/>
      <w:r w:rsidRPr="00CF138D">
        <w:rPr>
          <w:color w:val="000000" w:themeColor="text1"/>
        </w:rPr>
        <w:t>® 4 Fast Flow beads (</w:t>
      </w:r>
      <w:proofErr w:type="spellStart"/>
      <w:r w:rsidRPr="00CF138D">
        <w:rPr>
          <w:color w:val="000000" w:themeColor="text1"/>
        </w:rPr>
        <w:t>Cytiva</w:t>
      </w:r>
      <w:proofErr w:type="spellEnd"/>
      <w:r w:rsidRPr="00CF138D">
        <w:rPr>
          <w:color w:val="000000" w:themeColor="text1"/>
        </w:rPr>
        <w:t>) bound to 1 µg of anti-TRIB3 (</w:t>
      </w:r>
      <w:proofErr w:type="spellStart"/>
      <w:r w:rsidRPr="00CF138D">
        <w:rPr>
          <w:color w:val="000000" w:themeColor="text1"/>
        </w:rPr>
        <w:t>abcam</w:t>
      </w:r>
      <w:proofErr w:type="spellEnd"/>
      <w:r w:rsidRPr="00CF138D">
        <w:rPr>
          <w:color w:val="000000" w:themeColor="text1"/>
        </w:rPr>
        <w:t>, ab75846)</w:t>
      </w:r>
      <w:r w:rsidR="005D2D40" w:rsidRPr="00CF138D">
        <w:rPr>
          <w:color w:val="000000" w:themeColor="text1"/>
        </w:rPr>
        <w:t xml:space="preserve"> or anti-AKT</w:t>
      </w:r>
      <w:r w:rsidRPr="00CF138D">
        <w:rPr>
          <w:color w:val="000000" w:themeColor="text1"/>
        </w:rPr>
        <w:t xml:space="preserve"> </w:t>
      </w:r>
      <w:r w:rsidR="005D2D40" w:rsidRPr="00CF138D">
        <w:rPr>
          <w:color w:val="000000" w:themeColor="text1"/>
        </w:rPr>
        <w:t xml:space="preserve">(Cell Signaling, #9272) </w:t>
      </w:r>
      <w:r w:rsidRPr="00CF138D">
        <w:rPr>
          <w:color w:val="000000" w:themeColor="text1"/>
        </w:rPr>
        <w:t xml:space="preserve">were incubated with 500 µg of cell lysate for 2 hours at 4ºC with </w:t>
      </w:r>
      <w:r w:rsidRPr="00CF138D">
        <w:rPr>
          <w:color w:val="000000" w:themeColor="text1"/>
        </w:rPr>
        <w:lastRenderedPageBreak/>
        <w:t xml:space="preserve">rotation. Then, </w:t>
      </w:r>
      <w:proofErr w:type="spellStart"/>
      <w:r w:rsidRPr="00CF138D">
        <w:rPr>
          <w:color w:val="000000" w:themeColor="text1"/>
        </w:rPr>
        <w:t>immunoprecipitates</w:t>
      </w:r>
      <w:proofErr w:type="spellEnd"/>
      <w:r w:rsidRPr="00CF138D">
        <w:rPr>
          <w:color w:val="000000" w:themeColor="text1"/>
        </w:rPr>
        <w:t xml:space="preserve"> were washed twice with RIPA buffer (for PAX3-FOXO1 </w:t>
      </w:r>
      <w:proofErr w:type="spellStart"/>
      <w:r w:rsidRPr="00CF138D">
        <w:rPr>
          <w:color w:val="000000" w:themeColor="text1"/>
        </w:rPr>
        <w:t>inmunoprecipitation</w:t>
      </w:r>
      <w:proofErr w:type="spellEnd"/>
      <w:r w:rsidRPr="00CF138D">
        <w:rPr>
          <w:color w:val="000000" w:themeColor="text1"/>
        </w:rPr>
        <w:t xml:space="preserve">), and once with 50 </w:t>
      </w:r>
      <w:proofErr w:type="spellStart"/>
      <w:r w:rsidRPr="00CF138D">
        <w:rPr>
          <w:color w:val="000000" w:themeColor="text1"/>
        </w:rPr>
        <w:t>mM</w:t>
      </w:r>
      <w:proofErr w:type="spellEnd"/>
      <w:r w:rsidRPr="00CF138D">
        <w:rPr>
          <w:color w:val="000000" w:themeColor="text1"/>
        </w:rPr>
        <w:t xml:space="preserve"> Tris-</w:t>
      </w:r>
      <w:proofErr w:type="spellStart"/>
      <w:r w:rsidRPr="00CF138D">
        <w:rPr>
          <w:color w:val="000000" w:themeColor="text1"/>
        </w:rPr>
        <w:t>HCl</w:t>
      </w:r>
      <w:proofErr w:type="spellEnd"/>
      <w:r w:rsidRPr="00CF138D">
        <w:rPr>
          <w:color w:val="000000" w:themeColor="text1"/>
        </w:rPr>
        <w:t xml:space="preserve"> buffer. Proteins were eluted with </w:t>
      </w:r>
      <w:proofErr w:type="spellStart"/>
      <w:r w:rsidRPr="00CF138D">
        <w:rPr>
          <w:color w:val="000000" w:themeColor="text1"/>
        </w:rPr>
        <w:t>Laemmli</w:t>
      </w:r>
      <w:proofErr w:type="spellEnd"/>
      <w:r w:rsidRPr="00CF138D">
        <w:rPr>
          <w:color w:val="000000" w:themeColor="text1"/>
        </w:rPr>
        <w:t xml:space="preserve"> buffer, heated for 10 minutes at 75ºC and subsequently analyzed by WB.</w:t>
      </w:r>
    </w:p>
    <w:p w14:paraId="2811ED2A" w14:textId="77777777" w:rsidR="00CF27CE" w:rsidRPr="00CF138D" w:rsidRDefault="00CF27CE" w:rsidP="00CF27CE">
      <w:pPr>
        <w:pStyle w:val="Paragraph"/>
        <w:spacing w:before="0" w:after="120" w:line="480" w:lineRule="auto"/>
        <w:jc w:val="both"/>
        <w:rPr>
          <w:color w:val="000000" w:themeColor="text1"/>
        </w:rPr>
      </w:pPr>
    </w:p>
    <w:p w14:paraId="0C082AF0" w14:textId="77777777" w:rsidR="00420C39" w:rsidRPr="00CF138D" w:rsidRDefault="00420C39" w:rsidP="00420C39">
      <w:pPr>
        <w:pStyle w:val="Paragraph"/>
        <w:spacing w:after="120" w:line="480" w:lineRule="auto"/>
        <w:ind w:firstLine="0"/>
        <w:jc w:val="both"/>
        <w:rPr>
          <w:i/>
          <w:iCs/>
          <w:color w:val="000000" w:themeColor="text1"/>
        </w:rPr>
      </w:pPr>
      <w:r w:rsidRPr="00CF138D">
        <w:rPr>
          <w:i/>
          <w:iCs/>
          <w:color w:val="000000" w:themeColor="text1"/>
        </w:rPr>
        <w:t xml:space="preserve">RNA isolation, </w:t>
      </w:r>
      <w:proofErr w:type="spellStart"/>
      <w:r w:rsidRPr="00CF138D">
        <w:rPr>
          <w:i/>
          <w:iCs/>
          <w:color w:val="000000" w:themeColor="text1"/>
        </w:rPr>
        <w:t>retrotranscription</w:t>
      </w:r>
      <w:proofErr w:type="spellEnd"/>
      <w:r w:rsidRPr="00CF138D">
        <w:rPr>
          <w:i/>
          <w:iCs/>
          <w:color w:val="000000" w:themeColor="text1"/>
        </w:rPr>
        <w:t>, and quantitative real-time PCR</w:t>
      </w:r>
    </w:p>
    <w:p w14:paraId="7A6A2B63" w14:textId="6550A774" w:rsidR="00420C39" w:rsidRDefault="00420C39" w:rsidP="00420C39">
      <w:pPr>
        <w:pStyle w:val="Paragraph"/>
        <w:spacing w:before="0" w:after="120" w:line="480" w:lineRule="auto"/>
        <w:jc w:val="both"/>
        <w:rPr>
          <w:color w:val="000000" w:themeColor="text1"/>
        </w:rPr>
      </w:pPr>
      <w:r w:rsidRPr="00CF138D">
        <w:rPr>
          <w:color w:val="000000" w:themeColor="text1"/>
        </w:rPr>
        <w:t>Total RNA was isolated using a RNeasy Mini Kit (Qiagen) following the manufacturer’s instructions and quantified using a Nanodrop 2000 Spectrophotometer (</w:t>
      </w:r>
      <w:proofErr w:type="spellStart"/>
      <w:r w:rsidRPr="00CF138D">
        <w:rPr>
          <w:color w:val="000000" w:themeColor="text1"/>
        </w:rPr>
        <w:t>Thermo</w:t>
      </w:r>
      <w:proofErr w:type="spellEnd"/>
      <w:r w:rsidRPr="00CF138D">
        <w:rPr>
          <w:color w:val="000000" w:themeColor="text1"/>
        </w:rPr>
        <w:t xml:space="preserve"> Fisher Scientific). For </w:t>
      </w:r>
      <w:proofErr w:type="spellStart"/>
      <w:r w:rsidRPr="00CF138D">
        <w:rPr>
          <w:color w:val="000000" w:themeColor="text1"/>
        </w:rPr>
        <w:t>retrotranscription</w:t>
      </w:r>
      <w:proofErr w:type="spellEnd"/>
      <w:r w:rsidRPr="00CF138D">
        <w:rPr>
          <w:color w:val="000000" w:themeColor="text1"/>
        </w:rPr>
        <w:t xml:space="preserve">, 1 </w:t>
      </w:r>
      <w:proofErr w:type="spellStart"/>
      <w:r w:rsidRPr="00CF138D">
        <w:rPr>
          <w:color w:val="000000" w:themeColor="text1"/>
        </w:rPr>
        <w:t>μg</w:t>
      </w:r>
      <w:proofErr w:type="spellEnd"/>
      <w:r w:rsidRPr="00CF138D">
        <w:rPr>
          <w:color w:val="000000" w:themeColor="text1"/>
        </w:rPr>
        <w:t xml:space="preserve"> of RNA was mixed with 1 </w:t>
      </w:r>
      <w:proofErr w:type="spellStart"/>
      <w:r w:rsidRPr="00CF138D">
        <w:rPr>
          <w:color w:val="000000" w:themeColor="text1"/>
        </w:rPr>
        <w:t>μg</w:t>
      </w:r>
      <w:proofErr w:type="spellEnd"/>
      <w:r w:rsidRPr="00CF138D">
        <w:rPr>
          <w:color w:val="000000" w:themeColor="text1"/>
        </w:rPr>
        <w:t xml:space="preserve"> of random primers (</w:t>
      </w:r>
      <w:proofErr w:type="spellStart"/>
      <w:r w:rsidRPr="00CF138D">
        <w:rPr>
          <w:color w:val="000000" w:themeColor="text1"/>
        </w:rPr>
        <w:t>Thermo</w:t>
      </w:r>
      <w:proofErr w:type="spellEnd"/>
      <w:r w:rsidRPr="00CF138D">
        <w:rPr>
          <w:color w:val="000000" w:themeColor="text1"/>
        </w:rPr>
        <w:t xml:space="preserve"> Fisher Scientific) in nuclease-free water and heated at 70 °C for 5 minutes. Then, 5 </w:t>
      </w:r>
      <w:proofErr w:type="spellStart"/>
      <w:r w:rsidRPr="00CF138D">
        <w:rPr>
          <w:color w:val="000000" w:themeColor="text1"/>
        </w:rPr>
        <w:t>μL</w:t>
      </w:r>
      <w:proofErr w:type="spellEnd"/>
      <w:r w:rsidRPr="00CF138D">
        <w:rPr>
          <w:color w:val="000000" w:themeColor="text1"/>
        </w:rPr>
        <w:t xml:space="preserve"> of 5x M-MLV reaction buffer (Promega), 5 </w:t>
      </w:r>
      <w:proofErr w:type="spellStart"/>
      <w:r w:rsidRPr="00CF138D">
        <w:rPr>
          <w:color w:val="000000" w:themeColor="text1"/>
        </w:rPr>
        <w:t>μL</w:t>
      </w:r>
      <w:proofErr w:type="spellEnd"/>
      <w:r w:rsidRPr="00CF138D">
        <w:rPr>
          <w:color w:val="000000" w:themeColor="text1"/>
        </w:rPr>
        <w:t xml:space="preserve"> of a mixture of 10 </w:t>
      </w:r>
      <w:proofErr w:type="spellStart"/>
      <w:r w:rsidRPr="00CF138D">
        <w:rPr>
          <w:color w:val="000000" w:themeColor="text1"/>
        </w:rPr>
        <w:t>mM</w:t>
      </w:r>
      <w:proofErr w:type="spellEnd"/>
      <w:r w:rsidRPr="00CF138D">
        <w:rPr>
          <w:color w:val="000000" w:themeColor="text1"/>
        </w:rPr>
        <w:t xml:space="preserve"> dNTPs, and 200U of M-MLV reverse-transcriptase (Promega) were added and maintained at 37 °C for 60 minutes. Real-time PCR was performed by mixing 0,5 </w:t>
      </w:r>
      <w:proofErr w:type="spellStart"/>
      <w:r w:rsidRPr="00CF138D">
        <w:rPr>
          <w:color w:val="000000" w:themeColor="text1"/>
        </w:rPr>
        <w:t>μL</w:t>
      </w:r>
      <w:proofErr w:type="spellEnd"/>
      <w:r w:rsidRPr="00CF138D">
        <w:rPr>
          <w:color w:val="000000" w:themeColor="text1"/>
        </w:rPr>
        <w:t xml:space="preserve"> cDNA with 5 </w:t>
      </w:r>
      <w:proofErr w:type="spellStart"/>
      <w:r w:rsidRPr="00CF138D">
        <w:rPr>
          <w:color w:val="000000" w:themeColor="text1"/>
        </w:rPr>
        <w:t>μL</w:t>
      </w:r>
      <w:proofErr w:type="spellEnd"/>
      <w:r w:rsidRPr="00CF138D">
        <w:rPr>
          <w:color w:val="000000" w:themeColor="text1"/>
        </w:rPr>
        <w:t xml:space="preserve"> 2X TaqMan Universal Master Mix (</w:t>
      </w:r>
      <w:proofErr w:type="spellStart"/>
      <w:r w:rsidRPr="00CF138D">
        <w:rPr>
          <w:color w:val="000000" w:themeColor="text1"/>
        </w:rPr>
        <w:t>Thermo</w:t>
      </w:r>
      <w:proofErr w:type="spellEnd"/>
      <w:r w:rsidRPr="00CF138D">
        <w:rPr>
          <w:color w:val="000000" w:themeColor="text1"/>
        </w:rPr>
        <w:t xml:space="preserve"> Fisher Scientific), 0,5 </w:t>
      </w:r>
      <w:proofErr w:type="spellStart"/>
      <w:r w:rsidRPr="00CF138D">
        <w:rPr>
          <w:color w:val="000000" w:themeColor="text1"/>
        </w:rPr>
        <w:t>μL</w:t>
      </w:r>
      <w:proofErr w:type="spellEnd"/>
      <w:r w:rsidRPr="00CF138D">
        <w:rPr>
          <w:color w:val="000000" w:themeColor="text1"/>
        </w:rPr>
        <w:t xml:space="preserve"> TaqMan assays (</w:t>
      </w:r>
      <w:proofErr w:type="spellStart"/>
      <w:r w:rsidRPr="00CF138D">
        <w:rPr>
          <w:color w:val="000000" w:themeColor="text1"/>
        </w:rPr>
        <w:t>Thermo</w:t>
      </w:r>
      <w:proofErr w:type="spellEnd"/>
      <w:r w:rsidRPr="00CF138D">
        <w:rPr>
          <w:color w:val="000000" w:themeColor="text1"/>
        </w:rPr>
        <w:t xml:space="preserve"> Fisher Scientific), and 4 </w:t>
      </w:r>
      <w:proofErr w:type="spellStart"/>
      <w:r w:rsidRPr="00CF138D">
        <w:rPr>
          <w:color w:val="000000" w:themeColor="text1"/>
        </w:rPr>
        <w:t>μL</w:t>
      </w:r>
      <w:proofErr w:type="spellEnd"/>
      <w:r w:rsidRPr="00CF138D">
        <w:rPr>
          <w:color w:val="000000" w:themeColor="text1"/>
        </w:rPr>
        <w:t xml:space="preserve"> nuclease-free water in PCR tubes. Then, each reaction mixture was transferred to </w:t>
      </w:r>
      <w:proofErr w:type="spellStart"/>
      <w:r w:rsidRPr="00CF138D">
        <w:rPr>
          <w:color w:val="000000" w:themeColor="text1"/>
        </w:rPr>
        <w:t>MicroAmp</w:t>
      </w:r>
      <w:proofErr w:type="spellEnd"/>
      <w:r w:rsidRPr="00CF138D">
        <w:rPr>
          <w:color w:val="000000" w:themeColor="text1"/>
        </w:rPr>
        <w:t xml:space="preserve"> 384-well plates (</w:t>
      </w:r>
      <w:proofErr w:type="spellStart"/>
      <w:r w:rsidRPr="00CF138D">
        <w:rPr>
          <w:color w:val="000000" w:themeColor="text1"/>
        </w:rPr>
        <w:t>Thermo</w:t>
      </w:r>
      <w:proofErr w:type="spellEnd"/>
      <w:r w:rsidRPr="00CF138D">
        <w:rPr>
          <w:color w:val="000000" w:themeColor="text1"/>
        </w:rPr>
        <w:t xml:space="preserve"> Fisher Scientific). PCR reaction was performed using an ABI PRISM 7900HT real-time PCR system (</w:t>
      </w:r>
      <w:proofErr w:type="spellStart"/>
      <w:r w:rsidRPr="00CF138D">
        <w:rPr>
          <w:color w:val="000000" w:themeColor="text1"/>
        </w:rPr>
        <w:t>Thermo</w:t>
      </w:r>
      <w:proofErr w:type="spellEnd"/>
      <w:r w:rsidRPr="00CF138D">
        <w:rPr>
          <w:color w:val="000000" w:themeColor="text1"/>
        </w:rPr>
        <w:t xml:space="preserve"> Fisher Scientific). A 40-cycle PCR was performed to detect TRIB3 (Hs01082394_m1, </w:t>
      </w:r>
      <w:proofErr w:type="spellStart"/>
      <w:r w:rsidRPr="00CF138D">
        <w:rPr>
          <w:color w:val="000000" w:themeColor="text1"/>
        </w:rPr>
        <w:t>Thermo</w:t>
      </w:r>
      <w:proofErr w:type="spellEnd"/>
      <w:r w:rsidRPr="00CF138D">
        <w:rPr>
          <w:color w:val="000000" w:themeColor="text1"/>
        </w:rPr>
        <w:t xml:space="preserve"> Fisher Scientific) and PAX3-FOXO1 (Hs03024825_m1, </w:t>
      </w:r>
      <w:proofErr w:type="spellStart"/>
      <w:r w:rsidRPr="00CF138D">
        <w:rPr>
          <w:color w:val="000000" w:themeColor="text1"/>
        </w:rPr>
        <w:t>Thermo</w:t>
      </w:r>
      <w:proofErr w:type="spellEnd"/>
      <w:r w:rsidRPr="00CF138D">
        <w:rPr>
          <w:color w:val="000000" w:themeColor="text1"/>
        </w:rPr>
        <w:t xml:space="preserve"> Fisher Scientific) expression. The housekeeping gene TBP (Hs00172424_m1, </w:t>
      </w:r>
      <w:proofErr w:type="spellStart"/>
      <w:r w:rsidRPr="00CF138D">
        <w:rPr>
          <w:color w:val="000000" w:themeColor="text1"/>
        </w:rPr>
        <w:t>Thermo</w:t>
      </w:r>
      <w:proofErr w:type="spellEnd"/>
      <w:r w:rsidRPr="00CF138D">
        <w:rPr>
          <w:color w:val="000000" w:themeColor="text1"/>
        </w:rPr>
        <w:t xml:space="preserve"> Fisher Scientific) was used as an endogenous control. Relative quantification of mRNA levels was performed by the 2</w:t>
      </w:r>
      <w:r w:rsidRPr="00CF138D">
        <w:rPr>
          <w:color w:val="000000" w:themeColor="text1"/>
          <w:vertAlign w:val="superscript"/>
        </w:rPr>
        <w:t>(-∆∆CT)</w:t>
      </w:r>
      <w:r w:rsidRPr="00CF138D">
        <w:rPr>
          <w:color w:val="000000" w:themeColor="text1"/>
        </w:rPr>
        <w:t xml:space="preserve"> method [7].</w:t>
      </w:r>
    </w:p>
    <w:p w14:paraId="6234F07E" w14:textId="77777777" w:rsidR="00CF138D" w:rsidRPr="00CF138D" w:rsidRDefault="00CF138D" w:rsidP="00420C39">
      <w:pPr>
        <w:pStyle w:val="Paragraph"/>
        <w:spacing w:before="0" w:after="120" w:line="480" w:lineRule="auto"/>
        <w:jc w:val="both"/>
        <w:rPr>
          <w:color w:val="000000" w:themeColor="text1"/>
        </w:rPr>
      </w:pPr>
    </w:p>
    <w:p w14:paraId="52C436D4" w14:textId="77777777" w:rsidR="00CF27CE" w:rsidRPr="00CF138D" w:rsidRDefault="00CF27CE" w:rsidP="00CF27CE">
      <w:pPr>
        <w:pStyle w:val="Paragraph"/>
        <w:spacing w:before="0" w:after="120" w:line="480" w:lineRule="auto"/>
        <w:ind w:firstLine="0"/>
        <w:jc w:val="both"/>
        <w:rPr>
          <w:i/>
          <w:color w:val="000000" w:themeColor="text1"/>
        </w:rPr>
      </w:pPr>
      <w:r w:rsidRPr="00CF138D">
        <w:rPr>
          <w:i/>
          <w:color w:val="000000" w:themeColor="text1"/>
        </w:rPr>
        <w:t>Primary tumor mouse model</w:t>
      </w:r>
    </w:p>
    <w:p w14:paraId="4C78434C" w14:textId="77777777" w:rsidR="00CF27CE" w:rsidRPr="00CF138D" w:rsidRDefault="00CF27CE" w:rsidP="00CF27CE">
      <w:pPr>
        <w:pStyle w:val="Paragraph"/>
        <w:spacing w:before="0" w:after="120" w:line="480" w:lineRule="auto"/>
        <w:jc w:val="both"/>
        <w:rPr>
          <w:color w:val="000000" w:themeColor="text1"/>
        </w:rPr>
      </w:pPr>
      <w:r w:rsidRPr="00CF138D">
        <w:rPr>
          <w:color w:val="000000" w:themeColor="text1"/>
        </w:rPr>
        <w:t>A primary orthotopic tumor mouse model was established using the pLKO-3xLacO inducible model. SCID mice (Charles River Laboratories) were injected with 1×10</w:t>
      </w:r>
      <w:r w:rsidRPr="00CF138D">
        <w:rPr>
          <w:color w:val="000000" w:themeColor="text1"/>
          <w:vertAlign w:val="superscript"/>
        </w:rPr>
        <w:t>6</w:t>
      </w:r>
      <w:r w:rsidRPr="00CF138D">
        <w:rPr>
          <w:color w:val="000000" w:themeColor="text1"/>
        </w:rPr>
        <w:t xml:space="preserve"> RH30 cells </w:t>
      </w:r>
      <w:r w:rsidRPr="00CF138D">
        <w:rPr>
          <w:color w:val="000000" w:themeColor="text1"/>
        </w:rPr>
        <w:lastRenderedPageBreak/>
        <w:t>into the right gastrocnemius muscle. The injected cells included those carrying the control plasmid (control group) or cells transfected with the plasmid containing sh84 (sh84 group). Tumor volume was calculated using the formula V=3/4π × ((length + width)/4)</w:t>
      </w:r>
      <w:r w:rsidRPr="00CF138D">
        <w:rPr>
          <w:color w:val="000000" w:themeColor="text1"/>
          <w:vertAlign w:val="superscript"/>
        </w:rPr>
        <w:t>3</w:t>
      </w:r>
      <w:r w:rsidRPr="00CF138D">
        <w:rPr>
          <w:color w:val="000000" w:themeColor="text1"/>
        </w:rPr>
        <w:t>, and tumor growth was monitored by measuring limb volume with a caliper. Once tumor growth was confirmed, the mice were randomized as follows: For the control group, mice were divided into two subgroups (non-induced (n=10) and induced (n=10)). In the sh84 group (n=32), the same randomization was applied, and 2 mice from each subgroup (non-induced and induced) were sacrificed at 7, 11, or 14 days</w:t>
      </w:r>
      <w:r w:rsidR="002B287D" w:rsidRPr="00CF138D">
        <w:rPr>
          <w:color w:val="000000" w:themeColor="text1"/>
        </w:rPr>
        <w:t xml:space="preserve"> (Figure S3a for scheme of the experimental design)</w:t>
      </w:r>
      <w:r w:rsidRPr="00CF138D">
        <w:rPr>
          <w:color w:val="000000" w:themeColor="text1"/>
        </w:rPr>
        <w:t xml:space="preserve">. Mice from the induced subgroups received drinking water containing 10 </w:t>
      </w:r>
      <w:proofErr w:type="spellStart"/>
      <w:r w:rsidRPr="00CF138D">
        <w:rPr>
          <w:color w:val="000000" w:themeColor="text1"/>
        </w:rPr>
        <w:t>mM</w:t>
      </w:r>
      <w:proofErr w:type="spellEnd"/>
      <w:r w:rsidRPr="00CF138D">
        <w:rPr>
          <w:color w:val="000000" w:themeColor="text1"/>
        </w:rPr>
        <w:t xml:space="preserve"> IPTG, with the water being replenished every 72 hours. Tumor volume was regularly measured, and animals were euthanized when the tumor volume reached 2000 mm</w:t>
      </w:r>
      <w:r w:rsidRPr="00CF138D">
        <w:rPr>
          <w:color w:val="000000" w:themeColor="text1"/>
          <w:vertAlign w:val="superscript"/>
        </w:rPr>
        <w:t>3</w:t>
      </w:r>
      <w:r w:rsidRPr="00CF138D">
        <w:rPr>
          <w:color w:val="000000" w:themeColor="text1"/>
        </w:rPr>
        <w:t xml:space="preserve">. Additionally, ethical endpoint criteria such as tumor size (&gt;1 cm in diameter in any dimension), acute weight loss (&gt;10% of total body weight), or poor general appearance of the animal were considered. All mice were housed under pathogen-free conditions. The experimental procedures were approved by the Ethics Committee of Animal Experimentation of the </w:t>
      </w:r>
      <w:proofErr w:type="spellStart"/>
      <w:r w:rsidRPr="00CF138D">
        <w:rPr>
          <w:color w:val="000000" w:themeColor="text1"/>
        </w:rPr>
        <w:t>Vall</w:t>
      </w:r>
      <w:proofErr w:type="spellEnd"/>
      <w:r w:rsidRPr="00CF138D">
        <w:rPr>
          <w:color w:val="000000" w:themeColor="text1"/>
        </w:rPr>
        <w:t xml:space="preserve"> </w:t>
      </w:r>
      <w:proofErr w:type="spellStart"/>
      <w:r w:rsidRPr="00CF138D">
        <w:rPr>
          <w:color w:val="000000" w:themeColor="text1"/>
        </w:rPr>
        <w:t>d'Hebron</w:t>
      </w:r>
      <w:proofErr w:type="spellEnd"/>
      <w:r w:rsidRPr="00CF138D">
        <w:rPr>
          <w:color w:val="000000" w:themeColor="text1"/>
        </w:rPr>
        <w:t xml:space="preserve"> Research Institute (CEEA 70/19) and were conducted in accordance with EU directive 2010/63/EU.</w:t>
      </w:r>
    </w:p>
    <w:p w14:paraId="3CBAA41C" w14:textId="77777777" w:rsidR="00CF27CE" w:rsidRPr="00CF138D" w:rsidRDefault="00CF27CE" w:rsidP="00CF27CE">
      <w:pPr>
        <w:pStyle w:val="Paragraph"/>
        <w:spacing w:before="0" w:after="120" w:line="480" w:lineRule="auto"/>
        <w:jc w:val="both"/>
        <w:rPr>
          <w:color w:val="000000" w:themeColor="text1"/>
        </w:rPr>
      </w:pPr>
    </w:p>
    <w:p w14:paraId="5F36966B" w14:textId="77777777" w:rsidR="00CF27CE" w:rsidRPr="00CF138D" w:rsidRDefault="00CF27CE" w:rsidP="00CF27CE">
      <w:pPr>
        <w:pStyle w:val="Paragraph"/>
        <w:spacing w:before="0" w:after="120" w:line="480" w:lineRule="auto"/>
        <w:ind w:firstLine="0"/>
        <w:jc w:val="both"/>
        <w:rPr>
          <w:i/>
          <w:color w:val="000000" w:themeColor="text1"/>
        </w:rPr>
      </w:pPr>
      <w:r w:rsidRPr="00CF138D">
        <w:rPr>
          <w:i/>
          <w:color w:val="000000" w:themeColor="text1"/>
        </w:rPr>
        <w:t>Statistical analysis</w:t>
      </w:r>
    </w:p>
    <w:p w14:paraId="4C357551" w14:textId="77777777" w:rsidR="00CF27CE" w:rsidRPr="00CF138D" w:rsidRDefault="00CF27CE" w:rsidP="00CF27CE">
      <w:pPr>
        <w:pStyle w:val="Paragraph"/>
        <w:spacing w:after="120" w:line="480" w:lineRule="auto"/>
        <w:jc w:val="both"/>
        <w:rPr>
          <w:color w:val="000000" w:themeColor="text1"/>
        </w:rPr>
      </w:pPr>
      <w:r w:rsidRPr="00CF138D">
        <w:rPr>
          <w:color w:val="000000" w:themeColor="text1"/>
        </w:rPr>
        <w:t xml:space="preserve">Experiments were conducted independently at least three times. The data are presented as the mean of each replicate ± standard deviation from three independent experiments. For the </w:t>
      </w:r>
      <w:r w:rsidRPr="00CF138D">
        <w:rPr>
          <w:i/>
          <w:iCs/>
          <w:color w:val="000000" w:themeColor="text1"/>
        </w:rPr>
        <w:t>in vivo</w:t>
      </w:r>
      <w:r w:rsidRPr="00CF138D">
        <w:rPr>
          <w:color w:val="000000" w:themeColor="text1"/>
        </w:rPr>
        <w:t xml:space="preserve"> data, individual values of each animal are shown on the plots. Statistical analysis was performed after assessing normality and homogeneity of variance. Parametric or nonparametric tests were chosen accordingly. Comparisons between two groups were conducted using the t-test for parametric analysis or the Mann-Whitney U test for nonparametric analysis. Statistically significant differences among three or more groups were analyzed using one-way analysis of </w:t>
      </w:r>
      <w:r w:rsidRPr="00CF138D">
        <w:rPr>
          <w:color w:val="000000" w:themeColor="text1"/>
        </w:rPr>
        <w:lastRenderedPageBreak/>
        <w:t>variance (ANOVA), two-way ANOVA, or Kruskal-Wallis test for non-parametric analysis, followed by post-hoc analysis. Additional details regarding the statistical analysis can be found in the respective sections. The level of significance was denoted by asterisks as follows: p &lt; 0.05 (*), p &lt; 0.01 (**), p &lt; 0.001 (***), and p &lt; 0.0001 (****). Plots and statistical analyses were performed using GraphPad Prism software (version 6.01).</w:t>
      </w:r>
    </w:p>
    <w:p w14:paraId="39E2743A" w14:textId="77777777" w:rsidR="002B287D" w:rsidRPr="00CF138D" w:rsidRDefault="002B287D" w:rsidP="00CF27CE">
      <w:pPr>
        <w:pStyle w:val="Paragraph"/>
        <w:spacing w:after="120" w:line="480" w:lineRule="auto"/>
        <w:jc w:val="both"/>
        <w:rPr>
          <w:color w:val="000000" w:themeColor="text1"/>
        </w:rPr>
      </w:pPr>
    </w:p>
    <w:p w14:paraId="3F9199B4" w14:textId="77777777" w:rsidR="00CF27CE" w:rsidRPr="00CF138D" w:rsidRDefault="00CF27CE" w:rsidP="00CF27CE">
      <w:pPr>
        <w:pStyle w:val="Paragraph"/>
        <w:spacing w:after="120" w:line="480" w:lineRule="auto"/>
        <w:ind w:firstLine="0"/>
        <w:jc w:val="both"/>
        <w:rPr>
          <w:b/>
          <w:color w:val="000000" w:themeColor="text1"/>
        </w:rPr>
      </w:pPr>
      <w:r w:rsidRPr="00CF138D">
        <w:rPr>
          <w:b/>
          <w:color w:val="000000" w:themeColor="text1"/>
        </w:rPr>
        <w:t>References</w:t>
      </w:r>
    </w:p>
    <w:p w14:paraId="4FC276EA" w14:textId="30A3F382" w:rsidR="00CF27CE" w:rsidRPr="00CF138D" w:rsidRDefault="00CF27CE" w:rsidP="00612EC2">
      <w:pPr>
        <w:widowControl w:val="0"/>
        <w:autoSpaceDE w:val="0"/>
        <w:autoSpaceDN w:val="0"/>
        <w:adjustRightInd w:val="0"/>
        <w:spacing w:line="240" w:lineRule="auto"/>
        <w:jc w:val="both"/>
        <w:rPr>
          <w:rFonts w:ascii="Times New Roman" w:hAnsi="Times New Roman" w:cs="Times New Roman"/>
          <w:noProof/>
          <w:color w:val="000000" w:themeColor="text1"/>
          <w:sz w:val="24"/>
          <w:szCs w:val="24"/>
          <w:lang w:val="en-US"/>
        </w:rPr>
      </w:pPr>
      <w:r w:rsidRPr="00CF138D">
        <w:rPr>
          <w:rFonts w:ascii="Times New Roman" w:hAnsi="Times New Roman" w:cs="Times New Roman"/>
          <w:color w:val="000000" w:themeColor="text1"/>
          <w:sz w:val="24"/>
          <w:szCs w:val="24"/>
          <w:lang w:val="en-US"/>
        </w:rPr>
        <w:fldChar w:fldCharType="begin" w:fldLock="1"/>
      </w:r>
      <w:r w:rsidRPr="00CF138D">
        <w:rPr>
          <w:rFonts w:ascii="Times New Roman" w:hAnsi="Times New Roman" w:cs="Times New Roman"/>
          <w:color w:val="000000" w:themeColor="text1"/>
          <w:sz w:val="24"/>
          <w:szCs w:val="24"/>
          <w:lang w:val="en-US"/>
        </w:rPr>
        <w:instrText xml:space="preserve">ADDIN Mendeley Bibliography CSL_BIBLIOGRAPHY </w:instrText>
      </w:r>
      <w:r w:rsidRPr="00CF138D">
        <w:rPr>
          <w:rFonts w:ascii="Times New Roman" w:hAnsi="Times New Roman" w:cs="Times New Roman"/>
          <w:color w:val="000000" w:themeColor="text1"/>
          <w:sz w:val="24"/>
          <w:szCs w:val="24"/>
          <w:lang w:val="en-US"/>
        </w:rPr>
        <w:fldChar w:fldCharType="separate"/>
      </w:r>
      <w:r w:rsidRPr="00CF138D">
        <w:rPr>
          <w:rFonts w:ascii="Times New Roman" w:hAnsi="Times New Roman" w:cs="Times New Roman"/>
          <w:noProof/>
          <w:color w:val="000000" w:themeColor="text1"/>
          <w:sz w:val="24"/>
          <w:szCs w:val="24"/>
          <w:lang w:val="en-US"/>
        </w:rPr>
        <w:t>1. Bakay M, Wang Z, Melcon G, Schiltz L, Xuan J, Zhao P, et al. Nuclear envelope dystrophies show a transcriptional fingerprint suggesting disruption of Rb-MyoD pathways in muscle regeneration. Brain. 2006</w:t>
      </w:r>
      <w:r w:rsidR="00420C39" w:rsidRPr="00CF138D">
        <w:rPr>
          <w:rFonts w:ascii="Times New Roman" w:hAnsi="Times New Roman" w:cs="Times New Roman"/>
          <w:noProof/>
          <w:color w:val="000000" w:themeColor="text1"/>
          <w:sz w:val="24"/>
          <w:szCs w:val="24"/>
          <w:lang w:val="en-US"/>
        </w:rPr>
        <w:t>.</w:t>
      </w:r>
    </w:p>
    <w:p w14:paraId="7258D7C1" w14:textId="049D5CC8" w:rsidR="00CF27CE" w:rsidRPr="00CF138D" w:rsidRDefault="00CF27CE" w:rsidP="00612EC2">
      <w:pPr>
        <w:widowControl w:val="0"/>
        <w:autoSpaceDE w:val="0"/>
        <w:autoSpaceDN w:val="0"/>
        <w:adjustRightInd w:val="0"/>
        <w:spacing w:line="240" w:lineRule="auto"/>
        <w:jc w:val="both"/>
        <w:rPr>
          <w:rFonts w:ascii="Times New Roman" w:hAnsi="Times New Roman" w:cs="Times New Roman"/>
          <w:noProof/>
          <w:color w:val="000000" w:themeColor="text1"/>
          <w:sz w:val="24"/>
          <w:szCs w:val="24"/>
          <w:lang w:val="en-US"/>
        </w:rPr>
      </w:pPr>
      <w:r w:rsidRPr="00CF138D">
        <w:rPr>
          <w:rFonts w:ascii="Times New Roman" w:hAnsi="Times New Roman" w:cs="Times New Roman"/>
          <w:noProof/>
          <w:color w:val="000000" w:themeColor="text1"/>
          <w:sz w:val="24"/>
          <w:szCs w:val="24"/>
          <w:lang w:val="en-US"/>
        </w:rPr>
        <w:t>2. Lanza IR, Short DK, Short KR, Raghavakaimal S, Basu R, Joyner MJ, et al. Endurance exercise as a countermeasure for aging. Diabetes. 2008</w:t>
      </w:r>
      <w:r w:rsidR="00420C39" w:rsidRPr="00CF138D">
        <w:rPr>
          <w:rFonts w:ascii="Times New Roman" w:hAnsi="Times New Roman" w:cs="Times New Roman"/>
          <w:noProof/>
          <w:color w:val="000000" w:themeColor="text1"/>
          <w:sz w:val="24"/>
          <w:szCs w:val="24"/>
          <w:lang w:val="en-US"/>
        </w:rPr>
        <w:t>.</w:t>
      </w:r>
      <w:r w:rsidRPr="00CF138D">
        <w:rPr>
          <w:rFonts w:ascii="Times New Roman" w:hAnsi="Times New Roman" w:cs="Times New Roman"/>
          <w:noProof/>
          <w:color w:val="000000" w:themeColor="text1"/>
          <w:sz w:val="24"/>
          <w:szCs w:val="24"/>
          <w:lang w:val="en-US"/>
        </w:rPr>
        <w:t xml:space="preserve"> </w:t>
      </w:r>
    </w:p>
    <w:p w14:paraId="555A04C4" w14:textId="298C97EE" w:rsidR="00CF27CE" w:rsidRPr="00CF138D" w:rsidRDefault="00CF27CE" w:rsidP="00612EC2">
      <w:pPr>
        <w:widowControl w:val="0"/>
        <w:autoSpaceDE w:val="0"/>
        <w:autoSpaceDN w:val="0"/>
        <w:adjustRightInd w:val="0"/>
        <w:spacing w:line="240" w:lineRule="auto"/>
        <w:jc w:val="both"/>
        <w:rPr>
          <w:rFonts w:ascii="Times New Roman" w:hAnsi="Times New Roman" w:cs="Times New Roman"/>
          <w:noProof/>
          <w:color w:val="000000" w:themeColor="text1"/>
          <w:sz w:val="24"/>
          <w:szCs w:val="24"/>
          <w:lang w:val="en-US"/>
        </w:rPr>
      </w:pPr>
      <w:r w:rsidRPr="00CF138D">
        <w:rPr>
          <w:rFonts w:ascii="Times New Roman" w:hAnsi="Times New Roman" w:cs="Times New Roman"/>
          <w:noProof/>
          <w:color w:val="000000" w:themeColor="text1"/>
          <w:sz w:val="24"/>
          <w:szCs w:val="24"/>
          <w:lang w:val="en-US"/>
        </w:rPr>
        <w:t>3. Liu D, Sartor MA, Nader GA, Pistilli EE, Tanton L, Lilly C, et al. Microarray analysis reveals novel features of the muscle aging process in men and women. Journals Gerontol - Ser A Biol Sci Med Sci. 2013</w:t>
      </w:r>
      <w:r w:rsidR="00420C39" w:rsidRPr="00CF138D">
        <w:rPr>
          <w:rFonts w:ascii="Times New Roman" w:hAnsi="Times New Roman" w:cs="Times New Roman"/>
          <w:noProof/>
          <w:color w:val="000000" w:themeColor="text1"/>
          <w:sz w:val="24"/>
          <w:szCs w:val="24"/>
          <w:lang w:val="en-US"/>
        </w:rPr>
        <w:t>,</w:t>
      </w:r>
      <w:r w:rsidRPr="00CF138D">
        <w:rPr>
          <w:rFonts w:ascii="Times New Roman" w:hAnsi="Times New Roman" w:cs="Times New Roman"/>
          <w:noProof/>
          <w:color w:val="000000" w:themeColor="text1"/>
          <w:sz w:val="24"/>
          <w:szCs w:val="24"/>
          <w:lang w:val="en-US"/>
        </w:rPr>
        <w:t xml:space="preserve"> </w:t>
      </w:r>
    </w:p>
    <w:p w14:paraId="7975C491" w14:textId="7FE8476C" w:rsidR="00CF27CE" w:rsidRPr="00CF138D" w:rsidRDefault="00CF27CE" w:rsidP="00612EC2">
      <w:pPr>
        <w:widowControl w:val="0"/>
        <w:autoSpaceDE w:val="0"/>
        <w:autoSpaceDN w:val="0"/>
        <w:adjustRightInd w:val="0"/>
        <w:spacing w:line="240" w:lineRule="auto"/>
        <w:jc w:val="both"/>
        <w:rPr>
          <w:rFonts w:ascii="Times New Roman" w:hAnsi="Times New Roman" w:cs="Times New Roman"/>
          <w:noProof/>
          <w:color w:val="000000" w:themeColor="text1"/>
          <w:sz w:val="24"/>
          <w:szCs w:val="24"/>
          <w:lang w:val="en-US"/>
        </w:rPr>
      </w:pPr>
      <w:r w:rsidRPr="00CF138D">
        <w:rPr>
          <w:rFonts w:ascii="Times New Roman" w:hAnsi="Times New Roman" w:cs="Times New Roman"/>
          <w:noProof/>
          <w:color w:val="000000" w:themeColor="text1"/>
          <w:sz w:val="24"/>
          <w:szCs w:val="24"/>
          <w:lang w:val="en-US"/>
        </w:rPr>
        <w:t>4. Davicioni E, Finckenstein FG, Shahbazian V, Buckley JD, Triche TJ, Anderson MJ. Identification of a PAX-FKHR gene expression signature that defines molecular classes and determines the prognosis of alveolar rhabdomyosarcomas. Cancer Res. 2006</w:t>
      </w:r>
      <w:r w:rsidR="00420C39" w:rsidRPr="00CF138D">
        <w:rPr>
          <w:rFonts w:ascii="Times New Roman" w:hAnsi="Times New Roman" w:cs="Times New Roman"/>
          <w:noProof/>
          <w:color w:val="000000" w:themeColor="text1"/>
          <w:sz w:val="24"/>
          <w:szCs w:val="24"/>
          <w:lang w:val="en-US"/>
        </w:rPr>
        <w:t>.</w:t>
      </w:r>
      <w:r w:rsidRPr="00CF138D">
        <w:rPr>
          <w:rFonts w:ascii="Times New Roman" w:hAnsi="Times New Roman" w:cs="Times New Roman"/>
          <w:noProof/>
          <w:color w:val="000000" w:themeColor="text1"/>
          <w:sz w:val="24"/>
          <w:szCs w:val="24"/>
          <w:lang w:val="en-US"/>
        </w:rPr>
        <w:t xml:space="preserve"> </w:t>
      </w:r>
    </w:p>
    <w:p w14:paraId="3602E80F" w14:textId="7FFD55C4" w:rsidR="00CF27CE" w:rsidRPr="00CF138D" w:rsidRDefault="00CF27CE" w:rsidP="00612EC2">
      <w:pPr>
        <w:widowControl w:val="0"/>
        <w:autoSpaceDE w:val="0"/>
        <w:autoSpaceDN w:val="0"/>
        <w:adjustRightInd w:val="0"/>
        <w:spacing w:line="240" w:lineRule="auto"/>
        <w:jc w:val="both"/>
        <w:rPr>
          <w:rFonts w:ascii="Times New Roman" w:hAnsi="Times New Roman" w:cs="Times New Roman"/>
          <w:noProof/>
          <w:color w:val="000000" w:themeColor="text1"/>
          <w:sz w:val="24"/>
          <w:szCs w:val="24"/>
          <w:lang w:val="en-US"/>
        </w:rPr>
      </w:pPr>
      <w:r w:rsidRPr="00CF138D">
        <w:rPr>
          <w:rFonts w:ascii="Times New Roman" w:hAnsi="Times New Roman" w:cs="Times New Roman"/>
          <w:noProof/>
          <w:color w:val="000000" w:themeColor="text1"/>
          <w:sz w:val="24"/>
          <w:szCs w:val="24"/>
          <w:lang w:val="en-US"/>
        </w:rPr>
        <w:t>5. Sun W, Chatterjee B, Wang Y, Stevenson HS, Edelman DC, Meltzer PS, et al. Distinct methylation profiles characterize fusion-positive and fusion-negative rhabdomyosarcoma. Mod Pathol. 2015</w:t>
      </w:r>
      <w:r w:rsidR="00420C39" w:rsidRPr="00CF138D">
        <w:rPr>
          <w:rFonts w:ascii="Times New Roman" w:hAnsi="Times New Roman" w:cs="Times New Roman"/>
          <w:noProof/>
          <w:color w:val="000000" w:themeColor="text1"/>
          <w:sz w:val="24"/>
          <w:szCs w:val="24"/>
          <w:lang w:val="en-US"/>
        </w:rPr>
        <w:t>.</w:t>
      </w:r>
    </w:p>
    <w:p w14:paraId="288D6B2E" w14:textId="77777777" w:rsidR="00CF27CE" w:rsidRPr="00CF138D" w:rsidRDefault="00CF27CE" w:rsidP="00612EC2">
      <w:pPr>
        <w:widowControl w:val="0"/>
        <w:autoSpaceDE w:val="0"/>
        <w:autoSpaceDN w:val="0"/>
        <w:adjustRightInd w:val="0"/>
        <w:spacing w:line="240" w:lineRule="auto"/>
        <w:jc w:val="both"/>
        <w:rPr>
          <w:rFonts w:ascii="Times New Roman" w:hAnsi="Times New Roman" w:cs="Times New Roman"/>
          <w:color w:val="000000" w:themeColor="text1"/>
          <w:sz w:val="24"/>
          <w:szCs w:val="24"/>
          <w:lang w:val="en-US"/>
        </w:rPr>
      </w:pPr>
      <w:r w:rsidRPr="00CF138D">
        <w:rPr>
          <w:rFonts w:ascii="Times New Roman" w:hAnsi="Times New Roman" w:cs="Times New Roman"/>
          <w:noProof/>
          <w:color w:val="000000" w:themeColor="text1"/>
          <w:sz w:val="24"/>
          <w:szCs w:val="24"/>
          <w:lang w:val="en-US"/>
        </w:rPr>
        <w:t xml:space="preserve">6. Gallo-Oller G, Ordoñez R, Dotor J. A new background subtraction method for Western blot densitometry band quantification through image analysis software. J. Immunol. Methods. 2018. p. 1–5. </w:t>
      </w:r>
      <w:r w:rsidRPr="00CF138D">
        <w:rPr>
          <w:rFonts w:ascii="Times New Roman" w:hAnsi="Times New Roman" w:cs="Times New Roman"/>
          <w:color w:val="000000" w:themeColor="text1"/>
          <w:sz w:val="24"/>
          <w:szCs w:val="24"/>
          <w:lang w:val="en-US"/>
        </w:rPr>
        <w:fldChar w:fldCharType="end"/>
      </w:r>
    </w:p>
    <w:p w14:paraId="5455947C" w14:textId="784793D1" w:rsidR="00D923FD" w:rsidRPr="00CF138D" w:rsidRDefault="00420C39" w:rsidP="00612EC2">
      <w:pPr>
        <w:widowControl w:val="0"/>
        <w:autoSpaceDE w:val="0"/>
        <w:autoSpaceDN w:val="0"/>
        <w:adjustRightInd w:val="0"/>
        <w:spacing w:line="240" w:lineRule="auto"/>
        <w:jc w:val="both"/>
        <w:rPr>
          <w:rFonts w:ascii="Times New Roman" w:hAnsi="Times New Roman" w:cs="Times New Roman"/>
          <w:noProof/>
          <w:color w:val="000000" w:themeColor="text1"/>
          <w:sz w:val="24"/>
          <w:szCs w:val="24"/>
          <w:lang w:val="en-US"/>
        </w:rPr>
      </w:pPr>
      <w:r w:rsidRPr="00CF138D">
        <w:rPr>
          <w:rFonts w:ascii="Times New Roman" w:hAnsi="Times New Roman" w:cs="Times New Roman"/>
          <w:noProof/>
          <w:color w:val="000000" w:themeColor="text1"/>
          <w:sz w:val="24"/>
          <w:szCs w:val="24"/>
          <w:lang w:val="en-US"/>
        </w:rPr>
        <w:t>7. Livak KJ, Schmittgen TD. Analysis of Relative Gene Expression Data Using Real-Time Quantitative PCR and the 2−ΔΔCT Method. Methods. 2001;25:402–8.</w:t>
      </w:r>
    </w:p>
    <w:p w14:paraId="722E2B8A" w14:textId="23FB0C6F" w:rsidR="00EB3150" w:rsidRDefault="00EB3150" w:rsidP="00CF27CE">
      <w:pPr>
        <w:widowControl w:val="0"/>
        <w:autoSpaceDE w:val="0"/>
        <w:autoSpaceDN w:val="0"/>
        <w:adjustRightInd w:val="0"/>
        <w:spacing w:line="240" w:lineRule="auto"/>
        <w:rPr>
          <w:rFonts w:ascii="Times New Roman" w:hAnsi="Times New Roman" w:cs="Times New Roman"/>
          <w:color w:val="000000" w:themeColor="text1"/>
          <w:sz w:val="24"/>
          <w:szCs w:val="24"/>
          <w:lang w:val="en-US"/>
        </w:rPr>
      </w:pPr>
    </w:p>
    <w:p w14:paraId="7118BF0F" w14:textId="5D66A041" w:rsidR="00CF138D" w:rsidRDefault="00CF138D" w:rsidP="00CF27CE">
      <w:pPr>
        <w:widowControl w:val="0"/>
        <w:autoSpaceDE w:val="0"/>
        <w:autoSpaceDN w:val="0"/>
        <w:adjustRightInd w:val="0"/>
        <w:spacing w:line="240" w:lineRule="auto"/>
        <w:rPr>
          <w:rFonts w:ascii="Times New Roman" w:hAnsi="Times New Roman" w:cs="Times New Roman"/>
          <w:color w:val="000000" w:themeColor="text1"/>
          <w:sz w:val="24"/>
          <w:szCs w:val="24"/>
          <w:lang w:val="en-US"/>
        </w:rPr>
      </w:pPr>
    </w:p>
    <w:p w14:paraId="451EB68E" w14:textId="464E305D" w:rsidR="00CF138D" w:rsidRDefault="00CF138D" w:rsidP="00CF27CE">
      <w:pPr>
        <w:widowControl w:val="0"/>
        <w:autoSpaceDE w:val="0"/>
        <w:autoSpaceDN w:val="0"/>
        <w:adjustRightInd w:val="0"/>
        <w:spacing w:line="240" w:lineRule="auto"/>
        <w:rPr>
          <w:rFonts w:ascii="Times New Roman" w:hAnsi="Times New Roman" w:cs="Times New Roman"/>
          <w:color w:val="000000" w:themeColor="text1"/>
          <w:sz w:val="24"/>
          <w:szCs w:val="24"/>
          <w:lang w:val="en-US"/>
        </w:rPr>
      </w:pPr>
    </w:p>
    <w:p w14:paraId="40A24444" w14:textId="2C21AE6F" w:rsidR="00CF138D" w:rsidRDefault="00CF138D" w:rsidP="00CF27CE">
      <w:pPr>
        <w:widowControl w:val="0"/>
        <w:autoSpaceDE w:val="0"/>
        <w:autoSpaceDN w:val="0"/>
        <w:adjustRightInd w:val="0"/>
        <w:spacing w:line="240" w:lineRule="auto"/>
        <w:rPr>
          <w:rFonts w:ascii="Times New Roman" w:hAnsi="Times New Roman" w:cs="Times New Roman"/>
          <w:color w:val="000000" w:themeColor="text1"/>
          <w:sz w:val="24"/>
          <w:szCs w:val="24"/>
          <w:lang w:val="en-US"/>
        </w:rPr>
      </w:pPr>
    </w:p>
    <w:p w14:paraId="232DA7FA" w14:textId="2991D885" w:rsidR="00CF138D" w:rsidRDefault="00CF138D" w:rsidP="00CF27CE">
      <w:pPr>
        <w:widowControl w:val="0"/>
        <w:autoSpaceDE w:val="0"/>
        <w:autoSpaceDN w:val="0"/>
        <w:adjustRightInd w:val="0"/>
        <w:spacing w:line="240" w:lineRule="auto"/>
        <w:rPr>
          <w:rFonts w:ascii="Times New Roman" w:hAnsi="Times New Roman" w:cs="Times New Roman"/>
          <w:color w:val="000000" w:themeColor="text1"/>
          <w:sz w:val="24"/>
          <w:szCs w:val="24"/>
          <w:lang w:val="en-US"/>
        </w:rPr>
      </w:pPr>
    </w:p>
    <w:p w14:paraId="5B2C30B8" w14:textId="4955EAD8" w:rsidR="00CF138D" w:rsidRDefault="00CF138D" w:rsidP="00CF27CE">
      <w:pPr>
        <w:widowControl w:val="0"/>
        <w:autoSpaceDE w:val="0"/>
        <w:autoSpaceDN w:val="0"/>
        <w:adjustRightInd w:val="0"/>
        <w:spacing w:line="240" w:lineRule="auto"/>
        <w:rPr>
          <w:rFonts w:ascii="Times New Roman" w:hAnsi="Times New Roman" w:cs="Times New Roman"/>
          <w:color w:val="000000" w:themeColor="text1"/>
          <w:sz w:val="24"/>
          <w:szCs w:val="24"/>
          <w:lang w:val="en-US"/>
        </w:rPr>
      </w:pPr>
    </w:p>
    <w:p w14:paraId="33831381" w14:textId="2C10C532" w:rsidR="00CF138D" w:rsidRDefault="00CF138D" w:rsidP="00CF27CE">
      <w:pPr>
        <w:widowControl w:val="0"/>
        <w:autoSpaceDE w:val="0"/>
        <w:autoSpaceDN w:val="0"/>
        <w:adjustRightInd w:val="0"/>
        <w:spacing w:line="240" w:lineRule="auto"/>
        <w:rPr>
          <w:rFonts w:ascii="Times New Roman" w:hAnsi="Times New Roman" w:cs="Times New Roman"/>
          <w:color w:val="000000" w:themeColor="text1"/>
          <w:sz w:val="24"/>
          <w:szCs w:val="24"/>
          <w:lang w:val="en-US"/>
        </w:rPr>
      </w:pPr>
    </w:p>
    <w:p w14:paraId="1A69D47A" w14:textId="77777777" w:rsidR="00111565" w:rsidRPr="00CF138D" w:rsidRDefault="00111565" w:rsidP="00CF27CE">
      <w:pPr>
        <w:widowControl w:val="0"/>
        <w:autoSpaceDE w:val="0"/>
        <w:autoSpaceDN w:val="0"/>
        <w:adjustRightInd w:val="0"/>
        <w:spacing w:line="240" w:lineRule="auto"/>
        <w:rPr>
          <w:rFonts w:ascii="Times New Roman" w:hAnsi="Times New Roman" w:cs="Times New Roman"/>
          <w:color w:val="000000" w:themeColor="text1"/>
          <w:sz w:val="24"/>
          <w:szCs w:val="24"/>
          <w:lang w:val="en-US"/>
        </w:rPr>
      </w:pPr>
    </w:p>
    <w:p w14:paraId="70494CCF" w14:textId="0318448F" w:rsidR="002B287D" w:rsidRPr="00CF138D" w:rsidRDefault="00F70EB0" w:rsidP="002B287D">
      <w:pPr>
        <w:pStyle w:val="Paragraph"/>
        <w:spacing w:before="0" w:after="120" w:line="480" w:lineRule="auto"/>
        <w:ind w:firstLine="0"/>
        <w:jc w:val="both"/>
        <w:rPr>
          <w:color w:val="000000" w:themeColor="text1"/>
        </w:rPr>
      </w:pPr>
      <w:r w:rsidRPr="00CF138D">
        <w:rPr>
          <w:b/>
          <w:color w:val="000000" w:themeColor="text1"/>
        </w:rPr>
        <w:lastRenderedPageBreak/>
        <w:t>ADDITIONAL FIGURES</w:t>
      </w:r>
    </w:p>
    <w:p w14:paraId="47148ED2" w14:textId="77777777" w:rsidR="002B287D" w:rsidRPr="002D1AA8" w:rsidRDefault="002B287D" w:rsidP="002B287D">
      <w:pPr>
        <w:pStyle w:val="Paragraph"/>
        <w:spacing w:after="120" w:line="480" w:lineRule="auto"/>
        <w:ind w:firstLine="0"/>
        <w:jc w:val="both"/>
        <w:rPr>
          <w:color w:val="000000" w:themeColor="text1"/>
          <w:sz w:val="40"/>
          <w:szCs w:val="40"/>
        </w:rPr>
      </w:pPr>
      <w:r w:rsidRPr="002D1AA8">
        <w:rPr>
          <w:noProof/>
          <w:color w:val="000000" w:themeColor="text1"/>
          <w:sz w:val="40"/>
          <w:szCs w:val="40"/>
          <w:lang w:val="en-IN" w:eastAsia="en-IN"/>
        </w:rPr>
        <w:drawing>
          <wp:inline distT="0" distB="0" distL="0" distR="0" wp14:anchorId="6FA05385" wp14:editId="74B0FED0">
            <wp:extent cx="5691117" cy="5446663"/>
            <wp:effectExtent l="0" t="0" r="508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8933" cy="5463714"/>
                    </a:xfrm>
                    <a:prstGeom prst="rect">
                      <a:avLst/>
                    </a:prstGeom>
                    <a:noFill/>
                  </pic:spPr>
                </pic:pic>
              </a:graphicData>
            </a:graphic>
          </wp:inline>
        </w:drawing>
      </w:r>
    </w:p>
    <w:p w14:paraId="7AD59CBA" w14:textId="46900D89" w:rsidR="002B287D" w:rsidRPr="00CF138D" w:rsidRDefault="002B287D" w:rsidP="00CF138D">
      <w:pPr>
        <w:pStyle w:val="Acknowledgement"/>
        <w:spacing w:before="0" w:after="120" w:line="360" w:lineRule="auto"/>
        <w:ind w:left="0" w:firstLine="0"/>
        <w:jc w:val="both"/>
        <w:rPr>
          <w:color w:val="000000" w:themeColor="text1"/>
          <w:sz w:val="22"/>
          <w:szCs w:val="22"/>
        </w:rPr>
      </w:pPr>
      <w:r w:rsidRPr="00CF138D">
        <w:rPr>
          <w:b/>
          <w:bCs/>
          <w:color w:val="000000" w:themeColor="text1"/>
          <w:sz w:val="22"/>
          <w:szCs w:val="22"/>
        </w:rPr>
        <w:t>Figure S1. TRIB3 is overexpressed in FP-RMS cell lines, and its genetic inhibition leads to impaired cell survival and increased apoptosis</w:t>
      </w:r>
      <w:r w:rsidRPr="00CF138D">
        <w:rPr>
          <w:color w:val="000000" w:themeColor="text1"/>
          <w:sz w:val="22"/>
          <w:szCs w:val="22"/>
        </w:rPr>
        <w:t>. (a) TRIB3 protein expression was assessed by WB in RMS cell lines. The fusion status of each cell line is indicated by + for FP-RMS cell lines and - for FN-RMS. (b) Except for the CW9019 cell line, cell lines classified as ARMS exhibited the highest TRIB3 protein levels. (c) Fusion-positive cell lines demonstrated the highest TRIB3 protein levels. (d) To investigate the potential role of TRIB3, a constitutive model for genetic inhibition was optimized. sh56 and sh84 were selected to silence TRIB3 in RH4, RH30 (both FP-RMS), and RD (FN-RMS) cell lines. TRIB3 protein levels were determined 24 h after lentiviral infection and 72h after selection with puromycin. (e) Following constitutive TRIB3 knockdown, a clear impairment in cell proliferation was observed in FP-RMS cell lines compared to FN-RMS cell lines. (f) Analysis of apoptotic markers by WB confirmed the induction of apoptosis after TRIB3 silencing.</w:t>
      </w:r>
    </w:p>
    <w:p w14:paraId="58444385" w14:textId="1E4C77EB" w:rsidR="006D1534" w:rsidRPr="002D1AA8" w:rsidRDefault="00420C39" w:rsidP="002B287D">
      <w:pPr>
        <w:pStyle w:val="Acknowledgement"/>
        <w:spacing w:before="0" w:after="120" w:line="360" w:lineRule="auto"/>
        <w:ind w:left="0" w:firstLine="0"/>
        <w:jc w:val="both"/>
        <w:rPr>
          <w:b/>
          <w:bCs/>
          <w:color w:val="000000" w:themeColor="text1"/>
          <w:sz w:val="40"/>
          <w:szCs w:val="40"/>
        </w:rPr>
      </w:pPr>
      <w:r w:rsidRPr="002D1AA8">
        <w:rPr>
          <w:b/>
          <w:bCs/>
          <w:noProof/>
          <w:color w:val="000000" w:themeColor="text1"/>
          <w:sz w:val="40"/>
          <w:szCs w:val="40"/>
          <w:lang w:val="en-IN" w:eastAsia="en-IN"/>
        </w:rPr>
        <w:lastRenderedPageBreak/>
        <w:drawing>
          <wp:anchor distT="0" distB="0" distL="114300" distR="114300" simplePos="0" relativeHeight="251658240" behindDoc="0" locked="0" layoutInCell="1" allowOverlap="1" wp14:anchorId="6F690066" wp14:editId="1922AEA2">
            <wp:simplePos x="0" y="0"/>
            <wp:positionH relativeFrom="column">
              <wp:align>center</wp:align>
            </wp:positionH>
            <wp:positionV relativeFrom="paragraph">
              <wp:posOffset>4031</wp:posOffset>
            </wp:positionV>
            <wp:extent cx="4899600" cy="6742800"/>
            <wp:effectExtent l="0" t="0" r="0" b="1270"/>
            <wp:wrapSquare wrapText="bothSides"/>
            <wp:docPr id="13320870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9600" cy="6742800"/>
                    </a:xfrm>
                    <a:prstGeom prst="rect">
                      <a:avLst/>
                    </a:prstGeom>
                    <a:noFill/>
                  </pic:spPr>
                </pic:pic>
              </a:graphicData>
            </a:graphic>
            <wp14:sizeRelH relativeFrom="margin">
              <wp14:pctWidth>0</wp14:pctWidth>
            </wp14:sizeRelH>
            <wp14:sizeRelV relativeFrom="margin">
              <wp14:pctHeight>0</wp14:pctHeight>
            </wp14:sizeRelV>
          </wp:anchor>
        </w:drawing>
      </w:r>
    </w:p>
    <w:p w14:paraId="13B1EEC7" w14:textId="77777777" w:rsidR="006D1534" w:rsidRPr="002D1AA8" w:rsidRDefault="006D1534" w:rsidP="002B287D">
      <w:pPr>
        <w:pStyle w:val="Acknowledgement"/>
        <w:spacing w:before="0" w:after="120" w:line="360" w:lineRule="auto"/>
        <w:ind w:left="0" w:firstLine="0"/>
        <w:jc w:val="both"/>
        <w:rPr>
          <w:b/>
          <w:bCs/>
          <w:color w:val="000000" w:themeColor="text1"/>
          <w:sz w:val="40"/>
          <w:szCs w:val="40"/>
        </w:rPr>
      </w:pPr>
    </w:p>
    <w:p w14:paraId="040EA7F6" w14:textId="77777777" w:rsidR="00420C39" w:rsidRPr="002D1AA8" w:rsidRDefault="00420C39" w:rsidP="002B287D">
      <w:pPr>
        <w:pStyle w:val="Acknowledgement"/>
        <w:spacing w:before="0" w:after="120" w:line="360" w:lineRule="auto"/>
        <w:ind w:left="0" w:firstLine="0"/>
        <w:jc w:val="both"/>
        <w:rPr>
          <w:b/>
          <w:bCs/>
          <w:color w:val="000000" w:themeColor="text1"/>
          <w:sz w:val="40"/>
          <w:szCs w:val="40"/>
        </w:rPr>
      </w:pPr>
    </w:p>
    <w:p w14:paraId="3FEB6E79" w14:textId="77777777" w:rsidR="00420C39" w:rsidRPr="002D1AA8" w:rsidRDefault="00420C39" w:rsidP="002B287D">
      <w:pPr>
        <w:pStyle w:val="Acknowledgement"/>
        <w:spacing w:before="0" w:after="120" w:line="360" w:lineRule="auto"/>
        <w:ind w:left="0" w:firstLine="0"/>
        <w:jc w:val="both"/>
        <w:rPr>
          <w:b/>
          <w:bCs/>
          <w:color w:val="000000" w:themeColor="text1"/>
          <w:sz w:val="40"/>
          <w:szCs w:val="40"/>
        </w:rPr>
      </w:pPr>
    </w:p>
    <w:p w14:paraId="3BC3B35A" w14:textId="77777777" w:rsidR="00420C39" w:rsidRPr="002D1AA8" w:rsidRDefault="00420C39" w:rsidP="002B287D">
      <w:pPr>
        <w:pStyle w:val="Acknowledgement"/>
        <w:spacing w:before="0" w:after="120" w:line="360" w:lineRule="auto"/>
        <w:ind w:left="0" w:firstLine="0"/>
        <w:jc w:val="both"/>
        <w:rPr>
          <w:b/>
          <w:bCs/>
          <w:color w:val="000000" w:themeColor="text1"/>
          <w:sz w:val="40"/>
          <w:szCs w:val="40"/>
        </w:rPr>
      </w:pPr>
    </w:p>
    <w:p w14:paraId="5EDA8CAD" w14:textId="77777777" w:rsidR="00420C39" w:rsidRPr="002D1AA8" w:rsidRDefault="00420C39" w:rsidP="002B287D">
      <w:pPr>
        <w:pStyle w:val="Acknowledgement"/>
        <w:spacing w:before="0" w:after="120" w:line="360" w:lineRule="auto"/>
        <w:ind w:left="0" w:firstLine="0"/>
        <w:jc w:val="both"/>
        <w:rPr>
          <w:b/>
          <w:bCs/>
          <w:color w:val="000000" w:themeColor="text1"/>
          <w:sz w:val="40"/>
          <w:szCs w:val="40"/>
        </w:rPr>
      </w:pPr>
    </w:p>
    <w:p w14:paraId="1CB6F55E" w14:textId="77777777" w:rsidR="00420C39" w:rsidRPr="002D1AA8" w:rsidRDefault="00420C39" w:rsidP="002B287D">
      <w:pPr>
        <w:pStyle w:val="Acknowledgement"/>
        <w:spacing w:before="0" w:after="120" w:line="360" w:lineRule="auto"/>
        <w:ind w:left="0" w:firstLine="0"/>
        <w:jc w:val="both"/>
        <w:rPr>
          <w:b/>
          <w:bCs/>
          <w:color w:val="000000" w:themeColor="text1"/>
          <w:sz w:val="40"/>
          <w:szCs w:val="40"/>
        </w:rPr>
      </w:pPr>
    </w:p>
    <w:p w14:paraId="2802DB64" w14:textId="77777777" w:rsidR="00420C39" w:rsidRPr="002D1AA8" w:rsidRDefault="00420C39" w:rsidP="002B287D">
      <w:pPr>
        <w:pStyle w:val="Acknowledgement"/>
        <w:spacing w:before="0" w:after="120" w:line="360" w:lineRule="auto"/>
        <w:ind w:left="0" w:firstLine="0"/>
        <w:jc w:val="both"/>
        <w:rPr>
          <w:b/>
          <w:bCs/>
          <w:color w:val="000000" w:themeColor="text1"/>
          <w:sz w:val="40"/>
          <w:szCs w:val="40"/>
        </w:rPr>
      </w:pPr>
    </w:p>
    <w:p w14:paraId="20E75A75" w14:textId="77777777" w:rsidR="00420C39" w:rsidRPr="002D1AA8" w:rsidRDefault="00420C39" w:rsidP="002B287D">
      <w:pPr>
        <w:pStyle w:val="Acknowledgement"/>
        <w:spacing w:before="0" w:after="120" w:line="360" w:lineRule="auto"/>
        <w:ind w:left="0" w:firstLine="0"/>
        <w:jc w:val="both"/>
        <w:rPr>
          <w:b/>
          <w:bCs/>
          <w:color w:val="000000" w:themeColor="text1"/>
          <w:sz w:val="40"/>
          <w:szCs w:val="40"/>
        </w:rPr>
      </w:pPr>
    </w:p>
    <w:p w14:paraId="4F431788" w14:textId="77777777" w:rsidR="00420C39" w:rsidRPr="002D1AA8" w:rsidRDefault="00420C39" w:rsidP="002B287D">
      <w:pPr>
        <w:pStyle w:val="Acknowledgement"/>
        <w:spacing w:before="0" w:after="120" w:line="360" w:lineRule="auto"/>
        <w:ind w:left="0" w:firstLine="0"/>
        <w:jc w:val="both"/>
        <w:rPr>
          <w:b/>
          <w:bCs/>
          <w:color w:val="000000" w:themeColor="text1"/>
          <w:sz w:val="40"/>
          <w:szCs w:val="40"/>
        </w:rPr>
      </w:pPr>
    </w:p>
    <w:p w14:paraId="5A0FCDBE" w14:textId="77777777" w:rsidR="00420C39" w:rsidRPr="002D1AA8" w:rsidRDefault="00420C39" w:rsidP="002B287D">
      <w:pPr>
        <w:pStyle w:val="Acknowledgement"/>
        <w:spacing w:before="0" w:after="120" w:line="360" w:lineRule="auto"/>
        <w:ind w:left="0" w:firstLine="0"/>
        <w:jc w:val="both"/>
        <w:rPr>
          <w:b/>
          <w:bCs/>
          <w:color w:val="000000" w:themeColor="text1"/>
          <w:sz w:val="40"/>
          <w:szCs w:val="40"/>
        </w:rPr>
      </w:pPr>
    </w:p>
    <w:p w14:paraId="00ADB1A6" w14:textId="77777777" w:rsidR="00420C39" w:rsidRPr="002D1AA8" w:rsidRDefault="00420C39" w:rsidP="002B287D">
      <w:pPr>
        <w:pStyle w:val="Acknowledgement"/>
        <w:spacing w:before="0" w:after="120" w:line="360" w:lineRule="auto"/>
        <w:ind w:left="0" w:firstLine="0"/>
        <w:jc w:val="both"/>
        <w:rPr>
          <w:b/>
          <w:bCs/>
          <w:color w:val="000000" w:themeColor="text1"/>
          <w:sz w:val="40"/>
          <w:szCs w:val="40"/>
        </w:rPr>
      </w:pPr>
    </w:p>
    <w:p w14:paraId="1C63E57C" w14:textId="77777777" w:rsidR="00420C39" w:rsidRPr="002D1AA8" w:rsidRDefault="00420C39" w:rsidP="002B287D">
      <w:pPr>
        <w:pStyle w:val="Acknowledgement"/>
        <w:spacing w:before="0" w:after="120" w:line="360" w:lineRule="auto"/>
        <w:ind w:left="0" w:firstLine="0"/>
        <w:jc w:val="both"/>
        <w:rPr>
          <w:b/>
          <w:bCs/>
          <w:color w:val="000000" w:themeColor="text1"/>
          <w:sz w:val="40"/>
          <w:szCs w:val="40"/>
        </w:rPr>
      </w:pPr>
    </w:p>
    <w:p w14:paraId="58FE72BD" w14:textId="77777777" w:rsidR="00CF138D" w:rsidRDefault="00CF138D" w:rsidP="002B287D">
      <w:pPr>
        <w:pStyle w:val="Acknowledgement"/>
        <w:spacing w:before="0" w:after="120" w:line="360" w:lineRule="auto"/>
        <w:ind w:left="0" w:firstLine="0"/>
        <w:jc w:val="both"/>
        <w:rPr>
          <w:b/>
          <w:bCs/>
          <w:color w:val="000000" w:themeColor="text1"/>
          <w:sz w:val="22"/>
          <w:szCs w:val="22"/>
        </w:rPr>
      </w:pPr>
    </w:p>
    <w:p w14:paraId="1E000BA3" w14:textId="52C7E08D" w:rsidR="004377DF" w:rsidRPr="00CF138D" w:rsidRDefault="001A42EF" w:rsidP="002B287D">
      <w:pPr>
        <w:pStyle w:val="Acknowledgement"/>
        <w:spacing w:before="0" w:after="120" w:line="360" w:lineRule="auto"/>
        <w:ind w:left="0" w:firstLine="0"/>
        <w:jc w:val="both"/>
        <w:rPr>
          <w:color w:val="000000" w:themeColor="text1"/>
          <w:sz w:val="22"/>
          <w:szCs w:val="22"/>
        </w:rPr>
      </w:pPr>
      <w:r w:rsidRPr="00CF138D">
        <w:rPr>
          <w:b/>
          <w:bCs/>
          <w:color w:val="000000" w:themeColor="text1"/>
          <w:sz w:val="22"/>
          <w:szCs w:val="22"/>
        </w:rPr>
        <w:t xml:space="preserve">Figure S2. </w:t>
      </w:r>
      <w:r w:rsidR="004377DF" w:rsidRPr="00CF138D">
        <w:rPr>
          <w:color w:val="000000" w:themeColor="text1"/>
          <w:sz w:val="22"/>
          <w:szCs w:val="22"/>
        </w:rPr>
        <w:t xml:space="preserve">(a) </w:t>
      </w:r>
      <w:r w:rsidR="00420C39" w:rsidRPr="00CF138D">
        <w:rPr>
          <w:color w:val="000000" w:themeColor="text1"/>
          <w:sz w:val="22"/>
          <w:szCs w:val="22"/>
        </w:rPr>
        <w:t>Detection of relative gene expression levels (2</w:t>
      </w:r>
      <w:r w:rsidR="00420C39" w:rsidRPr="00CF138D">
        <w:rPr>
          <w:color w:val="000000" w:themeColor="text1"/>
          <w:sz w:val="22"/>
          <w:szCs w:val="22"/>
          <w:vertAlign w:val="superscript"/>
        </w:rPr>
        <w:t>−ΔΔCT</w:t>
      </w:r>
      <w:r w:rsidR="00420C39" w:rsidRPr="00CF138D">
        <w:rPr>
          <w:color w:val="000000" w:themeColor="text1"/>
          <w:sz w:val="22"/>
          <w:szCs w:val="22"/>
        </w:rPr>
        <w:t xml:space="preserve">) for the PAX3-FOXO1 fusion gene (upper panel) and TRIB3 (lower panel) in RH4 and RH30 cells in the presence or absence of IPTG. The expression values of the </w:t>
      </w:r>
      <w:r w:rsidR="005900D3" w:rsidRPr="00CF138D">
        <w:rPr>
          <w:color w:val="000000" w:themeColor="text1"/>
          <w:sz w:val="22"/>
          <w:szCs w:val="22"/>
        </w:rPr>
        <w:t xml:space="preserve">fusion </w:t>
      </w:r>
      <w:r w:rsidR="00420C39" w:rsidRPr="00CF138D">
        <w:rPr>
          <w:color w:val="000000" w:themeColor="text1"/>
          <w:sz w:val="22"/>
          <w:szCs w:val="22"/>
        </w:rPr>
        <w:t>protein remained unaltered even with the expression of shRNA against TRIB3. Upon induction by IPTG, the expression levels of the TRIB3 gene were significantly downregulated, confirming the validity of the inducible model.</w:t>
      </w:r>
      <w:r w:rsidR="004377DF" w:rsidRPr="00CF138D">
        <w:rPr>
          <w:color w:val="000000" w:themeColor="text1"/>
          <w:sz w:val="22"/>
          <w:szCs w:val="22"/>
        </w:rPr>
        <w:t xml:space="preserve"> (b) </w:t>
      </w:r>
      <w:r w:rsidR="00420C39" w:rsidRPr="00CF138D">
        <w:rPr>
          <w:color w:val="000000" w:themeColor="text1"/>
          <w:sz w:val="22"/>
          <w:szCs w:val="22"/>
        </w:rPr>
        <w:t>Graphical representation of band intensity quantification of WB results corresponding to Figure 1e. Unpaired t test between control and induced in each condition was conducted.</w:t>
      </w:r>
    </w:p>
    <w:p w14:paraId="29C0241B" w14:textId="77777777" w:rsidR="001A42EF" w:rsidRPr="002D1AA8" w:rsidRDefault="00932627" w:rsidP="002B287D">
      <w:pPr>
        <w:pStyle w:val="Acknowledgement"/>
        <w:spacing w:before="0" w:after="120" w:line="360" w:lineRule="auto"/>
        <w:ind w:left="0" w:firstLine="0"/>
        <w:jc w:val="both"/>
        <w:rPr>
          <w:color w:val="000000" w:themeColor="text1"/>
          <w:sz w:val="40"/>
          <w:szCs w:val="40"/>
        </w:rPr>
      </w:pPr>
      <w:r w:rsidRPr="002D1AA8">
        <w:rPr>
          <w:noProof/>
          <w:color w:val="000000" w:themeColor="text1"/>
          <w:sz w:val="40"/>
          <w:szCs w:val="40"/>
          <w:lang w:val="en-IN" w:eastAsia="en-IN"/>
        </w:rPr>
        <w:lastRenderedPageBreak/>
        <w:drawing>
          <wp:inline distT="0" distB="0" distL="0" distR="0" wp14:anchorId="07C181A2" wp14:editId="2596E45E">
            <wp:extent cx="5892500" cy="430948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4509" cy="4325585"/>
                    </a:xfrm>
                    <a:prstGeom prst="rect">
                      <a:avLst/>
                    </a:prstGeom>
                    <a:noFill/>
                  </pic:spPr>
                </pic:pic>
              </a:graphicData>
            </a:graphic>
          </wp:inline>
        </w:drawing>
      </w:r>
    </w:p>
    <w:p w14:paraId="4B35F261" w14:textId="77777777" w:rsidR="00F30914" w:rsidRPr="00CF138D" w:rsidRDefault="00932627" w:rsidP="0064019E">
      <w:pPr>
        <w:pStyle w:val="Acknowledgement"/>
        <w:spacing w:before="0" w:after="120" w:line="360" w:lineRule="auto"/>
        <w:ind w:left="0" w:firstLine="0"/>
        <w:jc w:val="both"/>
        <w:rPr>
          <w:color w:val="000000" w:themeColor="text1"/>
          <w:sz w:val="22"/>
          <w:szCs w:val="22"/>
        </w:rPr>
      </w:pPr>
      <w:r w:rsidRPr="00CF138D">
        <w:rPr>
          <w:b/>
          <w:bCs/>
          <w:color w:val="000000" w:themeColor="text1"/>
          <w:sz w:val="22"/>
          <w:szCs w:val="22"/>
        </w:rPr>
        <w:t xml:space="preserve">Figure S3. </w:t>
      </w:r>
      <w:r w:rsidRPr="00CF138D">
        <w:rPr>
          <w:color w:val="000000" w:themeColor="text1"/>
          <w:sz w:val="22"/>
          <w:szCs w:val="22"/>
        </w:rPr>
        <w:t xml:space="preserve">(a) Scheme of the in vivo experimental design. NI: non-induced. I: induced. (b) Band intensity quantification for mice samples sacrificed at 7, 11 and 14 days. Two-way ANOVA followed by </w:t>
      </w:r>
      <w:proofErr w:type="spellStart"/>
      <w:r w:rsidRPr="00CF138D">
        <w:rPr>
          <w:color w:val="000000" w:themeColor="text1"/>
          <w:sz w:val="22"/>
          <w:szCs w:val="22"/>
        </w:rPr>
        <w:t>Sidak's</w:t>
      </w:r>
      <w:proofErr w:type="spellEnd"/>
      <w:r w:rsidRPr="00CF138D">
        <w:rPr>
          <w:color w:val="000000" w:themeColor="text1"/>
          <w:sz w:val="22"/>
          <w:szCs w:val="22"/>
        </w:rPr>
        <w:t xml:space="preserve"> multiple comparisons test was conducted.</w:t>
      </w:r>
    </w:p>
    <w:sectPr w:rsidR="00F30914" w:rsidRPr="00CF138D" w:rsidSect="002D1AA8">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F5AB7" w14:textId="77777777" w:rsidR="00BF6ACA" w:rsidRDefault="00BF6ACA" w:rsidP="00A944D5">
      <w:pPr>
        <w:spacing w:after="0" w:line="240" w:lineRule="auto"/>
      </w:pPr>
      <w:r>
        <w:separator/>
      </w:r>
    </w:p>
  </w:endnote>
  <w:endnote w:type="continuationSeparator" w:id="0">
    <w:p w14:paraId="69EEBC24" w14:textId="77777777" w:rsidR="00BF6ACA" w:rsidRDefault="00BF6ACA" w:rsidP="00A94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3474665"/>
      <w:docPartObj>
        <w:docPartGallery w:val="Page Numbers (Bottom of Page)"/>
        <w:docPartUnique/>
      </w:docPartObj>
    </w:sdtPr>
    <w:sdtEndPr/>
    <w:sdtContent>
      <w:p w14:paraId="04180669" w14:textId="77777777" w:rsidR="00A944D5" w:rsidRDefault="00A944D5">
        <w:pPr>
          <w:pStyle w:val="Footer"/>
          <w:jc w:val="right"/>
        </w:pPr>
        <w:r>
          <w:fldChar w:fldCharType="begin"/>
        </w:r>
        <w:r>
          <w:instrText>PAGE   \* MERGEFORMAT</w:instrText>
        </w:r>
        <w:r>
          <w:fldChar w:fldCharType="separate"/>
        </w:r>
        <w:r w:rsidR="00F70EB0">
          <w:rPr>
            <w:noProof/>
          </w:rPr>
          <w:t>1</w:t>
        </w:r>
        <w:r>
          <w:fldChar w:fldCharType="end"/>
        </w:r>
      </w:p>
    </w:sdtContent>
  </w:sdt>
  <w:p w14:paraId="28BA935C" w14:textId="77777777" w:rsidR="00A944D5" w:rsidRDefault="00A94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08490" w14:textId="77777777" w:rsidR="00BF6ACA" w:rsidRDefault="00BF6ACA" w:rsidP="00A944D5">
      <w:pPr>
        <w:spacing w:after="0" w:line="240" w:lineRule="auto"/>
      </w:pPr>
      <w:r>
        <w:separator/>
      </w:r>
    </w:p>
  </w:footnote>
  <w:footnote w:type="continuationSeparator" w:id="0">
    <w:p w14:paraId="11BD97A5" w14:textId="77777777" w:rsidR="00BF6ACA" w:rsidRDefault="00BF6ACA" w:rsidP="00A944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7CE"/>
    <w:rsid w:val="00070130"/>
    <w:rsid w:val="000B409D"/>
    <w:rsid w:val="0011071C"/>
    <w:rsid w:val="00111565"/>
    <w:rsid w:val="00157129"/>
    <w:rsid w:val="001A42EF"/>
    <w:rsid w:val="001E0C08"/>
    <w:rsid w:val="002B287D"/>
    <w:rsid w:val="002D1AA8"/>
    <w:rsid w:val="0034667E"/>
    <w:rsid w:val="003F396C"/>
    <w:rsid w:val="00420C39"/>
    <w:rsid w:val="004377DF"/>
    <w:rsid w:val="00450BAA"/>
    <w:rsid w:val="005900D3"/>
    <w:rsid w:val="005D2D40"/>
    <w:rsid w:val="00612EC2"/>
    <w:rsid w:val="00614F4E"/>
    <w:rsid w:val="0064019E"/>
    <w:rsid w:val="006D1534"/>
    <w:rsid w:val="008E3ACA"/>
    <w:rsid w:val="00927E9B"/>
    <w:rsid w:val="00932627"/>
    <w:rsid w:val="009C2D3A"/>
    <w:rsid w:val="00A944D5"/>
    <w:rsid w:val="00B97E20"/>
    <w:rsid w:val="00BF6ACA"/>
    <w:rsid w:val="00C7675A"/>
    <w:rsid w:val="00CF138D"/>
    <w:rsid w:val="00CF27CE"/>
    <w:rsid w:val="00D923FD"/>
    <w:rsid w:val="00EB3150"/>
    <w:rsid w:val="00EE03B3"/>
    <w:rsid w:val="00EE396A"/>
    <w:rsid w:val="00F30914"/>
    <w:rsid w:val="00F70EB0"/>
    <w:rsid w:val="00F93E3F"/>
    <w:rsid w:val="00FE6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A2675"/>
  <w15:chartTrackingRefBased/>
  <w15:docId w15:val="{6701EA78-4B68-4966-9A96-6EE19770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F27CE"/>
    <w:pPr>
      <w:spacing w:before="120" w:after="0" w:line="240" w:lineRule="auto"/>
      <w:ind w:firstLine="720"/>
    </w:pPr>
    <w:rPr>
      <w:rFonts w:ascii="Times New Roman" w:eastAsia="Times New Roman" w:hAnsi="Times New Roman" w:cs="Times New Roman"/>
      <w:sz w:val="24"/>
      <w:szCs w:val="24"/>
      <w:lang w:val="en-US"/>
    </w:rPr>
  </w:style>
  <w:style w:type="paragraph" w:customStyle="1" w:styleId="Acknowledgement">
    <w:name w:val="Acknowledgement"/>
    <w:basedOn w:val="Normal"/>
    <w:rsid w:val="002B287D"/>
    <w:pPr>
      <w:spacing w:before="120" w:after="0" w:line="240" w:lineRule="auto"/>
      <w:ind w:left="720" w:hanging="720"/>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944D5"/>
    <w:pPr>
      <w:tabs>
        <w:tab w:val="center" w:pos="4252"/>
        <w:tab w:val="right" w:pos="8504"/>
      </w:tabs>
      <w:spacing w:after="0" w:line="240" w:lineRule="auto"/>
    </w:pPr>
  </w:style>
  <w:style w:type="character" w:customStyle="1" w:styleId="HeaderChar">
    <w:name w:val="Header Char"/>
    <w:basedOn w:val="DefaultParagraphFont"/>
    <w:link w:val="Header"/>
    <w:uiPriority w:val="99"/>
    <w:rsid w:val="00A944D5"/>
  </w:style>
  <w:style w:type="paragraph" w:styleId="Footer">
    <w:name w:val="footer"/>
    <w:basedOn w:val="Normal"/>
    <w:link w:val="FooterChar"/>
    <w:uiPriority w:val="99"/>
    <w:unhideWhenUsed/>
    <w:rsid w:val="00A944D5"/>
    <w:pPr>
      <w:tabs>
        <w:tab w:val="center" w:pos="4252"/>
        <w:tab w:val="right" w:pos="8504"/>
      </w:tabs>
      <w:spacing w:after="0" w:line="240" w:lineRule="auto"/>
    </w:pPr>
  </w:style>
  <w:style w:type="character" w:customStyle="1" w:styleId="FooterChar">
    <w:name w:val="Footer Char"/>
    <w:basedOn w:val="DefaultParagraphFont"/>
    <w:link w:val="Footer"/>
    <w:uiPriority w:val="99"/>
    <w:rsid w:val="00A944D5"/>
  </w:style>
  <w:style w:type="paragraph" w:styleId="Revision">
    <w:name w:val="Revision"/>
    <w:hidden/>
    <w:uiPriority w:val="99"/>
    <w:semiHidden/>
    <w:rsid w:val="004377DF"/>
    <w:pPr>
      <w:spacing w:after="0" w:line="240" w:lineRule="auto"/>
    </w:pPr>
  </w:style>
  <w:style w:type="character" w:styleId="CommentReference">
    <w:name w:val="annotation reference"/>
    <w:basedOn w:val="DefaultParagraphFont"/>
    <w:uiPriority w:val="99"/>
    <w:semiHidden/>
    <w:unhideWhenUsed/>
    <w:rsid w:val="00614F4E"/>
    <w:rPr>
      <w:sz w:val="16"/>
      <w:szCs w:val="16"/>
    </w:rPr>
  </w:style>
  <w:style w:type="paragraph" w:styleId="CommentText">
    <w:name w:val="annotation text"/>
    <w:basedOn w:val="Normal"/>
    <w:link w:val="CommentTextChar"/>
    <w:uiPriority w:val="99"/>
    <w:semiHidden/>
    <w:unhideWhenUsed/>
    <w:rsid w:val="00614F4E"/>
    <w:pPr>
      <w:spacing w:line="240" w:lineRule="auto"/>
    </w:pPr>
    <w:rPr>
      <w:sz w:val="20"/>
      <w:szCs w:val="20"/>
    </w:rPr>
  </w:style>
  <w:style w:type="character" w:customStyle="1" w:styleId="CommentTextChar">
    <w:name w:val="Comment Text Char"/>
    <w:basedOn w:val="DefaultParagraphFont"/>
    <w:link w:val="CommentText"/>
    <w:uiPriority w:val="99"/>
    <w:semiHidden/>
    <w:rsid w:val="00614F4E"/>
    <w:rPr>
      <w:sz w:val="20"/>
      <w:szCs w:val="20"/>
    </w:rPr>
  </w:style>
  <w:style w:type="paragraph" w:styleId="CommentSubject">
    <w:name w:val="annotation subject"/>
    <w:basedOn w:val="CommentText"/>
    <w:next w:val="CommentText"/>
    <w:link w:val="CommentSubjectChar"/>
    <w:uiPriority w:val="99"/>
    <w:semiHidden/>
    <w:unhideWhenUsed/>
    <w:rsid w:val="00614F4E"/>
    <w:rPr>
      <w:b/>
      <w:bCs/>
    </w:rPr>
  </w:style>
  <w:style w:type="character" w:customStyle="1" w:styleId="CommentSubjectChar">
    <w:name w:val="Comment Subject Char"/>
    <w:basedOn w:val="CommentTextChar"/>
    <w:link w:val="CommentSubject"/>
    <w:uiPriority w:val="99"/>
    <w:semiHidden/>
    <w:rsid w:val="00614F4E"/>
    <w:rPr>
      <w:b/>
      <w:bCs/>
      <w:sz w:val="20"/>
      <w:szCs w:val="20"/>
    </w:rPr>
  </w:style>
  <w:style w:type="paragraph" w:styleId="BalloonText">
    <w:name w:val="Balloon Text"/>
    <w:basedOn w:val="Normal"/>
    <w:link w:val="BalloonTextChar"/>
    <w:uiPriority w:val="99"/>
    <w:semiHidden/>
    <w:unhideWhenUsed/>
    <w:rsid w:val="00614F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F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17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F55B7-5B9C-6648-996B-14D555657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10</Pages>
  <Words>5800</Words>
  <Characters>33063</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VHIR</Company>
  <LinksUpToDate>false</LinksUpToDate>
  <CharactersWithSpaces>38786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Gallo , Gabriel</dc:creator>
  <cp:keywords/>
  <dc:description/>
  <cp:lastModifiedBy>Gallo , Gabriel</cp:lastModifiedBy>
  <cp:revision>25</cp:revision>
  <dcterms:created xsi:type="dcterms:W3CDTF">2023-12-11T09:48:00Z</dcterms:created>
  <dcterms:modified xsi:type="dcterms:W3CDTF">2024-04-01T17:16:00Z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http://www.zotero.org/styles/experimental-hematology-and-oncology</vt:lpwstr>
  </property>
  <property fmtid="{D5CDD505-2E9C-101B-9397-08002B2CF9AE}" pid="11" name="Mendeley Recent Style Name 4_1">
    <vt:lpwstr>Experimental Hematology &amp; Oncology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http://www.zotero.org/styles/international-journal-of-molecular-sciences</vt:lpwstr>
  </property>
  <property fmtid="{D5CDD505-2E9C-101B-9397-08002B2CF9AE}" pid="15" name="Mendeley Recent Style Name 6_1">
    <vt:lpwstr>International Journal of Molecular Sciences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http://www.zotero.org/styles/pharmaceuticals</vt:lpwstr>
  </property>
  <property fmtid="{D5CDD505-2E9C-101B-9397-08002B2CF9AE}" pid="21" name="Mendeley Recent Style Name 9_1">
    <vt:lpwstr>Pharmaceuticals</vt:lpwstr>
  </property>
  <property fmtid="{D5CDD505-2E9C-101B-9397-08002B2CF9AE}" pid="22" name="Mendeley Document_1">
    <vt:lpwstr>True</vt:lpwstr>
  </property>
  <property fmtid="{D5CDD505-2E9C-101B-9397-08002B2CF9AE}" pid="23" name="Mendeley Unique User Id_1">
    <vt:lpwstr>19847d60-e753-33cc-bb1d-a5d1e8cf3274</vt:lpwstr>
  </property>
  <property fmtid="{D5CDD505-2E9C-101B-9397-08002B2CF9AE}" pid="24" name="Mendeley Citation Style_1">
    <vt:lpwstr>http://www.zotero.org/styles/experimental-hematology-and-oncology</vt:lpwstr>
  </property>
</Properties>
</file>