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BE4D2" w14:textId="77777777" w:rsidR="00DC27C6" w:rsidRPr="00EE3501" w:rsidRDefault="00DC27C6" w:rsidP="00DC27C6">
      <w:pPr>
        <w:pStyle w:val="Title1"/>
        <w:spacing w:line="480" w:lineRule="auto"/>
        <w:rPr>
          <w:rFonts w:ascii="Times New Roman" w:hAnsi="Times New Roman"/>
          <w:sz w:val="21"/>
          <w:szCs w:val="21"/>
          <w:lang w:val="en-US"/>
        </w:rPr>
      </w:pPr>
      <w:bookmarkStart w:id="0" w:name="_Hlk163830699"/>
      <w:r w:rsidRPr="00EE3501">
        <w:rPr>
          <w:rFonts w:ascii="Times New Roman" w:hAnsi="Times New Roman"/>
          <w:sz w:val="21"/>
          <w:szCs w:val="21"/>
          <w:lang w:val="en-US"/>
        </w:rPr>
        <w:t xml:space="preserve">Cell membrane patches transfer CAR molecules from a cellular depot to conventional T cells for constructing innovative </w:t>
      </w:r>
      <w:r w:rsidRPr="00EE3501">
        <w:rPr>
          <w:rFonts w:ascii="Times New Roman" w:eastAsiaTheme="minorEastAsia" w:hAnsi="Times New Roman"/>
          <w:sz w:val="21"/>
          <w:szCs w:val="21"/>
          <w:lang w:val="en-US" w:eastAsia="zh-CN"/>
        </w:rPr>
        <w:t>f</w:t>
      </w:r>
      <w:r w:rsidRPr="00EE3501">
        <w:rPr>
          <w:rFonts w:ascii="Times New Roman" w:hAnsi="Times New Roman"/>
          <w:sz w:val="21"/>
          <w:szCs w:val="21"/>
          <w:lang w:val="en-US"/>
        </w:rPr>
        <w:t>used-CAR-T cells without necessitating genetic modification</w:t>
      </w:r>
    </w:p>
    <w:bookmarkEnd w:id="0"/>
    <w:p w14:paraId="4FE60F6D" w14:textId="77777777" w:rsidR="00DC27C6" w:rsidRPr="00EE3501" w:rsidRDefault="00DC27C6" w:rsidP="00DC27C6">
      <w:pPr>
        <w:spacing w:line="480" w:lineRule="auto"/>
        <w:rPr>
          <w:rFonts w:hint="eastAsia"/>
        </w:rPr>
      </w:pPr>
    </w:p>
    <w:p w14:paraId="47EA98D8" w14:textId="77777777" w:rsidR="00DC27C6" w:rsidRPr="002F6D40" w:rsidRDefault="00DC27C6" w:rsidP="00DC27C6">
      <w:pPr>
        <w:spacing w:line="480" w:lineRule="auto"/>
        <w:rPr>
          <w:rFonts w:ascii="Times New Roman" w:hAnsi="Times New Roman" w:cs="Times New Roman"/>
          <w:szCs w:val="21"/>
        </w:rPr>
      </w:pPr>
      <w:r w:rsidRPr="002F6D40">
        <w:rPr>
          <w:rFonts w:ascii="Times New Roman" w:eastAsia="等线" w:hAnsi="Times New Roman" w:cs="Times New Roman"/>
          <w:szCs w:val="21"/>
        </w:rPr>
        <w:t>Jing Hu</w:t>
      </w:r>
      <w:r w:rsidRPr="002F6D40">
        <w:rPr>
          <w:rFonts w:ascii="Times New Roman" w:eastAsia="等线" w:hAnsi="Times New Roman" w:cs="Times New Roman"/>
          <w:szCs w:val="21"/>
          <w:vertAlign w:val="superscript"/>
        </w:rPr>
        <w:t>1,2</w:t>
      </w:r>
      <w:r w:rsidRPr="002F6D40">
        <w:rPr>
          <w:rFonts w:ascii="Times New Roman" w:eastAsia="等线" w:hAnsi="Times New Roman" w:cs="Times New Roman"/>
          <w:szCs w:val="21"/>
        </w:rPr>
        <w:t>, Luyi Zhong</w:t>
      </w:r>
      <w:r w:rsidRPr="002F6D40">
        <w:rPr>
          <w:rFonts w:ascii="Times New Roman" w:eastAsia="等线" w:hAnsi="Times New Roman" w:cs="Times New Roman"/>
          <w:szCs w:val="21"/>
          <w:vertAlign w:val="superscript"/>
        </w:rPr>
        <w:t>1</w:t>
      </w:r>
      <w:r w:rsidRPr="002F6D40">
        <w:rPr>
          <w:rFonts w:ascii="Times New Roman" w:eastAsia="等线" w:hAnsi="Times New Roman" w:cs="Times New Roman"/>
          <w:szCs w:val="21"/>
        </w:rPr>
        <w:t xml:space="preserve">, </w:t>
      </w:r>
      <w:proofErr w:type="spellStart"/>
      <w:r w:rsidRPr="002F6D40">
        <w:rPr>
          <w:rFonts w:ascii="Times New Roman" w:eastAsia="等线" w:hAnsi="Times New Roman" w:cs="Times New Roman"/>
          <w:szCs w:val="21"/>
        </w:rPr>
        <w:t>Yiqiu</w:t>
      </w:r>
      <w:proofErr w:type="spellEnd"/>
      <w:r w:rsidRPr="002F6D40">
        <w:rPr>
          <w:rFonts w:ascii="Times New Roman" w:eastAsia="等线" w:hAnsi="Times New Roman" w:cs="Times New Roman"/>
          <w:szCs w:val="21"/>
        </w:rPr>
        <w:t xml:space="preserve"> Wang</w:t>
      </w:r>
      <w:r w:rsidRPr="002F6D40">
        <w:rPr>
          <w:rFonts w:ascii="Times New Roman" w:eastAsia="等线" w:hAnsi="Times New Roman" w:cs="Times New Roman"/>
          <w:szCs w:val="21"/>
          <w:vertAlign w:val="superscript"/>
        </w:rPr>
        <w:t>1,2</w:t>
      </w:r>
      <w:r w:rsidRPr="002F6D40">
        <w:rPr>
          <w:rFonts w:ascii="Times New Roman" w:eastAsia="等线" w:hAnsi="Times New Roman" w:cs="Times New Roman"/>
          <w:szCs w:val="21"/>
        </w:rPr>
        <w:t xml:space="preserve">, </w:t>
      </w:r>
      <w:proofErr w:type="spellStart"/>
      <w:r w:rsidRPr="002F6D40">
        <w:rPr>
          <w:rFonts w:ascii="Times New Roman" w:eastAsia="等线" w:hAnsi="Times New Roman" w:cs="Times New Roman"/>
          <w:szCs w:val="21"/>
        </w:rPr>
        <w:t>Shiyi</w:t>
      </w:r>
      <w:proofErr w:type="spellEnd"/>
      <w:r w:rsidRPr="002F6D40">
        <w:rPr>
          <w:rFonts w:ascii="Times New Roman" w:eastAsia="等线" w:hAnsi="Times New Roman" w:cs="Times New Roman"/>
          <w:szCs w:val="21"/>
        </w:rPr>
        <w:t xml:space="preserve"> Hu</w:t>
      </w:r>
      <w:r w:rsidRPr="002F6D40">
        <w:rPr>
          <w:rFonts w:ascii="Times New Roman" w:eastAsia="等线" w:hAnsi="Times New Roman" w:cs="Times New Roman"/>
          <w:szCs w:val="21"/>
          <w:vertAlign w:val="superscript"/>
        </w:rPr>
        <w:t>1,2</w:t>
      </w:r>
      <w:r w:rsidRPr="002F6D40">
        <w:rPr>
          <w:rFonts w:ascii="Times New Roman" w:eastAsia="等线" w:hAnsi="Times New Roman" w:cs="Times New Roman"/>
          <w:szCs w:val="21"/>
        </w:rPr>
        <w:t xml:space="preserve">, </w:t>
      </w:r>
      <w:proofErr w:type="spellStart"/>
      <w:r w:rsidRPr="002F6D40">
        <w:rPr>
          <w:rFonts w:ascii="Times New Roman" w:eastAsia="等线" w:hAnsi="Times New Roman" w:cs="Times New Roman"/>
          <w:szCs w:val="21"/>
        </w:rPr>
        <w:t>Lijiaqi</w:t>
      </w:r>
      <w:proofErr w:type="spellEnd"/>
      <w:r w:rsidRPr="002F6D40">
        <w:rPr>
          <w:rFonts w:ascii="Times New Roman" w:eastAsia="等线" w:hAnsi="Times New Roman" w:cs="Times New Roman"/>
          <w:szCs w:val="21"/>
        </w:rPr>
        <w:t xml:space="preserve"> Zhang</w:t>
      </w:r>
      <w:r w:rsidRPr="002F6D40">
        <w:rPr>
          <w:rFonts w:ascii="Times New Roman" w:eastAsia="等线" w:hAnsi="Times New Roman" w:cs="Times New Roman"/>
          <w:szCs w:val="21"/>
          <w:vertAlign w:val="superscript"/>
        </w:rPr>
        <w:t>1,2</w:t>
      </w:r>
      <w:r w:rsidRPr="002F6D40">
        <w:rPr>
          <w:rFonts w:ascii="Times New Roman" w:eastAsia="等线" w:hAnsi="Times New Roman" w:cs="Times New Roman"/>
          <w:szCs w:val="21"/>
        </w:rPr>
        <w:t>, Qingchang Tian</w:t>
      </w:r>
      <w:r w:rsidRPr="002F6D40">
        <w:rPr>
          <w:rFonts w:ascii="Times New Roman" w:eastAsia="等线" w:hAnsi="Times New Roman" w:cs="Times New Roman"/>
          <w:szCs w:val="21"/>
          <w:vertAlign w:val="superscript"/>
        </w:rPr>
        <w:t>1,2</w:t>
      </w:r>
      <w:r w:rsidRPr="002F6D40">
        <w:rPr>
          <w:rFonts w:ascii="Times New Roman" w:hAnsi="Times New Roman" w:cs="Times New Roman"/>
          <w:szCs w:val="21"/>
          <w:vertAlign w:val="superscript"/>
        </w:rPr>
        <w:t>*</w:t>
      </w:r>
    </w:p>
    <w:p w14:paraId="0DF684EB" w14:textId="77777777" w:rsidR="00DC27C6" w:rsidRPr="00EE3501" w:rsidRDefault="00DC27C6" w:rsidP="00DC27C6">
      <w:pPr>
        <w:pStyle w:val="Adress"/>
        <w:spacing w:line="480" w:lineRule="auto"/>
        <w:ind w:left="0" w:firstLine="0"/>
        <w:rPr>
          <w:rFonts w:ascii="Times New Roman" w:hAnsi="Times New Roman"/>
          <w:sz w:val="21"/>
          <w:szCs w:val="21"/>
        </w:rPr>
      </w:pPr>
    </w:p>
    <w:p w14:paraId="4555D4CE" w14:textId="77777777" w:rsidR="00DC27C6" w:rsidRPr="00EE3501" w:rsidRDefault="00DC27C6" w:rsidP="00DC27C6">
      <w:pPr>
        <w:pStyle w:val="Adress"/>
        <w:spacing w:line="480" w:lineRule="auto"/>
        <w:rPr>
          <w:rFonts w:ascii="Times New Roman" w:eastAsiaTheme="minorEastAsia" w:hAnsi="Times New Roman"/>
          <w:sz w:val="21"/>
          <w:szCs w:val="21"/>
          <w:lang w:val="en-US" w:eastAsia="zh-CN"/>
        </w:rPr>
      </w:pPr>
      <w:r w:rsidRPr="007D3C11">
        <w:rPr>
          <w:rFonts w:ascii="Times New Roman" w:eastAsiaTheme="minorEastAsia" w:hAnsi="Times New Roman" w:hint="eastAsia"/>
          <w:sz w:val="21"/>
          <w:szCs w:val="21"/>
          <w:vertAlign w:val="superscript"/>
          <w:lang w:val="en-US" w:eastAsia="zh-CN"/>
        </w:rPr>
        <w:t>1</w:t>
      </w:r>
      <w:r w:rsidRPr="00EE3501">
        <w:rPr>
          <w:rFonts w:ascii="Times New Roman" w:hAnsi="Times New Roman"/>
          <w:sz w:val="21"/>
          <w:szCs w:val="21"/>
          <w:lang w:val="en-US"/>
        </w:rPr>
        <w:t xml:space="preserve"> School of Pharmacy, Hangzhou Normal University, Hangzhou, Zhejiang 311121, China.</w:t>
      </w:r>
    </w:p>
    <w:p w14:paraId="08D1CDD6" w14:textId="77777777" w:rsidR="00DC27C6" w:rsidRDefault="00DC27C6" w:rsidP="00DC27C6">
      <w:pPr>
        <w:pStyle w:val="Adress"/>
        <w:spacing w:line="480" w:lineRule="auto"/>
        <w:rPr>
          <w:rFonts w:ascii="Times New Roman" w:eastAsiaTheme="minorEastAsia" w:hAnsi="Times New Roman"/>
          <w:sz w:val="21"/>
          <w:szCs w:val="21"/>
          <w:lang w:val="en-US" w:eastAsia="zh-CN"/>
        </w:rPr>
      </w:pPr>
      <w:r w:rsidRPr="007D3C11">
        <w:rPr>
          <w:rFonts w:ascii="Times New Roman" w:eastAsiaTheme="minorEastAsia" w:hAnsi="Times New Roman" w:hint="eastAsia"/>
          <w:sz w:val="21"/>
          <w:szCs w:val="21"/>
          <w:vertAlign w:val="superscript"/>
          <w:lang w:val="en-US" w:eastAsia="zh-CN"/>
        </w:rPr>
        <w:t>2</w:t>
      </w:r>
      <w:r w:rsidRPr="00EE3501">
        <w:rPr>
          <w:rFonts w:ascii="Times New Roman" w:hAnsi="Times New Roman"/>
          <w:sz w:val="21"/>
          <w:szCs w:val="21"/>
          <w:lang w:val="en-US"/>
        </w:rPr>
        <w:t xml:space="preserve"> Key Laboratory of </w:t>
      </w:r>
      <w:proofErr w:type="spellStart"/>
      <w:r w:rsidRPr="00EE3501">
        <w:rPr>
          <w:rFonts w:ascii="Times New Roman" w:hAnsi="Times New Roman"/>
          <w:sz w:val="21"/>
          <w:szCs w:val="21"/>
          <w:lang w:val="en-US"/>
        </w:rPr>
        <w:t>Elemene</w:t>
      </w:r>
      <w:proofErr w:type="spellEnd"/>
      <w:r w:rsidRPr="00EE3501">
        <w:rPr>
          <w:rFonts w:ascii="Times New Roman" w:hAnsi="Times New Roman"/>
          <w:sz w:val="21"/>
          <w:szCs w:val="21"/>
          <w:lang w:val="en-US"/>
        </w:rPr>
        <w:t xml:space="preserve"> Class Anti-Cancer Chinese Medicines; Engineering Laboratory of Development and Application of Traditional Chinese Medicines; Collaborative Innovation Center of Traditional Chinese Medicines of Zhejiang Province</w:t>
      </w:r>
      <w:r w:rsidRPr="00EE3501">
        <w:rPr>
          <w:rFonts w:ascii="Times New Roman" w:eastAsiaTheme="minorEastAsia" w:hAnsi="Times New Roman"/>
          <w:sz w:val="21"/>
          <w:szCs w:val="21"/>
          <w:lang w:val="en-US" w:eastAsia="zh-CN"/>
        </w:rPr>
        <w:t xml:space="preserve">, </w:t>
      </w:r>
      <w:r w:rsidRPr="00EE3501">
        <w:rPr>
          <w:rFonts w:ascii="Times New Roman" w:hAnsi="Times New Roman"/>
          <w:sz w:val="21"/>
          <w:szCs w:val="21"/>
          <w:lang w:val="en-US"/>
        </w:rPr>
        <w:t>Hangzhou Normal University</w:t>
      </w:r>
      <w:r w:rsidRPr="00EE3501">
        <w:rPr>
          <w:rFonts w:ascii="Times New Roman" w:eastAsiaTheme="minorEastAsia" w:hAnsi="Times New Roman"/>
          <w:sz w:val="21"/>
          <w:szCs w:val="21"/>
          <w:lang w:val="en-US" w:eastAsia="zh-CN"/>
        </w:rPr>
        <w:t xml:space="preserve">, </w:t>
      </w:r>
      <w:r w:rsidRPr="00EE3501">
        <w:rPr>
          <w:rFonts w:ascii="Times New Roman" w:hAnsi="Times New Roman"/>
          <w:sz w:val="21"/>
          <w:szCs w:val="21"/>
          <w:lang w:val="en-US"/>
        </w:rPr>
        <w:t>Hangzhou, Zhejiang 311121, China.</w:t>
      </w:r>
    </w:p>
    <w:p w14:paraId="73D24CE7" w14:textId="77777777" w:rsidR="00DC27C6" w:rsidRPr="00133703" w:rsidRDefault="00DC27C6" w:rsidP="00DC27C6">
      <w:pPr>
        <w:pStyle w:val="Adress"/>
        <w:spacing w:line="480" w:lineRule="auto"/>
        <w:rPr>
          <w:rFonts w:ascii="Times New Roman" w:eastAsiaTheme="minorEastAsia" w:hAnsi="Times New Roman"/>
          <w:color w:val="00B0F0"/>
          <w:sz w:val="21"/>
          <w:szCs w:val="21"/>
          <w:lang w:val="en-US" w:eastAsia="zh-CN"/>
        </w:rPr>
      </w:pPr>
      <w:r w:rsidRPr="00133703">
        <w:rPr>
          <w:rFonts w:ascii="Times New Roman" w:eastAsiaTheme="minorEastAsia" w:hAnsi="Times New Roman" w:hint="eastAsia"/>
          <w:color w:val="00B0F0"/>
          <w:sz w:val="21"/>
          <w:szCs w:val="21"/>
          <w:lang w:val="en-US" w:eastAsia="zh-CN"/>
        </w:rPr>
        <w:t>*Correspondence:</w:t>
      </w:r>
    </w:p>
    <w:p w14:paraId="65DD22AA" w14:textId="77777777" w:rsidR="00DC27C6" w:rsidRPr="00133703" w:rsidRDefault="00DC27C6" w:rsidP="00DC27C6">
      <w:pPr>
        <w:pStyle w:val="Adress"/>
        <w:spacing w:line="480" w:lineRule="auto"/>
        <w:rPr>
          <w:rFonts w:ascii="Times New Roman" w:eastAsiaTheme="minorEastAsia" w:hAnsi="Times New Roman"/>
          <w:color w:val="00B0F0"/>
          <w:sz w:val="21"/>
          <w:szCs w:val="21"/>
          <w:lang w:val="en-US" w:eastAsia="zh-CN"/>
        </w:rPr>
      </w:pPr>
      <w:r w:rsidRPr="00133703">
        <w:rPr>
          <w:rFonts w:ascii="Times New Roman" w:hAnsi="Times New Roman"/>
          <w:color w:val="00B0F0"/>
          <w:sz w:val="21"/>
          <w:szCs w:val="21"/>
          <w:lang w:val="en-US"/>
        </w:rPr>
        <w:t>Qingchang Tian</w:t>
      </w:r>
    </w:p>
    <w:p w14:paraId="6F87D18F" w14:textId="77777777" w:rsidR="00DC27C6" w:rsidRPr="00133703" w:rsidRDefault="00DC27C6" w:rsidP="00DC27C6">
      <w:pPr>
        <w:pStyle w:val="Adress"/>
        <w:spacing w:line="480" w:lineRule="auto"/>
        <w:rPr>
          <w:rFonts w:ascii="Times New Roman" w:eastAsiaTheme="minorEastAsia" w:hAnsi="Times New Roman"/>
          <w:color w:val="00B0F0"/>
          <w:sz w:val="21"/>
          <w:szCs w:val="21"/>
          <w:lang w:val="en-US" w:eastAsia="zh-CN"/>
        </w:rPr>
      </w:pPr>
      <w:r w:rsidRPr="00133703">
        <w:rPr>
          <w:rFonts w:ascii="Times New Roman" w:hAnsi="Times New Roman"/>
          <w:color w:val="00B0F0"/>
          <w:sz w:val="21"/>
          <w:szCs w:val="21"/>
          <w:lang w:val="en-US"/>
        </w:rPr>
        <w:t>tianqc@hznu.edu.cn</w:t>
      </w:r>
    </w:p>
    <w:p w14:paraId="72FF5278" w14:textId="77777777" w:rsidR="009845D2" w:rsidRPr="00DC27C6" w:rsidRDefault="009845D2" w:rsidP="009845D2">
      <w:pPr>
        <w:spacing w:line="480" w:lineRule="auto"/>
        <w:rPr>
          <w:rFonts w:hint="eastAsia"/>
        </w:rPr>
      </w:pPr>
    </w:p>
    <w:p w14:paraId="480BCA37" w14:textId="77777777" w:rsidR="009845D2" w:rsidRDefault="009845D2" w:rsidP="009845D2">
      <w:pPr>
        <w:spacing w:line="480" w:lineRule="auto"/>
        <w:rPr>
          <w:rFonts w:hint="eastAsia"/>
        </w:rPr>
      </w:pPr>
    </w:p>
    <w:p w14:paraId="7645A8DF" w14:textId="77777777" w:rsidR="00F05934" w:rsidRDefault="00F05934"/>
    <w:p w14:paraId="3C4A9C76" w14:textId="77777777" w:rsidR="00DC27C6" w:rsidRDefault="00DC27C6"/>
    <w:p w14:paraId="07F675EE" w14:textId="77777777" w:rsidR="00DC27C6" w:rsidRDefault="00DC27C6"/>
    <w:p w14:paraId="0A183A1C" w14:textId="77777777" w:rsidR="00DC27C6" w:rsidRPr="009845D2" w:rsidRDefault="00DC27C6">
      <w:pPr>
        <w:rPr>
          <w:rFonts w:hint="eastAsia"/>
        </w:rPr>
      </w:pPr>
    </w:p>
    <w:p w14:paraId="23462CA3" w14:textId="77777777" w:rsidR="007441F9" w:rsidRDefault="007441F9">
      <w:pPr>
        <w:rPr>
          <w:rFonts w:hint="eastAsia"/>
        </w:rPr>
      </w:pPr>
    </w:p>
    <w:p w14:paraId="50D88E60" w14:textId="77777777" w:rsidR="007441F9" w:rsidRDefault="007441F9">
      <w:pPr>
        <w:rPr>
          <w:rFonts w:hint="eastAsia"/>
        </w:rPr>
      </w:pPr>
    </w:p>
    <w:p w14:paraId="3E540B1B" w14:textId="77777777" w:rsidR="00334F78" w:rsidRDefault="00334F78">
      <w:pPr>
        <w:rPr>
          <w:rFonts w:hint="eastAsia"/>
        </w:rPr>
      </w:pPr>
    </w:p>
    <w:p w14:paraId="7E0CC7F8" w14:textId="77777777" w:rsidR="00334F78" w:rsidRDefault="00334F78">
      <w:pPr>
        <w:rPr>
          <w:rFonts w:hint="eastAsia"/>
        </w:rPr>
      </w:pPr>
    </w:p>
    <w:p w14:paraId="216B5575" w14:textId="77777777" w:rsidR="00334F78" w:rsidRDefault="00334F78">
      <w:pPr>
        <w:rPr>
          <w:rFonts w:hint="eastAsia"/>
        </w:rPr>
      </w:pPr>
    </w:p>
    <w:p w14:paraId="4FE585A4" w14:textId="77777777" w:rsidR="002E7FA6" w:rsidRDefault="002E7FA6" w:rsidP="00933F9F">
      <w:pPr>
        <w:spacing w:line="480" w:lineRule="auto"/>
        <w:rPr>
          <w:rFonts w:ascii="Times New Roman" w:hAnsi="Times New Roman" w:cs="Times New Roman"/>
        </w:rPr>
      </w:pPr>
    </w:p>
    <w:p w14:paraId="5693C10C" w14:textId="77777777" w:rsidR="002E7FA6" w:rsidRPr="0080001A" w:rsidRDefault="002E7FA6" w:rsidP="00933F9F">
      <w:pPr>
        <w:pStyle w:val="P1"/>
        <w:spacing w:line="480" w:lineRule="auto"/>
        <w:rPr>
          <w:rFonts w:ascii="Times New Roman" w:hAnsi="Times New Roman"/>
          <w:b/>
          <w:bCs/>
          <w:sz w:val="21"/>
          <w:szCs w:val="21"/>
          <w:lang w:val="de-DE"/>
        </w:rPr>
      </w:pPr>
      <w:r w:rsidRPr="0080001A">
        <w:rPr>
          <w:rFonts w:ascii="Times New Roman" w:hAnsi="Times New Roman"/>
          <w:b/>
          <w:bCs/>
          <w:sz w:val="21"/>
          <w:szCs w:val="21"/>
        </w:rPr>
        <w:lastRenderedPageBreak/>
        <w:t>Methods</w:t>
      </w:r>
    </w:p>
    <w:p w14:paraId="7D61CAFD" w14:textId="77777777" w:rsidR="002E7FA6" w:rsidRPr="0080001A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t>Materials</w:t>
      </w:r>
    </w:p>
    <w:p w14:paraId="2BB53FC0" w14:textId="32FE1998" w:rsidR="002E7FA6" w:rsidRPr="0080001A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t xml:space="preserve">All DNA primers utilized in the PCR process were synthesized and purified at </w:t>
      </w:r>
      <w:proofErr w:type="spellStart"/>
      <w:r w:rsidRPr="0080001A">
        <w:rPr>
          <w:rFonts w:ascii="Times New Roman" w:hAnsi="Times New Roman" w:cs="Times New Roman"/>
          <w:szCs w:val="21"/>
        </w:rPr>
        <w:t>Tsingke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Biotechnology Co., Ltd. (Beijing, China). The </w:t>
      </w:r>
      <w:proofErr w:type="spellStart"/>
      <w:r w:rsidRPr="0080001A">
        <w:rPr>
          <w:rFonts w:ascii="Times New Roman" w:hAnsi="Times New Roman" w:cs="Times New Roman"/>
          <w:szCs w:val="21"/>
        </w:rPr>
        <w:t>calcein</w:t>
      </w:r>
      <w:proofErr w:type="spellEnd"/>
      <w:r w:rsidRPr="0080001A">
        <w:rPr>
          <w:rFonts w:ascii="Times New Roman" w:hAnsi="Times New Roman" w:cs="Times New Roman"/>
          <w:szCs w:val="21"/>
        </w:rPr>
        <w:t>-AM/PI, Double Stain Kit, 3,3-dioctadecyloxacarbocyanine perchlorate (Dio), and 1,1′-Dioctadecyl-3,3,3′</w:t>
      </w:r>
      <w:r w:rsidRPr="0080001A">
        <w:rPr>
          <w:rFonts w:ascii="Times New Roman" w:hAnsi="Times New Roman" w:cs="Times New Roman"/>
          <w:szCs w:val="21"/>
        </w:rPr>
        <w:t>，</w:t>
      </w:r>
      <w:r w:rsidRPr="0080001A">
        <w:rPr>
          <w:rFonts w:ascii="Times New Roman" w:hAnsi="Times New Roman" w:cs="Times New Roman"/>
          <w:szCs w:val="21"/>
        </w:rPr>
        <w:t>3′-tetramethylindocarbocyanine perchlorate (</w:t>
      </w:r>
      <w:proofErr w:type="spellStart"/>
      <w:r w:rsidRPr="0080001A">
        <w:rPr>
          <w:rFonts w:ascii="Times New Roman" w:hAnsi="Times New Roman" w:cs="Times New Roman"/>
          <w:szCs w:val="21"/>
        </w:rPr>
        <w:t>Dil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) were procured from </w:t>
      </w:r>
      <w:proofErr w:type="spellStart"/>
      <w:r w:rsidRPr="0080001A">
        <w:rPr>
          <w:rFonts w:ascii="Times New Roman" w:hAnsi="Times New Roman" w:cs="Times New Roman"/>
          <w:szCs w:val="21"/>
        </w:rPr>
        <w:t>Yeasen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Biotechnology Co., Ltd. (Shanghai, China). Additionally, 4',6-diamidino-2-phenylindole (DAPI) was sourced from </w:t>
      </w:r>
      <w:proofErr w:type="spellStart"/>
      <w:r w:rsidRPr="0080001A">
        <w:rPr>
          <w:rFonts w:ascii="Times New Roman" w:hAnsi="Times New Roman" w:cs="Times New Roman"/>
          <w:szCs w:val="21"/>
        </w:rPr>
        <w:t>Solarbio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(Beijing, China). The Cell Counting Kit-8 (CCK-8) was obtained from Dalian </w:t>
      </w:r>
      <w:proofErr w:type="spellStart"/>
      <w:r w:rsidRPr="0080001A">
        <w:rPr>
          <w:rFonts w:ascii="Times New Roman" w:hAnsi="Times New Roman" w:cs="Times New Roman"/>
          <w:szCs w:val="21"/>
        </w:rPr>
        <w:t>Meilun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Biotechnology Corporation (Dalian, China), and the LDH release assay was procured from </w:t>
      </w:r>
      <w:proofErr w:type="spellStart"/>
      <w:r w:rsidRPr="0080001A">
        <w:rPr>
          <w:rFonts w:ascii="Times New Roman" w:hAnsi="Times New Roman" w:cs="Times New Roman"/>
          <w:szCs w:val="21"/>
        </w:rPr>
        <w:t>Beyotime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Biotechnology Corporation (Suzhou, China). The Goat Anti-Rabbit IgG H&amp;L (Alexa Fluor® 488) CD3-ζ antibody (6B10.2) was acquired from Santa Cruz (sc-1239, China). TB Green Premix Ex Taq II for PCR was supplied by Takara (Japan), and </w:t>
      </w:r>
      <w:proofErr w:type="spellStart"/>
      <w:r w:rsidRPr="0080001A">
        <w:rPr>
          <w:rFonts w:ascii="Times New Roman" w:hAnsi="Times New Roman" w:cs="Times New Roman"/>
          <w:szCs w:val="21"/>
        </w:rPr>
        <w:t>AxyPrep</w:t>
      </w:r>
      <w:r w:rsidRPr="0080001A">
        <w:rPr>
          <w:rFonts w:ascii="Times New Roman" w:hAnsi="Times New Roman" w:cs="Times New Roman"/>
          <w:szCs w:val="21"/>
          <w:vertAlign w:val="superscript"/>
        </w:rPr>
        <w:t>TM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Multisource Total RNA was purchased from AXYGEN (Santa Clara, CA, USA). The antibodies used for immunofluorescence were provided by Abcam (Cambridge Science Park, UK), whereas flow-related antibodies were obtained from </w:t>
      </w:r>
      <w:proofErr w:type="spellStart"/>
      <w:r w:rsidRPr="0080001A">
        <w:rPr>
          <w:rFonts w:ascii="Times New Roman" w:hAnsi="Times New Roman" w:cs="Times New Roman"/>
          <w:szCs w:val="21"/>
        </w:rPr>
        <w:t>BioLegend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(San Diego, CA, USA). The ELISA kits (IL-2, IFN-γ, TNF-α) were acquired from </w:t>
      </w:r>
      <w:proofErr w:type="spellStart"/>
      <w:r w:rsidRPr="0080001A">
        <w:rPr>
          <w:rFonts w:ascii="Times New Roman" w:hAnsi="Times New Roman" w:cs="Times New Roman"/>
          <w:szCs w:val="21"/>
        </w:rPr>
        <w:t>MultiSciences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Biotech Co., Ltd. (Hangzhou, China).</w:t>
      </w:r>
      <w:r w:rsidR="00C74376">
        <w:rPr>
          <w:rFonts w:ascii="Times New Roman" w:hAnsi="Times New Roman" w:cs="Times New Roman" w:hint="eastAsia"/>
          <w:szCs w:val="21"/>
        </w:rPr>
        <w:t xml:space="preserve"> </w:t>
      </w:r>
      <w:r w:rsidRPr="0080001A">
        <w:rPr>
          <w:rFonts w:ascii="Times New Roman" w:hAnsi="Times New Roman" w:cs="Times New Roman"/>
          <w:szCs w:val="21"/>
        </w:rPr>
        <w:t>All oligonucleotides were dissolved in sterile water and stored at -20 °C.</w:t>
      </w:r>
    </w:p>
    <w:p w14:paraId="635B7BB2" w14:textId="77777777" w:rsidR="002E7FA6" w:rsidRPr="0080001A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t>Cell culture</w:t>
      </w:r>
    </w:p>
    <w:p w14:paraId="47A5386D" w14:textId="77777777" w:rsidR="002E7FA6" w:rsidRDefault="002E7FA6" w:rsidP="00933F9F">
      <w:pPr>
        <w:spacing w:line="480" w:lineRule="auto"/>
        <w:rPr>
          <w:rFonts w:ascii="Times New Roman" w:eastAsia="仿宋" w:hAnsi="Times New Roman" w:cs="Times New Roman"/>
          <w:szCs w:val="21"/>
        </w:rPr>
      </w:pPr>
      <w:r w:rsidRPr="0080001A">
        <w:rPr>
          <w:rFonts w:ascii="Times New Roman" w:eastAsia="仿宋" w:hAnsi="Times New Roman" w:cs="Times New Roman"/>
          <w:szCs w:val="21"/>
        </w:rPr>
        <w:t xml:space="preserve">CAR-293T cells were engineered by the Vigen Biotechnology Corporation (Zhenjiang, China). The cell lines </w:t>
      </w:r>
      <w:proofErr w:type="spellStart"/>
      <w:r w:rsidRPr="0080001A">
        <w:rPr>
          <w:rFonts w:ascii="Times New Roman" w:eastAsia="仿宋" w:hAnsi="Times New Roman" w:cs="Times New Roman"/>
          <w:szCs w:val="21"/>
        </w:rPr>
        <w:t>Jurkat</w:t>
      </w:r>
      <w:proofErr w:type="spellEnd"/>
      <w:r w:rsidRPr="0080001A">
        <w:rPr>
          <w:rFonts w:ascii="Times New Roman" w:eastAsia="仿宋" w:hAnsi="Times New Roman" w:cs="Times New Roman"/>
          <w:szCs w:val="21"/>
        </w:rPr>
        <w:t xml:space="preserve">, A549, MDA-MB-231, and HCT116 cell lines were procured from the Chinese Academy of Science Cell Bank for Type Culture Collection (Shanghai, China). CAR-293T cells were cultivated in Dulbecco's modified Eagle Medium (DMEM) supplemented with 10% fetal </w:t>
      </w:r>
      <w:r w:rsidRPr="0080001A">
        <w:rPr>
          <w:rFonts w:ascii="Times New Roman" w:eastAsia="仿宋" w:hAnsi="Times New Roman" w:cs="Times New Roman"/>
          <w:szCs w:val="21"/>
        </w:rPr>
        <w:lastRenderedPageBreak/>
        <w:t>bovine serum (FBS, ExCell Bio) and 1% penicillin/streptomycin, under conditions of 5% CO</w:t>
      </w:r>
      <w:r w:rsidRPr="0080001A">
        <w:rPr>
          <w:rFonts w:ascii="Times New Roman" w:eastAsia="仿宋" w:hAnsi="Times New Roman" w:cs="Times New Roman"/>
          <w:szCs w:val="21"/>
          <w:vertAlign w:val="subscript"/>
        </w:rPr>
        <w:t>2</w:t>
      </w:r>
      <w:r w:rsidRPr="0080001A">
        <w:rPr>
          <w:rFonts w:ascii="Times New Roman" w:eastAsia="仿宋" w:hAnsi="Times New Roman" w:cs="Times New Roman"/>
          <w:szCs w:val="21"/>
        </w:rPr>
        <w:t xml:space="preserve"> at 37 °C. Similarly, </w:t>
      </w:r>
      <w:proofErr w:type="spellStart"/>
      <w:r w:rsidRPr="0080001A">
        <w:rPr>
          <w:rFonts w:ascii="Times New Roman" w:eastAsia="仿宋" w:hAnsi="Times New Roman" w:cs="Times New Roman"/>
          <w:szCs w:val="21"/>
        </w:rPr>
        <w:t>Jurkat</w:t>
      </w:r>
      <w:proofErr w:type="spellEnd"/>
      <w:r w:rsidRPr="0080001A">
        <w:rPr>
          <w:rFonts w:ascii="Times New Roman" w:eastAsia="仿宋" w:hAnsi="Times New Roman" w:cs="Times New Roman"/>
          <w:szCs w:val="21"/>
        </w:rPr>
        <w:t>, A549, and MDA-MB-231 cells were cultured in RPMI-1640 medium supplemented with 10% FBS and 1% penicillin/streptomycin. HCT116 cells were maintained in McCoy's 5A medium supplemented with 10% FBS and 1% penicillin/streptomycin under identical conditions as described above.</w:t>
      </w:r>
    </w:p>
    <w:p w14:paraId="26999330" w14:textId="5FBFB097" w:rsidR="005B5717" w:rsidRPr="005B5717" w:rsidRDefault="005B5717" w:rsidP="00334F78">
      <w:pPr>
        <w:spacing w:line="480" w:lineRule="auto"/>
        <w:ind w:firstLine="420"/>
        <w:rPr>
          <w:rFonts w:ascii="Times New Roman" w:hAnsi="Times New Roman" w:cs="Times New Roman"/>
          <w:szCs w:val="21"/>
        </w:rPr>
      </w:pPr>
      <w:r w:rsidRPr="00334F78">
        <w:rPr>
          <w:rFonts w:ascii="Times New Roman" w:eastAsia="宋体" w:hAnsi="Times New Roman" w:cs="Times New Roman"/>
          <w:color w:val="FF0000"/>
          <w:szCs w:val="21"/>
        </w:rPr>
        <w:t xml:space="preserve">CAR donor cells (specifically, CAR-293T cells) were engineered by introducing the </w:t>
      </w:r>
      <w:proofErr w:type="spellStart"/>
      <w:r w:rsidRPr="00334F78">
        <w:rPr>
          <w:rFonts w:ascii="Times New Roman" w:eastAsia="宋体" w:hAnsi="Times New Roman" w:cs="Times New Roman"/>
          <w:color w:val="FF0000"/>
          <w:szCs w:val="21"/>
        </w:rPr>
        <w:t>scFv</w:t>
      </w:r>
      <w:proofErr w:type="spellEnd"/>
      <w:r w:rsidRPr="00334F78">
        <w:rPr>
          <w:rFonts w:ascii="Times New Roman" w:eastAsia="宋体" w:hAnsi="Times New Roman" w:cs="Times New Roman"/>
          <w:color w:val="FF0000"/>
          <w:szCs w:val="21"/>
        </w:rPr>
        <w:t>(anti-</w:t>
      </w:r>
      <w:proofErr w:type="spellStart"/>
      <w:r w:rsidRPr="00334F78">
        <w:rPr>
          <w:rFonts w:ascii="Times New Roman" w:eastAsia="宋体" w:hAnsi="Times New Roman" w:cs="Times New Roman"/>
          <w:color w:val="FF0000"/>
          <w:szCs w:val="21"/>
        </w:rPr>
        <w:t>EpCAM</w:t>
      </w:r>
      <w:proofErr w:type="spellEnd"/>
      <w:r w:rsidRPr="00334F78">
        <w:rPr>
          <w:rFonts w:ascii="Times New Roman" w:eastAsia="宋体" w:hAnsi="Times New Roman" w:cs="Times New Roman"/>
          <w:color w:val="FF0000"/>
          <w:szCs w:val="21"/>
        </w:rPr>
        <w:t xml:space="preserve">)-41BB-CD3ζ expression gene into 293T cells. To generate CAR-293T cell membrane patches abundant with CAR "elements", we employed a homogenizer to disrupt CAR-293T cells. Subsequently, we collected the resultant cell membrane patches and determined their particle sizes using a nanoparticle size analyzer. The analysis revealed that the particle sizes of the obtained membrane patches ranged between 1000 and 1500 nm. </w:t>
      </w:r>
    </w:p>
    <w:p w14:paraId="2872827E" w14:textId="77777777" w:rsidR="002E7FA6" w:rsidRPr="0080001A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t>CAR-293T cells and 293T cells were harvested and labeled with the CD3ζ antibody (Alexa Fluor® 488). The fluorescence intensity was then measured using flow cytometry. Proteins from CAR-293T cells and member patches were separated and subjected to 10% SDS–PAGE. Subsequently, they were analyzed by a western immunoblot assay using the CD3ζ antibody.</w:t>
      </w:r>
    </w:p>
    <w:p w14:paraId="4C04EDE5" w14:textId="77777777" w:rsidR="002E7FA6" w:rsidRPr="0080001A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</w:p>
    <w:p w14:paraId="0E31CEB1" w14:textId="6D08EF01" w:rsidR="005B5717" w:rsidRPr="0080001A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t>Preparation of fused-CAR-T</w:t>
      </w:r>
    </w:p>
    <w:p w14:paraId="21DCB368" w14:textId="77777777" w:rsidR="002E7FA6" w:rsidRPr="0080001A" w:rsidRDefault="002E7FA6" w:rsidP="00933F9F">
      <w:pPr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80001A">
        <w:rPr>
          <w:rFonts w:ascii="Times New Roman" w:eastAsia="宋体" w:hAnsi="Times New Roman" w:cs="Times New Roman"/>
          <w:color w:val="000000"/>
          <w:szCs w:val="21"/>
        </w:rPr>
        <w:t>CAR-293T cells were harvested and rinsed twice with PBS to eliminate cellular debris and the culture medium. Subsequently, these cells were suspended in saline and homogenized using a TH-Mini homogenizer within a sterile 1.5 mL EP tube. Following this, cell member patches were isolated via centrifugation before being reconstituted in saline. The resultant product was then subjected to a nanoparticle potential meter for particle size measurements.</w:t>
      </w:r>
    </w:p>
    <w:p w14:paraId="2ADB6AEF" w14:textId="77777777" w:rsidR="002E7FA6" w:rsidRPr="0080001A" w:rsidRDefault="002E7FA6" w:rsidP="00933F9F">
      <w:pPr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lastRenderedPageBreak/>
        <w:t>Jurkat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cells (6*10</w:t>
      </w:r>
      <w:r w:rsidRPr="0080001A">
        <w:rPr>
          <w:rFonts w:ascii="Times New Roman" w:eastAsia="宋体" w:hAnsi="Times New Roman" w:cs="Times New Roman"/>
          <w:color w:val="000000"/>
          <w:szCs w:val="21"/>
          <w:vertAlign w:val="superscript"/>
        </w:rPr>
        <w:t>6</w:t>
      </w:r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) were combined with 600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μL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of CAR-293T cell membrane patches (10 mg/mL). A 1 mL drop of a 50% PEG 1450 fusion agent was added in 1 min at 37 °C to initiate the fusion process. The membrane-fused T cells were allowed to stand for 1 min, after which 1 mL of pre-warmed 10% DMEM was added dropwise within 30 s. This was followed by adding of an additional 3 mL of the same medium for another 30 s. Subsequently, the remaining medium (11 mL) was introduced into the centrifuge tube within 1 min to conclude the fusion of PEG1450. The centrifuge tube was then placed in a centrifuge at 1000 rpm for 5 min. This procedure was repeated two or three times to eliminate any unfused cell membranes, given the cells become fragile post-fusion, and the steps of centrifugal washing and resuspension should be minimized. A complete medium was subsequently added to rehydrate the T cells. To investigate the potential cytotoxicity induced by the fusion agent, we assessed the viability of fused-CAR-T cells using live/dead double staining and CCK8 assays.</w:t>
      </w:r>
    </w:p>
    <w:p w14:paraId="3EA2179C" w14:textId="77777777" w:rsidR="002E7FA6" w:rsidRDefault="002E7FA6" w:rsidP="00933F9F">
      <w:pPr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To assess the fusion efficiency, CAR-293T cell membrane patches were stained with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Dil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(red, 5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μM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), while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Jurkat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cells were stained with Dio (green, 5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μM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>). The presence of membrane-fused T-cells was subsequently detected using laser scanning confocal microscopy and flow cytometry.</w:t>
      </w:r>
    </w:p>
    <w:p w14:paraId="056909C0" w14:textId="0E0BFB82" w:rsidR="005B5717" w:rsidRPr="00CB687B" w:rsidRDefault="005B5717" w:rsidP="005B5717">
      <w:pPr>
        <w:spacing w:line="480" w:lineRule="auto"/>
        <w:ind w:firstLine="420"/>
        <w:rPr>
          <w:rFonts w:ascii="Times New Roman" w:eastAsia="宋体" w:hAnsi="Times New Roman" w:cs="Times New Roman"/>
          <w:szCs w:val="21"/>
        </w:rPr>
      </w:pPr>
      <w:r w:rsidRPr="00934C7D">
        <w:rPr>
          <w:rFonts w:ascii="Times New Roman" w:eastAsia="宋体" w:hAnsi="Times New Roman" w:cs="Times New Roman"/>
          <w:color w:val="FF0000"/>
          <w:szCs w:val="21"/>
        </w:rPr>
        <w:t xml:space="preserve">Unfused </w:t>
      </w:r>
      <w:proofErr w:type="spellStart"/>
      <w:r w:rsidRPr="00934C7D">
        <w:rPr>
          <w:rFonts w:ascii="Times New Roman" w:eastAsia="宋体" w:hAnsi="Times New Roman" w:cs="Times New Roman"/>
          <w:color w:val="FF0000"/>
          <w:szCs w:val="21"/>
        </w:rPr>
        <w:t>Jurkat</w:t>
      </w:r>
      <w:proofErr w:type="spellEnd"/>
      <w:r w:rsidRPr="00934C7D">
        <w:rPr>
          <w:rFonts w:ascii="Times New Roman" w:eastAsia="宋体" w:hAnsi="Times New Roman" w:cs="Times New Roman"/>
          <w:color w:val="FF0000"/>
          <w:szCs w:val="21"/>
        </w:rPr>
        <w:t xml:space="preserve"> cells exhibited only green fluorescence, whereas the successfully constructed fused T cells displayed red and green fluorescence (Figs. </w:t>
      </w:r>
      <w:r w:rsidRPr="00934C7D">
        <w:rPr>
          <w:rFonts w:ascii="Times New Roman" w:eastAsia="宋体" w:hAnsi="Times New Roman" w:cs="Times New Roman" w:hint="eastAsia"/>
          <w:color w:val="FF0000"/>
          <w:szCs w:val="21"/>
        </w:rPr>
        <w:t>S</w:t>
      </w:r>
      <w:r w:rsidRPr="00934C7D">
        <w:rPr>
          <w:rFonts w:ascii="Times New Roman" w:eastAsia="宋体" w:hAnsi="Times New Roman" w:cs="Times New Roman"/>
          <w:color w:val="FF0000"/>
          <w:szCs w:val="21"/>
        </w:rPr>
        <w:t>1E-</w:t>
      </w:r>
      <w:r w:rsidRPr="00934C7D">
        <w:rPr>
          <w:rFonts w:ascii="Times New Roman" w:eastAsia="宋体" w:hAnsi="Times New Roman" w:cs="Times New Roman" w:hint="eastAsia"/>
          <w:color w:val="FF0000"/>
          <w:szCs w:val="21"/>
        </w:rPr>
        <w:t>S</w:t>
      </w:r>
      <w:r w:rsidRPr="00934C7D">
        <w:rPr>
          <w:rFonts w:ascii="Times New Roman" w:eastAsia="宋体" w:hAnsi="Times New Roman" w:cs="Times New Roman"/>
          <w:color w:val="FF0000"/>
          <w:szCs w:val="21"/>
        </w:rPr>
        <w:t>1F). This evidence substantiates the successful construction of fused-CAR-T cel</w:t>
      </w:r>
      <w:r w:rsidRPr="00334F78">
        <w:rPr>
          <w:rFonts w:ascii="Times New Roman" w:eastAsia="宋体" w:hAnsi="Times New Roman" w:cs="Times New Roman"/>
          <w:color w:val="FF0000"/>
          <w:szCs w:val="21"/>
        </w:rPr>
        <w:t>ls.</w:t>
      </w:r>
      <w:r w:rsidR="00D00DC0" w:rsidRPr="00334F78">
        <w:rPr>
          <w:rFonts w:ascii="Times New Roman" w:eastAsia="宋体" w:hAnsi="Times New Roman" w:cs="Times New Roman"/>
          <w:color w:val="FF0000"/>
          <w:szCs w:val="21"/>
        </w:rPr>
        <w:t xml:space="preserve"> Survival rate was analyzed using </w:t>
      </w:r>
      <w:proofErr w:type="spellStart"/>
      <w:r w:rsidR="00D00DC0" w:rsidRPr="00334F78">
        <w:rPr>
          <w:rFonts w:ascii="Times New Roman" w:eastAsia="宋体" w:hAnsi="Times New Roman" w:cs="Times New Roman"/>
          <w:color w:val="FF0000"/>
          <w:szCs w:val="21"/>
        </w:rPr>
        <w:t>calcein</w:t>
      </w:r>
      <w:proofErr w:type="spellEnd"/>
      <w:r w:rsidR="00D00DC0" w:rsidRPr="00334F78">
        <w:rPr>
          <w:rFonts w:ascii="Times New Roman" w:eastAsia="宋体" w:hAnsi="Times New Roman" w:cs="Times New Roman"/>
          <w:color w:val="FF0000"/>
          <w:szCs w:val="21"/>
        </w:rPr>
        <w:t>-AM/PI assay.</w:t>
      </w:r>
      <w:r w:rsidRPr="00334F78">
        <w:rPr>
          <w:rFonts w:ascii="Times New Roman" w:eastAsia="宋体" w:hAnsi="Times New Roman" w:cs="Times New Roman"/>
          <w:color w:val="FF0000"/>
          <w:szCs w:val="21"/>
        </w:rPr>
        <w:t xml:space="preserve"> I</w:t>
      </w:r>
      <w:r w:rsidRPr="00934C7D">
        <w:rPr>
          <w:rFonts w:ascii="Times New Roman" w:eastAsia="宋体" w:hAnsi="Times New Roman" w:cs="Times New Roman"/>
          <w:color w:val="FF0000"/>
          <w:szCs w:val="21"/>
        </w:rPr>
        <w:t xml:space="preserve">mportantly, this cell fusion procedure did not compromise the activity of T cells (Fig. </w:t>
      </w:r>
      <w:r w:rsidRPr="00934C7D">
        <w:rPr>
          <w:rFonts w:ascii="Times New Roman" w:eastAsia="宋体" w:hAnsi="Times New Roman" w:cs="Times New Roman" w:hint="eastAsia"/>
          <w:color w:val="FF0000"/>
          <w:szCs w:val="21"/>
        </w:rPr>
        <w:t>S</w:t>
      </w:r>
      <w:r w:rsidRPr="00934C7D">
        <w:rPr>
          <w:rFonts w:ascii="Times New Roman" w:eastAsia="宋体" w:hAnsi="Times New Roman" w:cs="Times New Roman"/>
          <w:color w:val="FF0000"/>
          <w:szCs w:val="21"/>
        </w:rPr>
        <w:t>1G). These membrane-fused T cells were subsequently designated fused-CAR-T cells.</w:t>
      </w:r>
    </w:p>
    <w:p w14:paraId="12C63433" w14:textId="77777777" w:rsidR="005B5717" w:rsidRPr="005B5717" w:rsidRDefault="005B5717" w:rsidP="00933F9F">
      <w:pPr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</w:p>
    <w:p w14:paraId="6B708BC5" w14:textId="77777777" w:rsidR="002E7FA6" w:rsidRPr="0080001A" w:rsidRDefault="002E7FA6" w:rsidP="00933F9F">
      <w:pPr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</w:p>
    <w:p w14:paraId="57AEE513" w14:textId="77777777" w:rsidR="002E7FA6" w:rsidRPr="0080001A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lastRenderedPageBreak/>
        <w:t>The ability of fused-CAR-T cells to target HCT116 cells</w:t>
      </w:r>
    </w:p>
    <w:p w14:paraId="6B96E1F1" w14:textId="77777777" w:rsidR="002E7FA6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t xml:space="preserve">To assess the targeting capability of fused-CAR-T cells towards HCT116 cells, we stained fused-CAR-T cells with </w:t>
      </w:r>
      <w:proofErr w:type="spellStart"/>
      <w:r w:rsidRPr="0080001A">
        <w:rPr>
          <w:rFonts w:ascii="Times New Roman" w:hAnsi="Times New Roman" w:cs="Times New Roman"/>
          <w:szCs w:val="21"/>
        </w:rPr>
        <w:t>Dil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(red, 5 </w:t>
      </w:r>
      <w:proofErr w:type="spellStart"/>
      <w:r w:rsidRPr="0080001A">
        <w:rPr>
          <w:rFonts w:ascii="Times New Roman" w:hAnsi="Times New Roman" w:cs="Times New Roman"/>
          <w:szCs w:val="21"/>
        </w:rPr>
        <w:t>μM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) and </w:t>
      </w:r>
      <w:proofErr w:type="spellStart"/>
      <w:r w:rsidRPr="0080001A">
        <w:rPr>
          <w:rFonts w:ascii="Times New Roman" w:hAnsi="Times New Roman" w:cs="Times New Roman"/>
          <w:szCs w:val="21"/>
        </w:rPr>
        <w:t>Jurkat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cells with Dio (green, 5 </w:t>
      </w:r>
      <w:proofErr w:type="spellStart"/>
      <w:r w:rsidRPr="0080001A">
        <w:rPr>
          <w:rFonts w:ascii="Times New Roman" w:hAnsi="Times New Roman" w:cs="Times New Roman"/>
          <w:szCs w:val="21"/>
        </w:rPr>
        <w:t>μM</w:t>
      </w:r>
      <w:proofErr w:type="spellEnd"/>
      <w:r w:rsidRPr="0080001A">
        <w:rPr>
          <w:rFonts w:ascii="Times New Roman" w:hAnsi="Times New Roman" w:cs="Times New Roman"/>
          <w:szCs w:val="21"/>
        </w:rPr>
        <w:t>). Both the cell types were co-incubated for 24 h. Subsequently, the cells were washed 3-6 times with PBS. The fluorescence intensity was then measured using laser scanning confocal microscopy and flow cytometry.</w:t>
      </w:r>
    </w:p>
    <w:p w14:paraId="1666C4CD" w14:textId="77777777" w:rsidR="002E7FA6" w:rsidRPr="0080001A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</w:p>
    <w:p w14:paraId="7F98B5D3" w14:textId="77777777" w:rsidR="002E7FA6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t>Activation of fused-CAR T cells</w:t>
      </w:r>
    </w:p>
    <w:p w14:paraId="6904D918" w14:textId="20E4A138" w:rsidR="00D00DC0" w:rsidRPr="0080001A" w:rsidRDefault="00D00DC0" w:rsidP="00933F9F">
      <w:pPr>
        <w:spacing w:line="480" w:lineRule="auto"/>
        <w:rPr>
          <w:rFonts w:ascii="Times New Roman" w:hAnsi="Times New Roman" w:cs="Times New Roman"/>
          <w:szCs w:val="21"/>
        </w:rPr>
      </w:pPr>
      <w:r w:rsidRPr="00CB687B">
        <w:rPr>
          <w:rFonts w:ascii="Times New Roman" w:eastAsia="宋体" w:hAnsi="Times New Roman" w:cs="Times New Roman"/>
          <w:szCs w:val="21"/>
        </w:rPr>
        <w:t>CAR-T cells can be activated by tumor antigens in the presence of exogenous CAR molecules. The activation was marked by the upregulation of CD69 and CD25 whose expressions on fused-CAR-T cells were examined by co-culturing them with HCT116 cells at an effect-to-target (</w:t>
      </w:r>
      <w:proofErr w:type="gramStart"/>
      <w:r w:rsidRPr="00CB687B">
        <w:rPr>
          <w:rFonts w:ascii="Times New Roman" w:eastAsia="宋体" w:hAnsi="Times New Roman" w:cs="Times New Roman"/>
          <w:szCs w:val="21"/>
        </w:rPr>
        <w:t>E:T</w:t>
      </w:r>
      <w:proofErr w:type="gramEnd"/>
      <w:r w:rsidRPr="00CB687B">
        <w:rPr>
          <w:rFonts w:ascii="Times New Roman" w:eastAsia="宋体" w:hAnsi="Times New Roman" w:cs="Times New Roman"/>
          <w:szCs w:val="21"/>
        </w:rPr>
        <w:t>) ratio of 10:1.</w:t>
      </w:r>
    </w:p>
    <w:p w14:paraId="44A7F257" w14:textId="215BE741" w:rsidR="00670868" w:rsidRPr="0080001A" w:rsidRDefault="002E7FA6" w:rsidP="00933F9F">
      <w:pPr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bookmarkStart w:id="1" w:name="_Hlk155025400"/>
      <w:r w:rsidRPr="0080001A">
        <w:rPr>
          <w:rFonts w:ascii="Times New Roman" w:eastAsia="宋体" w:hAnsi="Times New Roman" w:cs="Times New Roman"/>
          <w:color w:val="000000"/>
          <w:szCs w:val="21"/>
        </w:rPr>
        <w:t>Following a 48-h incubation period with HCT116 tumor cell adherent culture, the medium was removed, and the cells were subsequently rinsed once with PBS solution. Subsequently, T cells (5 million cells per well, maintaining an effector-to-target ratio of 1:10) were introduced into each group and incubated for an additional 48 h.</w:t>
      </w:r>
    </w:p>
    <w:p w14:paraId="105E51E5" w14:textId="77777777" w:rsidR="002E7FA6" w:rsidRDefault="002E7FA6" w:rsidP="00933F9F">
      <w:pPr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The aforementioned T cells were collected washed t2-3 times with PBS. Subsequently, the Human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TruStain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FcXTM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blocking reagent was added to each group and incubated at room temperature blocking for 10 min (cell counting was performed at a rate of 5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μL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antibody per million cells). Following this, the samples were centrifuged at 4 °C and 1000 rpm for 2-3 cycles. Then, 200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μL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FITC anti-human CD3 antibody was added to each group (cell counting was performed at a rate of 5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μL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antibody per million cells), incubated in the dark on ice for 30 min, followed by centrifugation at 4°C and 1000 rpm for three cycles. Next, 200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μL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APC anti-human CD69/CD25 antibody was </w:t>
      </w:r>
      <w:r w:rsidRPr="0080001A">
        <w:rPr>
          <w:rFonts w:ascii="Times New Roman" w:eastAsia="宋体" w:hAnsi="Times New Roman" w:cs="Times New Roman"/>
          <w:color w:val="000000"/>
          <w:szCs w:val="21"/>
        </w:rPr>
        <w:lastRenderedPageBreak/>
        <w:t xml:space="preserve">added to each group (cell counting was performed at a rate of 5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μL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antibody per million cells), incubated in the dark on ice for 30 min, followed by centrifugation at 4°C and 1000 rpm for three cycles. Finally, the cells were resuspended in 300 </w:t>
      </w:r>
      <w:proofErr w:type="spellStart"/>
      <w:r w:rsidRPr="0080001A">
        <w:rPr>
          <w:rFonts w:ascii="Times New Roman" w:eastAsia="宋体" w:hAnsi="Times New Roman" w:cs="Times New Roman"/>
          <w:color w:val="000000"/>
          <w:szCs w:val="21"/>
        </w:rPr>
        <w:t>μL</w:t>
      </w:r>
      <w:proofErr w:type="spellEnd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PBS, processed them using a machine, and data were collected using a flow cytometer for analysis. It was essential to collect at least 1x10</w:t>
      </w:r>
      <w:r w:rsidRPr="0080001A">
        <w:rPr>
          <w:rFonts w:ascii="Times New Roman" w:eastAsia="宋体" w:hAnsi="Times New Roman" w:cs="Times New Roman"/>
          <w:color w:val="000000"/>
          <w:szCs w:val="21"/>
          <w:vertAlign w:val="superscript"/>
        </w:rPr>
        <w:t>4</w:t>
      </w:r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cells per sample.</w:t>
      </w:r>
    </w:p>
    <w:p w14:paraId="4F7D74DB" w14:textId="77777777" w:rsidR="00D00DC0" w:rsidRPr="0080001A" w:rsidRDefault="00D00DC0" w:rsidP="00933F9F">
      <w:pPr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</w:p>
    <w:p w14:paraId="0D786E4C" w14:textId="77777777" w:rsidR="002E7FA6" w:rsidRPr="0080001A" w:rsidRDefault="002E7FA6" w:rsidP="00933F9F">
      <w:pPr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80001A">
        <w:rPr>
          <w:rFonts w:ascii="Times New Roman" w:eastAsia="宋体" w:hAnsi="Times New Roman" w:cs="Times New Roman"/>
          <w:color w:val="000000"/>
          <w:szCs w:val="21"/>
        </w:rPr>
        <w:t>Cytotoxicity</w:t>
      </w:r>
      <w:bookmarkEnd w:id="1"/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of fused-CAR-T cells </w:t>
      </w:r>
    </w:p>
    <w:p w14:paraId="602C249C" w14:textId="77777777" w:rsidR="002E7FA6" w:rsidRPr="0052443F" w:rsidRDefault="002E7FA6" w:rsidP="00933F9F">
      <w:pPr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80001A">
        <w:rPr>
          <w:rFonts w:ascii="Times New Roman" w:hAnsi="Times New Roman" w:cs="Times New Roman"/>
          <w:color w:val="000000"/>
          <w:szCs w:val="21"/>
        </w:rPr>
        <w:t xml:space="preserve">The cytotoxicity of fused-CAR-T cells to </w:t>
      </w:r>
      <w:proofErr w:type="spellStart"/>
      <w:r w:rsidRPr="0080001A">
        <w:rPr>
          <w:rFonts w:ascii="Times New Roman" w:hAnsi="Times New Roman" w:cs="Times New Roman"/>
          <w:color w:val="000000"/>
          <w:szCs w:val="21"/>
        </w:rPr>
        <w:t>EpCAM</w:t>
      </w:r>
      <w:proofErr w:type="spellEnd"/>
      <w:r w:rsidRPr="0080001A">
        <w:rPr>
          <w:rFonts w:ascii="Times New Roman" w:hAnsi="Times New Roman" w:cs="Times New Roman"/>
          <w:color w:val="000000"/>
          <w:szCs w:val="21"/>
        </w:rPr>
        <w:t xml:space="preserve">-positive cells was detected using </w:t>
      </w:r>
      <w:r w:rsidRPr="0080001A">
        <w:rPr>
          <w:rFonts w:ascii="Times New Roman" w:eastAsia="宋体" w:hAnsi="Times New Roman" w:cs="Times New Roman"/>
          <w:color w:val="000000"/>
          <w:szCs w:val="21"/>
        </w:rPr>
        <w:t>CCK8 and LDH release assays</w:t>
      </w:r>
      <w:r w:rsidRPr="0080001A">
        <w:rPr>
          <w:rFonts w:ascii="Times New Roman" w:hAnsi="Times New Roman" w:cs="Times New Roman"/>
          <w:color w:val="000000"/>
          <w:szCs w:val="21"/>
        </w:rPr>
        <w:t xml:space="preserve">. Fused-CAR-T cells to </w:t>
      </w:r>
      <w:proofErr w:type="spellStart"/>
      <w:r w:rsidRPr="0080001A">
        <w:rPr>
          <w:rFonts w:ascii="Times New Roman" w:hAnsi="Times New Roman" w:cs="Times New Roman"/>
          <w:color w:val="000000"/>
          <w:szCs w:val="21"/>
        </w:rPr>
        <w:t>EpCAM</w:t>
      </w:r>
      <w:proofErr w:type="spellEnd"/>
      <w:r w:rsidRPr="0080001A">
        <w:rPr>
          <w:rFonts w:ascii="Times New Roman" w:hAnsi="Times New Roman" w:cs="Times New Roman"/>
          <w:color w:val="000000"/>
          <w:szCs w:val="21"/>
        </w:rPr>
        <w:t>-positive cells</w:t>
      </w:r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were co-incubated for 48 h. </w:t>
      </w:r>
      <w:r w:rsidRPr="0080001A">
        <w:rPr>
          <w:rFonts w:ascii="Times New Roman" w:hAnsi="Times New Roman" w:cs="Times New Roman"/>
          <w:color w:val="000000"/>
          <w:szCs w:val="21"/>
        </w:rPr>
        <w:t>Fused-CAR-T cells</w:t>
      </w:r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were washed away with PBS for 3–6 times, and cell activity was detected using CCK8, LDH release and plate clone formation assays. With the continuous increase in the E:T ratios (2:1, 4:1, 8:1, 10:1), the </w:t>
      </w:r>
      <w:r w:rsidRPr="0080001A">
        <w:rPr>
          <w:rFonts w:ascii="Times New Roman" w:hAnsi="Times New Roman" w:cs="Times New Roman"/>
          <w:color w:val="000000"/>
          <w:szCs w:val="21"/>
        </w:rPr>
        <w:t>cytotoxicity</w:t>
      </w:r>
      <w:r w:rsidRPr="0080001A">
        <w:rPr>
          <w:rFonts w:ascii="Times New Roman" w:eastAsia="宋体" w:hAnsi="Times New Roman" w:cs="Times New Roman"/>
          <w:color w:val="000000"/>
          <w:szCs w:val="21"/>
        </w:rPr>
        <w:t xml:space="preserve"> of fused-CAR-T cells was also detected by CCK8 and LDH release assays.</w:t>
      </w:r>
    </w:p>
    <w:p w14:paraId="18856E0F" w14:textId="77777777" w:rsidR="002E7FA6" w:rsidRPr="0080001A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t>Measurement of marker gene expression</w:t>
      </w:r>
    </w:p>
    <w:p w14:paraId="2EE8C1A4" w14:textId="1E91093C" w:rsidR="00D00DC0" w:rsidRPr="00334F78" w:rsidRDefault="00D00DC0" w:rsidP="00933F9F">
      <w:pPr>
        <w:spacing w:line="480" w:lineRule="auto"/>
        <w:rPr>
          <w:rFonts w:ascii="Times New Roman" w:hAnsi="Times New Roman" w:cs="Times New Roman"/>
          <w:color w:val="FF0000"/>
        </w:rPr>
      </w:pPr>
      <w:r w:rsidRPr="00934C7D">
        <w:rPr>
          <w:rFonts w:ascii="Times New Roman" w:hAnsi="Times New Roman" w:cs="Times New Roman"/>
          <w:color w:val="FF0000"/>
        </w:rPr>
        <w:t xml:space="preserve">This study examined the expression of cytokines in </w:t>
      </w:r>
      <w:r w:rsidR="00CA03FD" w:rsidRPr="00CA03FD">
        <w:rPr>
          <w:rFonts w:ascii="Times New Roman" w:hAnsi="Times New Roman" w:cs="Times New Roman" w:hint="eastAsia"/>
          <w:color w:val="00B050"/>
        </w:rPr>
        <w:t>f</w:t>
      </w:r>
      <w:r w:rsidRPr="00CA03FD">
        <w:rPr>
          <w:rFonts w:ascii="Times New Roman" w:hAnsi="Times New Roman" w:cs="Times New Roman"/>
          <w:color w:val="00B050"/>
        </w:rPr>
        <w:t>used-CAR-T</w:t>
      </w:r>
      <w:r w:rsidRPr="00934C7D">
        <w:rPr>
          <w:rFonts w:ascii="Times New Roman" w:hAnsi="Times New Roman" w:cs="Times New Roman"/>
          <w:color w:val="FF0000"/>
        </w:rPr>
        <w:t xml:space="preserve"> cells both pre and </w:t>
      </w:r>
      <w:bookmarkStart w:id="2" w:name="OLE_LINK4"/>
      <w:r w:rsidRPr="00934C7D">
        <w:rPr>
          <w:rFonts w:ascii="Times New Roman" w:hAnsi="Times New Roman" w:cs="Times New Roman"/>
          <w:color w:val="FF0000"/>
        </w:rPr>
        <w:t>post coculture</w:t>
      </w:r>
      <w:r w:rsidR="00F6136C" w:rsidRPr="00934C7D">
        <w:rPr>
          <w:rFonts w:ascii="Times New Roman" w:hAnsi="Times New Roman" w:cs="Times New Roman" w:hint="eastAsia"/>
          <w:color w:val="FF0000"/>
        </w:rPr>
        <w:t xml:space="preserve"> (</w:t>
      </w:r>
      <w:r w:rsidR="00E14F6D">
        <w:rPr>
          <w:rFonts w:ascii="Times New Roman" w:hAnsi="Times New Roman" w:cs="Times New Roman" w:hint="eastAsia"/>
          <w:color w:val="00B050"/>
        </w:rPr>
        <w:t>c</w:t>
      </w:r>
      <w:r w:rsidR="00F6136C" w:rsidRPr="00CA03FD">
        <w:rPr>
          <w:rFonts w:ascii="Times New Roman" w:hAnsi="Times New Roman" w:cs="Times New Roman" w:hint="eastAsia"/>
          <w:color w:val="00B050"/>
        </w:rPr>
        <w:t>o-</w:t>
      </w:r>
      <w:r w:rsidR="00CA03FD" w:rsidRPr="00CA03FD">
        <w:rPr>
          <w:rFonts w:ascii="Times New Roman" w:hAnsi="Times New Roman" w:cs="Times New Roman" w:hint="eastAsia"/>
          <w:color w:val="00B050"/>
        </w:rPr>
        <w:t>f</w:t>
      </w:r>
      <w:r w:rsidR="00F6136C" w:rsidRPr="00CA03FD">
        <w:rPr>
          <w:rFonts w:ascii="Times New Roman" w:hAnsi="Times New Roman" w:cs="Times New Roman"/>
          <w:color w:val="00B050"/>
        </w:rPr>
        <w:t>used-CAR-T</w:t>
      </w:r>
      <w:r w:rsidR="00F6136C" w:rsidRPr="00934C7D">
        <w:rPr>
          <w:rFonts w:ascii="Times New Roman" w:hAnsi="Times New Roman" w:cs="Times New Roman" w:hint="eastAsia"/>
          <w:color w:val="FF0000"/>
        </w:rPr>
        <w:t>)</w:t>
      </w:r>
      <w:r w:rsidRPr="00934C7D">
        <w:rPr>
          <w:rFonts w:ascii="Times New Roman" w:hAnsi="Times New Roman" w:cs="Times New Roman"/>
          <w:color w:val="FF0000"/>
        </w:rPr>
        <w:t xml:space="preserve"> with HCT116 cells</w:t>
      </w:r>
      <w:bookmarkEnd w:id="2"/>
      <w:r w:rsidRPr="00934C7D">
        <w:rPr>
          <w:rFonts w:ascii="Times New Roman" w:hAnsi="Times New Roman" w:cs="Times New Roman"/>
          <w:color w:val="FF0000"/>
        </w:rPr>
        <w:t>.</w:t>
      </w:r>
      <w:r w:rsidRPr="00934C7D">
        <w:rPr>
          <w:rFonts w:ascii="Times New Roman" w:hAnsi="Times New Roman" w:cs="Times New Roman" w:hint="eastAsia"/>
          <w:color w:val="FF0000"/>
        </w:rPr>
        <w:t xml:space="preserve"> PCR and </w:t>
      </w:r>
      <w:r w:rsidRPr="00934C7D">
        <w:rPr>
          <w:rFonts w:ascii="Times New Roman" w:hAnsi="Times New Roman" w:cs="Times New Roman"/>
          <w:color w:val="FF0000"/>
        </w:rPr>
        <w:t>ELISA analysis further confirmed a notable rise in the concentrations of IL-2, IFN-γ</w:t>
      </w:r>
      <w:r w:rsidRPr="00934C7D">
        <w:rPr>
          <w:rFonts w:ascii="Times New Roman" w:hAnsi="Times New Roman" w:cs="Times New Roman" w:hint="eastAsia"/>
          <w:color w:val="FF0000"/>
        </w:rPr>
        <w:t xml:space="preserve">, </w:t>
      </w:r>
      <w:r w:rsidRPr="00934C7D">
        <w:rPr>
          <w:rFonts w:ascii="Times New Roman" w:hAnsi="Times New Roman" w:cs="Times New Roman"/>
          <w:color w:val="FF0000"/>
        </w:rPr>
        <w:t>TNF-α in supernatant of fused-CAR-T cells</w:t>
      </w:r>
      <w:r w:rsidRPr="00934C7D">
        <w:rPr>
          <w:rFonts w:ascii="Times New Roman" w:hAnsi="Times New Roman" w:cs="Times New Roman" w:hint="eastAsia"/>
          <w:color w:val="FF0000"/>
        </w:rPr>
        <w:t>.</w:t>
      </w:r>
    </w:p>
    <w:p w14:paraId="51DBF2D1" w14:textId="46580B11" w:rsidR="002E7FA6" w:rsidRPr="0080001A" w:rsidRDefault="002E7FA6" w:rsidP="00933F9F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t xml:space="preserve">In this study, the </w:t>
      </w:r>
      <w:r w:rsidRPr="0080001A">
        <w:rPr>
          <w:rFonts w:ascii="Times New Roman" w:hAnsi="Times New Roman" w:cs="Times New Roman"/>
          <w:color w:val="000000"/>
          <w:szCs w:val="21"/>
        </w:rPr>
        <w:t>fused-CAR-T cell</w:t>
      </w:r>
      <w:r w:rsidRPr="0080001A">
        <w:rPr>
          <w:rFonts w:ascii="Times New Roman" w:hAnsi="Times New Roman" w:cs="Times New Roman"/>
          <w:szCs w:val="21"/>
        </w:rPr>
        <w:t xml:space="preserve"> gene expression was measured using </w:t>
      </w:r>
      <w:proofErr w:type="spellStart"/>
      <w:r w:rsidRPr="0080001A">
        <w:rPr>
          <w:rFonts w:ascii="Times New Roman" w:hAnsi="Times New Roman" w:cs="Times New Roman"/>
          <w:szCs w:val="21"/>
        </w:rPr>
        <w:t>qRT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-PCR. RNA was isolated from the cells using the Multisource Total RNA kit and reverse-transcribed into cDNA using </w:t>
      </w:r>
      <w:proofErr w:type="spellStart"/>
      <w:r w:rsidRPr="0080001A">
        <w:rPr>
          <w:rFonts w:ascii="Times New Roman" w:hAnsi="Times New Roman" w:cs="Times New Roman"/>
          <w:szCs w:val="21"/>
        </w:rPr>
        <w:t>HiScript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Ⅲ </w:t>
      </w:r>
      <w:proofErr w:type="spellStart"/>
      <w:r w:rsidRPr="0080001A">
        <w:rPr>
          <w:rFonts w:ascii="Times New Roman" w:hAnsi="Times New Roman" w:cs="Times New Roman"/>
          <w:szCs w:val="21"/>
        </w:rPr>
        <w:t>qRT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80001A">
        <w:rPr>
          <w:rFonts w:ascii="Times New Roman" w:hAnsi="Times New Roman" w:cs="Times New Roman"/>
          <w:szCs w:val="21"/>
        </w:rPr>
        <w:t>SuperMix</w:t>
      </w:r>
      <w:proofErr w:type="spellEnd"/>
      <w:r w:rsidRPr="0080001A">
        <w:rPr>
          <w:rFonts w:ascii="Times New Roman" w:hAnsi="Times New Roman" w:cs="Times New Roman"/>
          <w:szCs w:val="21"/>
        </w:rPr>
        <w:t xml:space="preserve">. The genes were quantified by </w:t>
      </w:r>
      <w:proofErr w:type="spellStart"/>
      <w:r w:rsidRPr="0080001A">
        <w:rPr>
          <w:rFonts w:ascii="Times New Roman" w:hAnsi="Times New Roman" w:cs="Times New Roman"/>
          <w:szCs w:val="21"/>
        </w:rPr>
        <w:t>qRT</w:t>
      </w:r>
      <w:proofErr w:type="spellEnd"/>
      <w:r w:rsidRPr="0080001A">
        <w:rPr>
          <w:rFonts w:ascii="Times New Roman" w:hAnsi="Times New Roman" w:cs="Times New Roman"/>
          <w:szCs w:val="21"/>
        </w:rPr>
        <w:t>-PCR using specific primers (</w:t>
      </w:r>
      <w:r w:rsidRPr="0023387A">
        <w:rPr>
          <w:rFonts w:ascii="Times New Roman" w:hAnsi="Times New Roman" w:cs="Times New Roman"/>
          <w:color w:val="FF0000"/>
          <w:szCs w:val="21"/>
        </w:rPr>
        <w:t xml:space="preserve">Table </w:t>
      </w:r>
      <w:r w:rsidR="0023387A" w:rsidRPr="0023387A">
        <w:rPr>
          <w:rFonts w:ascii="Times New Roman" w:hAnsi="Times New Roman" w:cs="Times New Roman" w:hint="eastAsia"/>
          <w:color w:val="FF0000"/>
          <w:szCs w:val="21"/>
        </w:rPr>
        <w:t>s</w:t>
      </w:r>
      <w:r w:rsidRPr="0023387A">
        <w:rPr>
          <w:rFonts w:ascii="Times New Roman" w:hAnsi="Times New Roman" w:cs="Times New Roman"/>
          <w:color w:val="FF0000"/>
          <w:szCs w:val="21"/>
        </w:rPr>
        <w:t>1</w:t>
      </w:r>
      <w:r w:rsidRPr="0080001A"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 w:hint="eastAsia"/>
        </w:rPr>
        <w:t>T</w:t>
      </w:r>
      <w:r w:rsidRPr="0087247E">
        <w:rPr>
          <w:rFonts w:ascii="Times New Roman" w:hAnsi="Times New Roman" w:cs="Times New Roman"/>
        </w:rPr>
        <w:t>he concentrations of IL-2, IFN-γ</w:t>
      </w:r>
      <w:r>
        <w:rPr>
          <w:rFonts w:ascii="Times New Roman" w:hAnsi="Times New Roman" w:cs="Times New Roman" w:hint="eastAsia"/>
        </w:rPr>
        <w:t xml:space="preserve">, </w:t>
      </w:r>
      <w:r w:rsidRPr="0087247E">
        <w:rPr>
          <w:rFonts w:ascii="Times New Roman" w:hAnsi="Times New Roman" w:cs="Times New Roman"/>
        </w:rPr>
        <w:t xml:space="preserve">TNF-α </w:t>
      </w:r>
      <w:r>
        <w:rPr>
          <w:rFonts w:ascii="Times New Roman" w:hAnsi="Times New Roman" w:cs="Times New Roman" w:hint="eastAsia"/>
        </w:rPr>
        <w:t xml:space="preserve">was </w:t>
      </w:r>
      <w:r w:rsidRPr="000E5CCE">
        <w:rPr>
          <w:rFonts w:ascii="Times New Roman" w:hAnsi="Times New Roman" w:cs="Times New Roman"/>
        </w:rPr>
        <w:t xml:space="preserve">confirmed </w:t>
      </w:r>
      <w:r>
        <w:rPr>
          <w:rFonts w:ascii="Times New Roman" w:hAnsi="Times New Roman" w:cs="Times New Roman" w:hint="eastAsia"/>
        </w:rPr>
        <w:t xml:space="preserve">by </w:t>
      </w:r>
      <w:r w:rsidRPr="0087247E">
        <w:rPr>
          <w:rFonts w:ascii="Times New Roman" w:hAnsi="Times New Roman" w:cs="Times New Roman"/>
        </w:rPr>
        <w:t xml:space="preserve">ELISA </w:t>
      </w:r>
      <w:r>
        <w:rPr>
          <w:rFonts w:ascii="Times New Roman" w:hAnsi="Times New Roman" w:cs="Times New Roman" w:hint="eastAsia"/>
        </w:rPr>
        <w:t>kit.</w:t>
      </w:r>
    </w:p>
    <w:p w14:paraId="7DFF0CB2" w14:textId="593A0DB6" w:rsidR="002E7FA6" w:rsidRPr="0080001A" w:rsidRDefault="002E7FA6" w:rsidP="002E7FA6">
      <w:pPr>
        <w:pStyle w:val="a7"/>
        <w:keepNext w:val="0"/>
        <w:spacing w:line="480" w:lineRule="auto"/>
        <w:jc w:val="left"/>
        <w:rPr>
          <w:szCs w:val="21"/>
        </w:rPr>
      </w:pPr>
      <w:r w:rsidRPr="0023387A">
        <w:rPr>
          <w:b/>
          <w:bCs/>
          <w:color w:val="FF0000"/>
          <w:szCs w:val="21"/>
        </w:rPr>
        <w:t xml:space="preserve">Table </w:t>
      </w:r>
      <w:r w:rsidR="0023387A" w:rsidRPr="0023387A">
        <w:rPr>
          <w:rFonts w:hint="eastAsia"/>
          <w:b/>
          <w:bCs/>
          <w:color w:val="FF0000"/>
          <w:szCs w:val="21"/>
        </w:rPr>
        <w:t>s</w:t>
      </w:r>
      <w:r w:rsidRPr="0023387A">
        <w:rPr>
          <w:b/>
          <w:bCs/>
          <w:color w:val="FF0000"/>
          <w:szCs w:val="21"/>
        </w:rPr>
        <w:t>1</w:t>
      </w:r>
      <w:r w:rsidRPr="0080001A">
        <w:rPr>
          <w:b/>
          <w:bCs/>
          <w:szCs w:val="21"/>
        </w:rPr>
        <w:t>.</w:t>
      </w:r>
      <w:r w:rsidRPr="0080001A">
        <w:rPr>
          <w:szCs w:val="21"/>
        </w:rPr>
        <w:t xml:space="preserve"> The primers used for RT-PCR.</w:t>
      </w:r>
    </w:p>
    <w:tbl>
      <w:tblPr>
        <w:tblW w:w="850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3878"/>
        <w:gridCol w:w="2551"/>
      </w:tblGrid>
      <w:tr w:rsidR="002E7FA6" w:rsidRPr="0080001A" w14:paraId="66178DF4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C970186" w14:textId="77777777" w:rsidR="002E7FA6" w:rsidRPr="0080001A" w:rsidRDefault="002E7FA6" w:rsidP="00D35379">
            <w:pPr>
              <w:pStyle w:val="a9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lastRenderedPageBreak/>
              <w:t>Primer</w:t>
            </w:r>
          </w:p>
        </w:tc>
        <w:tc>
          <w:tcPr>
            <w:tcW w:w="38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8224B13" w14:textId="77777777" w:rsidR="002E7FA6" w:rsidRPr="0080001A" w:rsidRDefault="002E7FA6" w:rsidP="00D35379">
            <w:pPr>
              <w:pStyle w:val="a9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Sequence</w:t>
            </w:r>
            <w:r w:rsidRPr="0080001A">
              <w:rPr>
                <w:rFonts w:eastAsia="宋体"/>
              </w:rPr>
              <w:t>（</w:t>
            </w:r>
            <w:r w:rsidRPr="0080001A">
              <w:rPr>
                <w:rFonts w:eastAsia="宋体"/>
              </w:rPr>
              <w:t>5</w:t>
            </w:r>
            <w:proofErr w:type="gramStart"/>
            <w:r w:rsidRPr="0080001A">
              <w:rPr>
                <w:rFonts w:eastAsia="宋体"/>
              </w:rPr>
              <w:t>’</w:t>
            </w:r>
            <w:proofErr w:type="gramEnd"/>
            <w:r w:rsidRPr="0080001A">
              <w:rPr>
                <w:rFonts w:eastAsia="宋体"/>
              </w:rPr>
              <w:t>-3</w:t>
            </w:r>
            <w:proofErr w:type="gramStart"/>
            <w:r w:rsidRPr="0080001A">
              <w:rPr>
                <w:rFonts w:eastAsia="宋体"/>
              </w:rPr>
              <w:t>’</w:t>
            </w:r>
            <w:proofErr w:type="gramEnd"/>
            <w:r w:rsidRPr="0080001A">
              <w:rPr>
                <w:rFonts w:eastAsia="宋体"/>
              </w:rPr>
              <w:t>）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6A6BFC4" w14:textId="77777777" w:rsidR="002E7FA6" w:rsidRPr="0080001A" w:rsidRDefault="002E7FA6" w:rsidP="00D35379">
            <w:pPr>
              <w:pStyle w:val="a9"/>
              <w:spacing w:line="480" w:lineRule="auto"/>
              <w:rPr>
                <w:rFonts w:eastAsia="宋体"/>
              </w:rPr>
            </w:pPr>
            <w:r w:rsidRPr="0080001A">
              <w:t>Source</w:t>
            </w:r>
          </w:p>
        </w:tc>
      </w:tr>
      <w:tr w:rsidR="002E7FA6" w:rsidRPr="0080001A" w14:paraId="2A24F74F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DBBFC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GAPDH (Forward)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16D12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CAATGACCCCTTCATTGACC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1F9B1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4273BD8E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05CDA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GAPDH (Reverse</w:t>
            </w:r>
            <w:r w:rsidRPr="0080001A">
              <w:rPr>
                <w:rFonts w:eastAsia="宋体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6F827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GACAAGCTTCCCGTTCTCAG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ACBA8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291DF08A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BBC09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TNF-α (Forward</w:t>
            </w:r>
            <w:r w:rsidRPr="0080001A">
              <w:rPr>
                <w:rFonts w:eastAsia="宋体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9A21A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CAGGCGGTGCTTGTTC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C8A99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33DA3FED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1B99E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TNF-α (Reverse</w:t>
            </w:r>
            <w:r w:rsidRPr="0080001A">
              <w:rPr>
                <w:rFonts w:eastAsia="宋体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ADA48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TAGGAGACGGCGATGC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4EDF9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4BD2F837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3321A" w14:textId="77777777" w:rsidR="002E7FA6" w:rsidRPr="0080001A" w:rsidRDefault="002E7FA6" w:rsidP="00D35379">
            <w:pPr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80001A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IFNγ</w:t>
            </w:r>
            <w:proofErr w:type="spellEnd"/>
            <w:r w:rsidRPr="0080001A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 xml:space="preserve"> (Forward</w:t>
            </w:r>
            <w:r w:rsidRPr="0080001A"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5E276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CTGTTACTGCCAGGACCCAT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DD2F6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0AD28990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92F71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  <w:color w:val="000000"/>
                <w:kern w:val="0"/>
                <w:lang w:bidi="ar"/>
              </w:rPr>
              <w:t>IFNγ</w:t>
            </w:r>
            <w:proofErr w:type="spellEnd"/>
            <w:r w:rsidRPr="0080001A">
              <w:rPr>
                <w:rFonts w:eastAsia="宋体"/>
                <w:color w:val="000000"/>
                <w:kern w:val="0"/>
                <w:lang w:bidi="ar"/>
              </w:rPr>
              <w:t xml:space="preserve"> (Reverse</w:t>
            </w:r>
            <w:r w:rsidRPr="0080001A">
              <w:rPr>
                <w:rFonts w:eastAsia="宋体"/>
                <w:color w:val="000000"/>
                <w:kern w:val="0"/>
                <w:lang w:bidi="ar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DFD9B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TCTGTCACTCTCCTCTTTCCAA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71162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5A0AC9EC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40C30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IL-2 (Forward</w:t>
            </w:r>
            <w:r w:rsidRPr="0080001A">
              <w:rPr>
                <w:rFonts w:eastAsia="宋体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47417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AGACCCAGGGACTTAATCAG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66A5A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216FE856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14AA8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IL-2 (Reverse</w:t>
            </w:r>
            <w:r w:rsidRPr="0080001A">
              <w:rPr>
                <w:rFonts w:eastAsia="宋体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A0CC3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ACAATGGTTGCTGTCTCATC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866E2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1CD3A63B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0E503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IL-10 (Forward</w:t>
            </w:r>
            <w:r w:rsidRPr="0080001A">
              <w:rPr>
                <w:rFonts w:eastAsia="宋体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E7FA7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GACTTTAAGGGTTACCTGGGTTG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40229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08D7B7C9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CD5E9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IL-10 (Reverse</w:t>
            </w:r>
            <w:r w:rsidRPr="0080001A">
              <w:rPr>
                <w:rFonts w:eastAsia="宋体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7397D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TCACATGCGCCTTGATGTCTG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55557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3F976069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250F1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IL-6 (Forward</w:t>
            </w:r>
            <w:r w:rsidRPr="0080001A">
              <w:rPr>
                <w:rFonts w:eastAsia="宋体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80CDD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ACTCACCTCTTCAGAACGAATTG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22F90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0FCBCC5D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A5F5B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IL-6 (Reverse</w:t>
            </w:r>
            <w:r w:rsidRPr="0080001A">
              <w:rPr>
                <w:rFonts w:eastAsia="宋体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8FD46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CCATCTTTGGAAGGTTCAGGTTG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950C1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50E777AB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BD3DE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IL-4 (Forward</w:t>
            </w:r>
            <w:r w:rsidRPr="0080001A">
              <w:rPr>
                <w:rFonts w:eastAsia="宋体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BBB72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 xml:space="preserve">CCAACTGCTTCCCCCTCTG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2EF6A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  <w:tr w:rsidR="002E7FA6" w:rsidRPr="0080001A" w14:paraId="19234CC2" w14:textId="77777777" w:rsidTr="00D35379">
        <w:trPr>
          <w:trHeight w:val="408"/>
          <w:jc w:val="center"/>
        </w:trPr>
        <w:tc>
          <w:tcPr>
            <w:tcW w:w="2075" w:type="dxa"/>
            <w:tcBorders>
              <w:top w:val="single" w:sz="4" w:space="0" w:color="auto"/>
            </w:tcBorders>
            <w:vAlign w:val="center"/>
          </w:tcPr>
          <w:p w14:paraId="5AE6C3DF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IL-4 (Reverse</w:t>
            </w:r>
            <w:r w:rsidRPr="0080001A">
              <w:rPr>
                <w:rFonts w:eastAsia="宋体"/>
              </w:rPr>
              <w:t>）</w:t>
            </w:r>
          </w:p>
        </w:tc>
        <w:tc>
          <w:tcPr>
            <w:tcW w:w="3878" w:type="dxa"/>
            <w:tcBorders>
              <w:top w:val="single" w:sz="4" w:space="0" w:color="auto"/>
            </w:tcBorders>
            <w:vAlign w:val="center"/>
          </w:tcPr>
          <w:p w14:paraId="61F5194D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r w:rsidRPr="0080001A">
              <w:rPr>
                <w:rFonts w:eastAsia="宋体"/>
              </w:rPr>
              <w:t>TCTGTTACGGTCAACTCGGTG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2D89044" w14:textId="77777777" w:rsidR="002E7FA6" w:rsidRPr="0080001A" w:rsidRDefault="002E7FA6" w:rsidP="00D35379">
            <w:pPr>
              <w:pStyle w:val="ab"/>
              <w:spacing w:line="480" w:lineRule="auto"/>
              <w:rPr>
                <w:rFonts w:eastAsia="宋体"/>
              </w:rPr>
            </w:pPr>
            <w:proofErr w:type="spellStart"/>
            <w:r w:rsidRPr="0080001A">
              <w:rPr>
                <w:rFonts w:eastAsia="宋体"/>
              </w:rPr>
              <w:t>Tsingke</w:t>
            </w:r>
            <w:proofErr w:type="spellEnd"/>
            <w:r w:rsidRPr="0080001A">
              <w:rPr>
                <w:rFonts w:eastAsia="宋体"/>
              </w:rPr>
              <w:t xml:space="preserve"> Biotechnology Co.</w:t>
            </w:r>
          </w:p>
        </w:tc>
      </w:tr>
    </w:tbl>
    <w:p w14:paraId="7A446FF6" w14:textId="77777777" w:rsidR="002E7FA6" w:rsidRPr="0080001A" w:rsidRDefault="002E7FA6" w:rsidP="002E7FA6">
      <w:pPr>
        <w:spacing w:line="480" w:lineRule="auto"/>
        <w:rPr>
          <w:rFonts w:ascii="Times New Roman" w:hAnsi="Times New Roman" w:cs="Times New Roman"/>
          <w:szCs w:val="21"/>
        </w:rPr>
      </w:pPr>
    </w:p>
    <w:p w14:paraId="2E882721" w14:textId="77777777" w:rsidR="002E7FA6" w:rsidRPr="0080001A" w:rsidRDefault="002E7FA6" w:rsidP="002E7FA6">
      <w:pPr>
        <w:spacing w:line="480" w:lineRule="auto"/>
        <w:rPr>
          <w:rFonts w:ascii="Times New Roman" w:hAnsi="Times New Roman" w:cs="Times New Roman"/>
          <w:szCs w:val="21"/>
        </w:rPr>
      </w:pPr>
    </w:p>
    <w:p w14:paraId="3851F315" w14:textId="77777777" w:rsidR="002E7FA6" w:rsidRPr="0080001A" w:rsidRDefault="002E7FA6" w:rsidP="002E7FA6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t>Statistical analysis</w:t>
      </w:r>
    </w:p>
    <w:p w14:paraId="3AE73B28" w14:textId="32B65321" w:rsidR="002E7FA6" w:rsidRPr="0080001A" w:rsidRDefault="002E7FA6" w:rsidP="002E7FA6">
      <w:pPr>
        <w:spacing w:line="480" w:lineRule="auto"/>
        <w:rPr>
          <w:rFonts w:ascii="Times New Roman" w:hAnsi="Times New Roman" w:cs="Times New Roman"/>
          <w:szCs w:val="21"/>
        </w:rPr>
      </w:pPr>
      <w:r w:rsidRPr="0080001A">
        <w:rPr>
          <w:rFonts w:ascii="Times New Roman" w:hAnsi="Times New Roman" w:cs="Times New Roman"/>
          <w:szCs w:val="21"/>
        </w:rPr>
        <w:t xml:space="preserve">All statistical analyses were performed using the GraphPad Prism 9.0. All quantitative results are presented as mean ± standard deviation (SD) of at least three independent replicates. Statistical significance between groups was assessed using a one-way analysis of variance (ANOVA). </w:t>
      </w:r>
      <w:r w:rsidR="005D72D5" w:rsidRPr="005D72D5">
        <w:rPr>
          <w:rFonts w:ascii="Times New Roman" w:hAnsi="Times New Roman" w:cs="Times New Roman"/>
          <w:color w:val="FF0000"/>
          <w:szCs w:val="21"/>
        </w:rPr>
        <w:t xml:space="preserve">The threshold for statistical significance was </w:t>
      </w:r>
      <w:r w:rsidR="005D72D5" w:rsidRPr="005D72D5">
        <w:rPr>
          <w:rFonts w:ascii="Times New Roman" w:hAnsi="Times New Roman" w:cs="Times New Roman"/>
          <w:i/>
          <w:iCs/>
          <w:color w:val="FF0000"/>
          <w:szCs w:val="21"/>
        </w:rPr>
        <w:t>P</w:t>
      </w:r>
      <w:r w:rsidR="005D72D5" w:rsidRPr="005D72D5">
        <w:rPr>
          <w:rFonts w:ascii="Times New Roman" w:hAnsi="Times New Roman" w:cs="Times New Roman"/>
          <w:color w:val="FF0000"/>
          <w:szCs w:val="21"/>
        </w:rPr>
        <w:t xml:space="preserve"> &lt; 0.05</w:t>
      </w:r>
      <w:r w:rsidRPr="0080001A">
        <w:rPr>
          <w:rFonts w:ascii="Times New Roman" w:hAnsi="Times New Roman" w:cs="Times New Roman"/>
          <w:szCs w:val="21"/>
        </w:rPr>
        <w:t>.</w:t>
      </w:r>
    </w:p>
    <w:p w14:paraId="53D52ECB" w14:textId="77777777" w:rsidR="002E7FA6" w:rsidRDefault="002E7FA6" w:rsidP="002E7FA6">
      <w:pPr>
        <w:spacing w:line="480" w:lineRule="auto"/>
        <w:rPr>
          <w:rFonts w:ascii="Times New Roman" w:hAnsi="Times New Roman" w:cs="Times New Roman"/>
        </w:rPr>
      </w:pPr>
    </w:p>
    <w:p w14:paraId="0AFAFEDB" w14:textId="73551992" w:rsidR="002E7FA6" w:rsidRPr="004B15C9" w:rsidRDefault="00F6136C" w:rsidP="002E7F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2C2E7B5" wp14:editId="30A80DA9">
            <wp:extent cx="5274310" cy="3308985"/>
            <wp:effectExtent l="0" t="0" r="0" b="0"/>
            <wp:docPr id="1388028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28640" name="图片 13880286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FCF9B" w14:textId="75A31319" w:rsidR="002E7FA6" w:rsidRPr="00A35640" w:rsidRDefault="002E7FA6" w:rsidP="002E7FA6">
      <w:pPr>
        <w:spacing w:afterLines="200" w:after="624" w:line="360" w:lineRule="auto"/>
        <w:ind w:firstLine="420"/>
        <w:rPr>
          <w:rFonts w:ascii="Times New Roman" w:hAnsi="Times New Roman" w:cs="Times New Roman"/>
          <w:color w:val="FF0000"/>
          <w:sz w:val="18"/>
          <w:szCs w:val="18"/>
        </w:rPr>
      </w:pPr>
      <w:r w:rsidRPr="004B15C9">
        <w:rPr>
          <w:rFonts w:ascii="Times New Roman" w:hAnsi="Times New Roman" w:cs="Times New Roman"/>
          <w:b/>
          <w:bCs/>
          <w:sz w:val="18"/>
          <w:szCs w:val="18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  <w:r w:rsidRPr="004B15C9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4B15C9">
        <w:rPr>
          <w:rFonts w:ascii="Times New Roman" w:hAnsi="Times New Roman" w:cs="Times New Roman"/>
          <w:sz w:val="18"/>
          <w:szCs w:val="18"/>
        </w:rPr>
        <w:t xml:space="preserve"> Cell membrane patches transfer CAR molecules for </w:t>
      </w:r>
      <w:bookmarkStart w:id="3" w:name="OLE_LINK3"/>
      <w:bookmarkStart w:id="4" w:name="OLE_LINK2"/>
      <w:r w:rsidRPr="004B15C9">
        <w:rPr>
          <w:rFonts w:ascii="Times New Roman" w:hAnsi="Times New Roman" w:cs="Times New Roman"/>
          <w:sz w:val="18"/>
          <w:szCs w:val="18"/>
        </w:rPr>
        <w:t>constructing</w:t>
      </w:r>
      <w:bookmarkEnd w:id="3"/>
      <w:r w:rsidRPr="004B15C9">
        <w:rPr>
          <w:rFonts w:ascii="Times New Roman" w:hAnsi="Times New Roman" w:cs="Times New Roman"/>
          <w:sz w:val="18"/>
          <w:szCs w:val="18"/>
        </w:rPr>
        <w:t xml:space="preserve"> </w:t>
      </w:r>
      <w:bookmarkEnd w:id="4"/>
      <w:r w:rsidRPr="004B15C9">
        <w:rPr>
          <w:rFonts w:ascii="Times New Roman" w:hAnsi="Times New Roman" w:cs="Times New Roman"/>
          <w:sz w:val="18"/>
          <w:szCs w:val="18"/>
        </w:rPr>
        <w:t xml:space="preserve">fused-CAR T cells. (A) Illustration of </w:t>
      </w:r>
      <w:r w:rsidRPr="00CA03FD">
        <w:rPr>
          <w:rFonts w:ascii="Times New Roman" w:hAnsi="Times New Roman" w:cs="Times New Roman"/>
          <w:color w:val="00B050"/>
          <w:sz w:val="18"/>
          <w:szCs w:val="18"/>
        </w:rPr>
        <w:t>fused-CAR T</w:t>
      </w:r>
      <w:r w:rsidRPr="004B15C9">
        <w:rPr>
          <w:rFonts w:ascii="Times New Roman" w:hAnsi="Times New Roman" w:cs="Times New Roman"/>
          <w:sz w:val="18"/>
          <w:szCs w:val="18"/>
        </w:rPr>
        <w:t xml:space="preserve"> cells. These cells</w:t>
      </w:r>
      <w:r w:rsidRPr="004B15C9" w:rsidDel="009B437D">
        <w:rPr>
          <w:rFonts w:ascii="Times New Roman" w:hAnsi="Times New Roman" w:cs="Times New Roman"/>
          <w:sz w:val="18"/>
          <w:szCs w:val="18"/>
        </w:rPr>
        <w:t xml:space="preserve"> </w:t>
      </w:r>
      <w:r w:rsidRPr="004B15C9">
        <w:rPr>
          <w:rFonts w:ascii="Times New Roman" w:hAnsi="Times New Roman" w:cs="Times New Roman"/>
          <w:sz w:val="18"/>
          <w:szCs w:val="18"/>
        </w:rPr>
        <w:t xml:space="preserve">were constructed with membrane patches and activated for cytotoxicity. (B-C) CAR-293T cells </w:t>
      </w:r>
      <w:bookmarkStart w:id="5" w:name="_Hlk154914862"/>
      <w:r w:rsidRPr="004B15C9">
        <w:rPr>
          <w:rFonts w:ascii="Times New Roman" w:hAnsi="Times New Roman" w:cs="Times New Roman"/>
          <w:sz w:val="18"/>
          <w:szCs w:val="18"/>
        </w:rPr>
        <w:t>were detected by flow cytometry</w:t>
      </w:r>
      <w:bookmarkEnd w:id="5"/>
      <w:r w:rsidRPr="004B15C9">
        <w:rPr>
          <w:rFonts w:ascii="Times New Roman" w:hAnsi="Times New Roman" w:cs="Times New Roman"/>
          <w:sz w:val="18"/>
          <w:szCs w:val="18"/>
        </w:rPr>
        <w:t xml:space="preserve"> using CD3ζ antibody (red)</w:t>
      </w:r>
      <w:r w:rsidR="0043771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3771D" w:rsidRPr="00A35640">
        <w:rPr>
          <w:rFonts w:ascii="Times New Roman" w:hAnsi="Times New Roman" w:cs="Times New Roman"/>
          <w:color w:val="FF0000"/>
          <w:sz w:val="18"/>
          <w:szCs w:val="18"/>
        </w:rPr>
        <w:t>(n = 3, mean ± SD), ***</w:t>
      </w:r>
      <w:r w:rsidR="0043771D" w:rsidRPr="00A35640">
        <w:rPr>
          <w:rFonts w:ascii="Times New Roman" w:hAnsi="Times New Roman" w:cs="Times New Roman"/>
          <w:i/>
          <w:iCs/>
          <w:color w:val="FF0000"/>
          <w:sz w:val="18"/>
          <w:szCs w:val="18"/>
        </w:rPr>
        <w:t>P</w:t>
      </w:r>
      <w:r w:rsidR="0043771D" w:rsidRPr="00A35640">
        <w:rPr>
          <w:rFonts w:ascii="Times New Roman" w:hAnsi="Times New Roman" w:cs="Times New Roman"/>
          <w:color w:val="FF0000"/>
          <w:sz w:val="18"/>
          <w:szCs w:val="18"/>
        </w:rPr>
        <w:t xml:space="preserve"> &lt; 0.0</w:t>
      </w:r>
      <w:r w:rsidR="0043771D">
        <w:rPr>
          <w:rFonts w:ascii="Times New Roman" w:hAnsi="Times New Roman" w:cs="Times New Roman" w:hint="eastAsia"/>
          <w:color w:val="FF0000"/>
          <w:sz w:val="18"/>
          <w:szCs w:val="18"/>
        </w:rPr>
        <w:t>01</w:t>
      </w:r>
      <w:r w:rsidR="0043771D" w:rsidRPr="00A35640">
        <w:rPr>
          <w:rFonts w:ascii="Times New Roman" w:hAnsi="Times New Roman" w:cs="Times New Roman"/>
          <w:color w:val="FF0000"/>
          <w:sz w:val="18"/>
          <w:szCs w:val="18"/>
        </w:rPr>
        <w:t>, ****</w:t>
      </w:r>
      <w:r w:rsidR="0043771D" w:rsidRPr="00A35640">
        <w:rPr>
          <w:rFonts w:ascii="Times New Roman" w:hAnsi="Times New Roman" w:cs="Times New Roman"/>
          <w:i/>
          <w:iCs/>
          <w:color w:val="FF0000"/>
          <w:sz w:val="18"/>
          <w:szCs w:val="18"/>
        </w:rPr>
        <w:t>P</w:t>
      </w:r>
      <w:r w:rsidR="0043771D" w:rsidRPr="00A35640">
        <w:rPr>
          <w:rFonts w:ascii="Times New Roman" w:hAnsi="Times New Roman" w:cs="Times New Roman"/>
          <w:color w:val="FF0000"/>
          <w:sz w:val="18"/>
          <w:szCs w:val="18"/>
        </w:rPr>
        <w:t xml:space="preserve"> &lt; 0.0001</w:t>
      </w:r>
      <w:r w:rsidRPr="004B15C9">
        <w:rPr>
          <w:rFonts w:ascii="Times New Roman" w:hAnsi="Times New Roman" w:cs="Times New Roman"/>
          <w:sz w:val="18"/>
          <w:szCs w:val="18"/>
        </w:rPr>
        <w:t>. (D) CAR molecules in the CAR-293T membrane were assayed using immunoblotting. (E, F) The fluorescence signal of membrane-fused T cells</w:t>
      </w:r>
      <w:r w:rsidRPr="004B15C9" w:rsidDel="00CC724B">
        <w:rPr>
          <w:rFonts w:ascii="Times New Roman" w:hAnsi="Times New Roman" w:cs="Times New Roman"/>
          <w:sz w:val="18"/>
          <w:szCs w:val="18"/>
        </w:rPr>
        <w:t xml:space="preserve"> </w:t>
      </w:r>
      <w:r w:rsidRPr="004B15C9">
        <w:rPr>
          <w:rFonts w:ascii="Times New Roman" w:hAnsi="Times New Roman" w:cs="Times New Roman"/>
          <w:sz w:val="18"/>
          <w:szCs w:val="18"/>
        </w:rPr>
        <w:t>was monitored by confocal microscopy and flow cytometry.</w:t>
      </w:r>
      <w:r w:rsidRPr="00A35640">
        <w:rPr>
          <w:rFonts w:ascii="Times New Roman" w:hAnsi="Times New Roman" w:cs="Times New Roman"/>
          <w:color w:val="FF0000"/>
          <w:sz w:val="18"/>
          <w:szCs w:val="18"/>
        </w:rPr>
        <w:t xml:space="preserve"> (G) </w:t>
      </w:r>
      <w:bookmarkStart w:id="6" w:name="_Hlk171434033"/>
      <w:r w:rsidRPr="00A35640">
        <w:rPr>
          <w:rFonts w:ascii="Times New Roman" w:hAnsi="Times New Roman" w:cs="Times New Roman"/>
          <w:color w:val="FF0000"/>
          <w:sz w:val="18"/>
          <w:szCs w:val="18"/>
        </w:rPr>
        <w:t xml:space="preserve">Survival rate was analyzed using </w:t>
      </w:r>
      <w:proofErr w:type="spellStart"/>
      <w:r w:rsidRPr="00A35640">
        <w:rPr>
          <w:rFonts w:ascii="Times New Roman" w:hAnsi="Times New Roman" w:cs="Times New Roman"/>
          <w:color w:val="FF0000"/>
          <w:sz w:val="18"/>
          <w:szCs w:val="18"/>
        </w:rPr>
        <w:t>calcein</w:t>
      </w:r>
      <w:proofErr w:type="spellEnd"/>
      <w:r w:rsidRPr="00A35640">
        <w:rPr>
          <w:rFonts w:ascii="Times New Roman" w:hAnsi="Times New Roman" w:cs="Times New Roman"/>
          <w:color w:val="FF0000"/>
          <w:sz w:val="18"/>
          <w:szCs w:val="18"/>
        </w:rPr>
        <w:t>-AM/PI assay</w:t>
      </w:r>
      <w:bookmarkEnd w:id="6"/>
      <w:r w:rsidRPr="00A35640">
        <w:rPr>
          <w:rFonts w:ascii="Times New Roman" w:hAnsi="Times New Roman" w:cs="Times New Roman"/>
          <w:color w:val="FF0000"/>
          <w:sz w:val="18"/>
          <w:szCs w:val="18"/>
        </w:rPr>
        <w:t xml:space="preserve"> (n = 3, mean ± SD); ns, no significant difference (vs. </w:t>
      </w:r>
      <w:proofErr w:type="spellStart"/>
      <w:r w:rsidRPr="00A35640">
        <w:rPr>
          <w:rFonts w:ascii="Times New Roman" w:hAnsi="Times New Roman" w:cs="Times New Roman"/>
          <w:color w:val="FF0000"/>
          <w:sz w:val="18"/>
          <w:szCs w:val="18"/>
        </w:rPr>
        <w:t>Jurkat</w:t>
      </w:r>
      <w:proofErr w:type="spellEnd"/>
      <w:r w:rsidRPr="00A35640">
        <w:rPr>
          <w:rFonts w:ascii="Times New Roman" w:hAnsi="Times New Roman" w:cs="Times New Roman"/>
          <w:color w:val="FF0000"/>
          <w:sz w:val="18"/>
          <w:szCs w:val="18"/>
        </w:rPr>
        <w:t xml:space="preserve">). The scale bar is 1000 </w:t>
      </w:r>
      <w:proofErr w:type="spellStart"/>
      <w:r w:rsidRPr="00A35640">
        <w:rPr>
          <w:rFonts w:ascii="Times New Roman" w:hAnsi="Times New Roman" w:cs="Times New Roman"/>
          <w:color w:val="FF0000"/>
          <w:sz w:val="18"/>
          <w:szCs w:val="18"/>
        </w:rPr>
        <w:t>μm</w:t>
      </w:r>
      <w:proofErr w:type="spellEnd"/>
      <w:r w:rsidRPr="00A35640">
        <w:rPr>
          <w:rFonts w:ascii="Times New Roman" w:hAnsi="Times New Roman" w:cs="Times New Roman"/>
          <w:color w:val="FF0000"/>
          <w:sz w:val="18"/>
          <w:szCs w:val="18"/>
        </w:rPr>
        <w:t>.</w:t>
      </w:r>
    </w:p>
    <w:p w14:paraId="19182BF5" w14:textId="5DCCB80A" w:rsidR="002E7FA6" w:rsidRPr="004B15C9" w:rsidRDefault="002011FB" w:rsidP="002E7FA6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1BD50B8" wp14:editId="76A61B5E">
            <wp:extent cx="5274310" cy="5671185"/>
            <wp:effectExtent l="0" t="0" r="0" b="0"/>
            <wp:docPr id="5685328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32870" name="图片 5685328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864" w14:textId="5D207630" w:rsidR="002E7FA6" w:rsidRPr="006D6508" w:rsidRDefault="002E7FA6" w:rsidP="002E7FA6">
      <w:pPr>
        <w:rPr>
          <w:rFonts w:ascii="Times New Roman" w:hAnsi="Times New Roman" w:cs="Times New Roman"/>
          <w:sz w:val="18"/>
          <w:szCs w:val="18"/>
        </w:rPr>
      </w:pPr>
      <w:r w:rsidRPr="006D6508">
        <w:rPr>
          <w:rFonts w:ascii="Times New Roman" w:hAnsi="Times New Roman" w:cs="Times New Roman"/>
          <w:b/>
          <w:bCs/>
          <w:sz w:val="18"/>
          <w:szCs w:val="18"/>
        </w:rPr>
        <w:t>Fig</w:t>
      </w:r>
      <w:r w:rsidR="00043FDB">
        <w:rPr>
          <w:rFonts w:ascii="Times New Roman" w:hAnsi="Times New Roman" w:cs="Times New Roman" w:hint="eastAsia"/>
          <w:b/>
          <w:bCs/>
          <w:sz w:val="18"/>
          <w:szCs w:val="18"/>
        </w:rPr>
        <w:t>.</w:t>
      </w:r>
      <w:r w:rsidRPr="006D650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FA5689">
        <w:rPr>
          <w:rFonts w:ascii="Times New Roman" w:hAnsi="Times New Roman" w:cs="Times New Roman" w:hint="eastAsia"/>
          <w:b/>
          <w:bCs/>
          <w:sz w:val="18"/>
          <w:szCs w:val="18"/>
        </w:rPr>
        <w:t>S2</w:t>
      </w:r>
      <w:r w:rsidRPr="006D6508">
        <w:rPr>
          <w:rFonts w:ascii="Times New Roman" w:hAnsi="Times New Roman" w:cs="Times New Roman"/>
          <w:sz w:val="18"/>
          <w:szCs w:val="18"/>
        </w:rPr>
        <w:t xml:space="preserve"> The expression of cytokines</w:t>
      </w:r>
      <w:r w:rsidRPr="00CA03FD">
        <w:rPr>
          <w:rFonts w:ascii="Times New Roman" w:hAnsi="Times New Roman" w:cs="Times New Roman"/>
          <w:color w:val="00B050"/>
          <w:sz w:val="18"/>
          <w:szCs w:val="18"/>
        </w:rPr>
        <w:t xml:space="preserve"> </w:t>
      </w:r>
      <w:r w:rsidR="00CA03FD" w:rsidRPr="00CA03FD">
        <w:rPr>
          <w:rFonts w:ascii="Times New Roman" w:hAnsi="Times New Roman" w:cs="Times New Roman" w:hint="eastAsia"/>
          <w:color w:val="00B050"/>
          <w:sz w:val="18"/>
          <w:szCs w:val="18"/>
        </w:rPr>
        <w:t>by</w:t>
      </w:r>
      <w:r w:rsidRPr="00CA03FD">
        <w:rPr>
          <w:rFonts w:ascii="Times New Roman" w:hAnsi="Times New Roman" w:cs="Times New Roman"/>
          <w:color w:val="00B050"/>
          <w:sz w:val="18"/>
          <w:szCs w:val="18"/>
        </w:rPr>
        <w:t xml:space="preserve"> </w:t>
      </w:r>
      <w:r w:rsidR="00E14F6D">
        <w:rPr>
          <w:rFonts w:ascii="Times New Roman" w:hAnsi="Times New Roman" w:cs="Times New Roman" w:hint="eastAsia"/>
          <w:color w:val="00B050"/>
          <w:sz w:val="18"/>
          <w:szCs w:val="18"/>
        </w:rPr>
        <w:t>c</w:t>
      </w:r>
      <w:r w:rsidR="00CA03FD" w:rsidRPr="00CA03FD">
        <w:rPr>
          <w:rFonts w:ascii="Times New Roman" w:hAnsi="Times New Roman" w:cs="Times New Roman" w:hint="eastAsia"/>
          <w:color w:val="00B050"/>
          <w:sz w:val="18"/>
          <w:szCs w:val="18"/>
        </w:rPr>
        <w:t>o-f</w:t>
      </w:r>
      <w:r w:rsidRPr="00CA03FD">
        <w:rPr>
          <w:rFonts w:ascii="Times New Roman" w:hAnsi="Times New Roman" w:cs="Times New Roman"/>
          <w:color w:val="00B050"/>
          <w:sz w:val="18"/>
          <w:szCs w:val="18"/>
        </w:rPr>
        <w:t>used-CAR-T</w:t>
      </w:r>
      <w:r w:rsidRPr="006D6508">
        <w:rPr>
          <w:rFonts w:ascii="Times New Roman" w:hAnsi="Times New Roman" w:cs="Times New Roman"/>
          <w:sz w:val="18"/>
          <w:szCs w:val="18"/>
        </w:rPr>
        <w:t xml:space="preserve"> cells. </w:t>
      </w:r>
      <w:r w:rsidRPr="00A35640">
        <w:rPr>
          <w:rFonts w:ascii="Times New Roman" w:hAnsi="Times New Roman" w:cs="Times New Roman"/>
          <w:color w:val="FF0000"/>
          <w:sz w:val="18"/>
          <w:szCs w:val="18"/>
        </w:rPr>
        <w:t>(A-C) The gene expressions of IFN-γ, TNF-α, IL-2 in T cells were measured by PCR, (n = 3, mean ± SD), ns, no significant difference, *</w:t>
      </w:r>
      <w:r w:rsidRPr="00A35640">
        <w:rPr>
          <w:rFonts w:ascii="Times New Roman" w:hAnsi="Times New Roman" w:cs="Times New Roman"/>
          <w:i/>
          <w:iCs/>
          <w:color w:val="FF0000"/>
          <w:sz w:val="18"/>
          <w:szCs w:val="18"/>
        </w:rPr>
        <w:t>P</w:t>
      </w:r>
      <w:r w:rsidRPr="00A35640">
        <w:rPr>
          <w:rFonts w:ascii="Times New Roman" w:hAnsi="Times New Roman" w:cs="Times New Roman"/>
          <w:color w:val="FF0000"/>
          <w:sz w:val="18"/>
          <w:szCs w:val="18"/>
        </w:rPr>
        <w:t xml:space="preserve"> &lt; 0.05</w:t>
      </w:r>
      <w:r w:rsidRPr="00934C7D">
        <w:rPr>
          <w:rFonts w:ascii="Times New Roman" w:hAnsi="Times New Roman" w:cs="Times New Roman"/>
          <w:color w:val="FF0000"/>
          <w:sz w:val="18"/>
          <w:szCs w:val="18"/>
        </w:rPr>
        <w:t xml:space="preserve">, </w:t>
      </w:r>
      <w:r w:rsidR="001B3C10" w:rsidRPr="00934C7D">
        <w:rPr>
          <w:rFonts w:ascii="Times New Roman" w:hAnsi="Times New Roman" w:cs="Times New Roman"/>
          <w:color w:val="FF0000"/>
          <w:sz w:val="18"/>
          <w:szCs w:val="18"/>
        </w:rPr>
        <w:t xml:space="preserve">** </w:t>
      </w:r>
      <w:r w:rsidR="001B3C10" w:rsidRPr="00934C7D">
        <w:rPr>
          <w:rFonts w:ascii="Times New Roman" w:hAnsi="Times New Roman" w:cs="Times New Roman"/>
          <w:i/>
          <w:iCs/>
          <w:color w:val="FF0000"/>
          <w:sz w:val="18"/>
          <w:szCs w:val="18"/>
        </w:rPr>
        <w:t>P</w:t>
      </w:r>
      <w:r w:rsidR="001B3C10" w:rsidRPr="00934C7D">
        <w:rPr>
          <w:rFonts w:ascii="Times New Roman" w:hAnsi="Times New Roman" w:cs="Times New Roman"/>
          <w:color w:val="FF0000"/>
          <w:sz w:val="18"/>
          <w:szCs w:val="18"/>
        </w:rPr>
        <w:t xml:space="preserve"> &lt; 0.01</w:t>
      </w:r>
      <w:r w:rsidR="001B3C10" w:rsidRPr="00934C7D">
        <w:rPr>
          <w:rFonts w:ascii="Times New Roman" w:hAnsi="Times New Roman" w:cs="Times New Roman" w:hint="eastAsia"/>
          <w:color w:val="FF0000"/>
          <w:sz w:val="18"/>
          <w:szCs w:val="18"/>
        </w:rPr>
        <w:t xml:space="preserve">, </w:t>
      </w:r>
      <w:r w:rsidRPr="00934C7D">
        <w:rPr>
          <w:rFonts w:ascii="Times New Roman" w:hAnsi="Times New Roman" w:cs="Times New Roman"/>
          <w:color w:val="FF0000"/>
          <w:sz w:val="18"/>
          <w:szCs w:val="18"/>
        </w:rPr>
        <w:t>*</w:t>
      </w:r>
      <w:r w:rsidRPr="00A35640">
        <w:rPr>
          <w:rFonts w:ascii="Times New Roman" w:hAnsi="Times New Roman" w:cs="Times New Roman"/>
          <w:color w:val="FF0000"/>
          <w:sz w:val="18"/>
          <w:szCs w:val="18"/>
        </w:rPr>
        <w:t>***</w:t>
      </w:r>
      <w:r w:rsidRPr="00A35640">
        <w:rPr>
          <w:rFonts w:ascii="Times New Roman" w:hAnsi="Times New Roman" w:cs="Times New Roman"/>
          <w:i/>
          <w:iCs/>
          <w:color w:val="FF0000"/>
          <w:sz w:val="18"/>
          <w:szCs w:val="18"/>
        </w:rPr>
        <w:t>P</w:t>
      </w:r>
      <w:r w:rsidRPr="00A35640">
        <w:rPr>
          <w:rFonts w:ascii="Times New Roman" w:hAnsi="Times New Roman" w:cs="Times New Roman"/>
          <w:color w:val="FF0000"/>
          <w:sz w:val="18"/>
          <w:szCs w:val="18"/>
        </w:rPr>
        <w:t xml:space="preserve"> &lt; 0.0001.</w:t>
      </w:r>
      <w:r w:rsidRPr="006D6508">
        <w:rPr>
          <w:rFonts w:ascii="Times New Roman" w:hAnsi="Times New Roman" w:cs="Times New Roman"/>
          <w:sz w:val="18"/>
          <w:szCs w:val="18"/>
        </w:rPr>
        <w:t xml:space="preserve"> (</w:t>
      </w:r>
      <w:r w:rsidR="003759E4" w:rsidRPr="003759E4">
        <w:rPr>
          <w:rFonts w:ascii="Times New Roman" w:hAnsi="Times New Roman" w:cs="Times New Roman" w:hint="eastAsia"/>
          <w:color w:val="FF0000"/>
          <w:sz w:val="18"/>
          <w:szCs w:val="18"/>
        </w:rPr>
        <w:t>D-F</w:t>
      </w:r>
      <w:r w:rsidRPr="006D6508">
        <w:rPr>
          <w:rFonts w:ascii="Times New Roman" w:hAnsi="Times New Roman" w:cs="Times New Roman"/>
          <w:sz w:val="18"/>
          <w:szCs w:val="18"/>
        </w:rPr>
        <w:t xml:space="preserve">) The concentrations of IL-2, IFN-γ, TNF-α in supernatant were measured by ELISA, (n = 3, mean ± SD), ns, no significant difference, ** </w:t>
      </w:r>
      <w:r w:rsidRPr="006D6508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6D6508">
        <w:rPr>
          <w:rFonts w:ascii="Times New Roman" w:hAnsi="Times New Roman" w:cs="Times New Roman"/>
          <w:sz w:val="18"/>
          <w:szCs w:val="18"/>
        </w:rPr>
        <w:t xml:space="preserve"> &lt; 0.01, ****</w:t>
      </w:r>
      <w:r w:rsidRPr="006D6508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6D6508">
        <w:rPr>
          <w:rFonts w:ascii="Times New Roman" w:hAnsi="Times New Roman" w:cs="Times New Roman"/>
          <w:sz w:val="18"/>
          <w:szCs w:val="18"/>
        </w:rPr>
        <w:t xml:space="preserve"> &lt; 0.0001. </w:t>
      </w:r>
    </w:p>
    <w:p w14:paraId="71048CA0" w14:textId="77777777" w:rsidR="002E7FA6" w:rsidRPr="002E7FA6" w:rsidRDefault="002E7FA6">
      <w:pPr>
        <w:rPr>
          <w:rFonts w:ascii="Times New Roman" w:eastAsia="宋体" w:hAnsi="Times New Roman" w:cs="Times New Roman"/>
          <w:color w:val="00B050"/>
          <w:szCs w:val="21"/>
        </w:rPr>
      </w:pPr>
    </w:p>
    <w:sectPr w:rsidR="002E7FA6" w:rsidRPr="002E7FA6" w:rsidSect="00B47BEB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A2A22" w14:textId="77777777" w:rsidR="00B463BB" w:rsidRDefault="00B463BB" w:rsidP="007441F9">
      <w:pPr>
        <w:rPr>
          <w:rFonts w:hint="eastAsia"/>
        </w:rPr>
      </w:pPr>
      <w:r>
        <w:separator/>
      </w:r>
    </w:p>
  </w:endnote>
  <w:endnote w:type="continuationSeparator" w:id="0">
    <w:p w14:paraId="6214A0B9" w14:textId="77777777" w:rsidR="00B463BB" w:rsidRDefault="00B463BB" w:rsidP="007441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70FF3" w14:textId="77777777" w:rsidR="00B463BB" w:rsidRDefault="00B463BB" w:rsidP="007441F9">
      <w:pPr>
        <w:rPr>
          <w:rFonts w:hint="eastAsia"/>
        </w:rPr>
      </w:pPr>
      <w:r>
        <w:separator/>
      </w:r>
    </w:p>
  </w:footnote>
  <w:footnote w:type="continuationSeparator" w:id="0">
    <w:p w14:paraId="57880496" w14:textId="77777777" w:rsidR="00B463BB" w:rsidRDefault="00B463BB" w:rsidP="007441F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81"/>
    <w:rsid w:val="00023768"/>
    <w:rsid w:val="00043FDB"/>
    <w:rsid w:val="00074C59"/>
    <w:rsid w:val="00123F04"/>
    <w:rsid w:val="00146212"/>
    <w:rsid w:val="001B3C10"/>
    <w:rsid w:val="001F1479"/>
    <w:rsid w:val="002011FB"/>
    <w:rsid w:val="0023387A"/>
    <w:rsid w:val="0025694B"/>
    <w:rsid w:val="0029503C"/>
    <w:rsid w:val="002A0B83"/>
    <w:rsid w:val="002D7E5C"/>
    <w:rsid w:val="002E7FA6"/>
    <w:rsid w:val="00334F78"/>
    <w:rsid w:val="00341E27"/>
    <w:rsid w:val="003759E4"/>
    <w:rsid w:val="0038687A"/>
    <w:rsid w:val="004133BE"/>
    <w:rsid w:val="0043771D"/>
    <w:rsid w:val="00544A92"/>
    <w:rsid w:val="00553ACA"/>
    <w:rsid w:val="005B5717"/>
    <w:rsid w:val="005D1790"/>
    <w:rsid w:val="005D72D5"/>
    <w:rsid w:val="00670868"/>
    <w:rsid w:val="006B0181"/>
    <w:rsid w:val="007441F9"/>
    <w:rsid w:val="00775A2B"/>
    <w:rsid w:val="00777C9E"/>
    <w:rsid w:val="007E6ACF"/>
    <w:rsid w:val="00872EA3"/>
    <w:rsid w:val="008B50D6"/>
    <w:rsid w:val="009217E1"/>
    <w:rsid w:val="00933F9F"/>
    <w:rsid w:val="00934C7D"/>
    <w:rsid w:val="009418F8"/>
    <w:rsid w:val="00955608"/>
    <w:rsid w:val="009845D2"/>
    <w:rsid w:val="00A35640"/>
    <w:rsid w:val="00AD0883"/>
    <w:rsid w:val="00B46041"/>
    <w:rsid w:val="00B463BB"/>
    <w:rsid w:val="00B47BEB"/>
    <w:rsid w:val="00C4047D"/>
    <w:rsid w:val="00C74376"/>
    <w:rsid w:val="00C877ED"/>
    <w:rsid w:val="00CA03FD"/>
    <w:rsid w:val="00CB687B"/>
    <w:rsid w:val="00CE0AC0"/>
    <w:rsid w:val="00CF59A5"/>
    <w:rsid w:val="00D00DC0"/>
    <w:rsid w:val="00DB6CDD"/>
    <w:rsid w:val="00DC27C6"/>
    <w:rsid w:val="00E14F6D"/>
    <w:rsid w:val="00E9779F"/>
    <w:rsid w:val="00EC7CBF"/>
    <w:rsid w:val="00F05934"/>
    <w:rsid w:val="00F16B64"/>
    <w:rsid w:val="00F6136C"/>
    <w:rsid w:val="00FA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EE1A6"/>
  <w15:chartTrackingRefBased/>
  <w15:docId w15:val="{0FA9A3A1-6DA5-4E00-BF50-99F25E66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1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1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41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4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41F9"/>
    <w:rPr>
      <w:sz w:val="18"/>
      <w:szCs w:val="18"/>
    </w:rPr>
  </w:style>
  <w:style w:type="paragraph" w:customStyle="1" w:styleId="P1">
    <w:name w:val="P1"/>
    <w:basedOn w:val="a"/>
    <w:link w:val="P10"/>
    <w:qFormat/>
    <w:rsid w:val="002E7FA6"/>
    <w:pPr>
      <w:widowControl/>
      <w:spacing w:line="225" w:lineRule="exact"/>
    </w:pPr>
    <w:rPr>
      <w:rFonts w:ascii="Arial" w:eastAsia="MS Mincho" w:hAnsi="Arial" w:cs="Times New Roman"/>
      <w:kern w:val="0"/>
      <w:sz w:val="17"/>
      <w:szCs w:val="24"/>
      <w:lang w:eastAsia="ja-JP"/>
      <w14:ligatures w14:val="none"/>
    </w:rPr>
  </w:style>
  <w:style w:type="character" w:customStyle="1" w:styleId="P10">
    <w:name w:val="P1 字符"/>
    <w:basedOn w:val="a0"/>
    <w:link w:val="P1"/>
    <w:rsid w:val="002E7FA6"/>
    <w:rPr>
      <w:rFonts w:ascii="Arial" w:eastAsia="MS Mincho" w:hAnsi="Arial" w:cs="Times New Roman"/>
      <w:kern w:val="0"/>
      <w:sz w:val="17"/>
      <w:szCs w:val="24"/>
      <w:lang w:eastAsia="ja-JP"/>
      <w14:ligatures w14:val="none"/>
    </w:rPr>
  </w:style>
  <w:style w:type="paragraph" w:customStyle="1" w:styleId="a7">
    <w:name w:val="标题表"/>
    <w:basedOn w:val="a"/>
    <w:link w:val="a8"/>
    <w:qFormat/>
    <w:rsid w:val="002E7FA6"/>
    <w:pPr>
      <w:keepNext/>
      <w:spacing w:line="360" w:lineRule="auto"/>
      <w:jc w:val="center"/>
    </w:pPr>
    <w:rPr>
      <w:rFonts w:ascii="Times New Roman" w:eastAsia="仿宋" w:hAnsi="Times New Roman" w:cs="Times New Roman"/>
      <w:szCs w:val="20"/>
      <w14:ligatures w14:val="none"/>
    </w:rPr>
  </w:style>
  <w:style w:type="character" w:customStyle="1" w:styleId="a8">
    <w:name w:val="标题表 字符"/>
    <w:basedOn w:val="a0"/>
    <w:link w:val="a7"/>
    <w:qFormat/>
    <w:rsid w:val="002E7FA6"/>
    <w:rPr>
      <w:rFonts w:ascii="Times New Roman" w:eastAsia="仿宋" w:hAnsi="Times New Roman" w:cs="Times New Roman"/>
      <w:szCs w:val="20"/>
      <w14:ligatures w14:val="none"/>
    </w:rPr>
  </w:style>
  <w:style w:type="paragraph" w:customStyle="1" w:styleId="a9">
    <w:name w:val="表头"/>
    <w:basedOn w:val="a"/>
    <w:link w:val="aa"/>
    <w:qFormat/>
    <w:rsid w:val="002E7FA6"/>
    <w:pPr>
      <w:jc w:val="center"/>
    </w:pPr>
    <w:rPr>
      <w:rFonts w:ascii="Times New Roman" w:hAnsi="Times New Roman" w:cs="Times New Roman"/>
      <w:b/>
      <w:szCs w:val="21"/>
      <w14:ligatures w14:val="none"/>
    </w:rPr>
  </w:style>
  <w:style w:type="character" w:customStyle="1" w:styleId="aa">
    <w:name w:val="表头 字符"/>
    <w:basedOn w:val="a0"/>
    <w:link w:val="a9"/>
    <w:qFormat/>
    <w:rsid w:val="002E7FA6"/>
    <w:rPr>
      <w:rFonts w:ascii="Times New Roman" w:hAnsi="Times New Roman" w:cs="Times New Roman"/>
      <w:b/>
      <w:szCs w:val="21"/>
      <w14:ligatures w14:val="none"/>
    </w:rPr>
  </w:style>
  <w:style w:type="paragraph" w:customStyle="1" w:styleId="ab">
    <w:name w:val="表格内容宋体"/>
    <w:basedOn w:val="a"/>
    <w:link w:val="ac"/>
    <w:qFormat/>
    <w:rsid w:val="002E7FA6"/>
    <w:pPr>
      <w:jc w:val="center"/>
    </w:pPr>
    <w:rPr>
      <w:rFonts w:ascii="Times New Roman" w:hAnsi="Times New Roman" w:cs="Times New Roman"/>
      <w:szCs w:val="21"/>
      <w14:ligatures w14:val="none"/>
    </w:rPr>
  </w:style>
  <w:style w:type="character" w:customStyle="1" w:styleId="ac">
    <w:name w:val="表格内容宋体 字符"/>
    <w:basedOn w:val="a0"/>
    <w:link w:val="ab"/>
    <w:qFormat/>
    <w:rsid w:val="002E7FA6"/>
    <w:rPr>
      <w:rFonts w:ascii="Times New Roman" w:hAnsi="Times New Roman" w:cs="Times New Roman"/>
      <w:szCs w:val="21"/>
      <w14:ligatures w14:val="none"/>
    </w:rPr>
  </w:style>
  <w:style w:type="paragraph" w:customStyle="1" w:styleId="Title1">
    <w:name w:val="Title1"/>
    <w:basedOn w:val="a"/>
    <w:next w:val="a"/>
    <w:qFormat/>
    <w:rsid w:val="009845D2"/>
    <w:pPr>
      <w:widowControl/>
      <w:spacing w:before="120" w:line="480" w:lineRule="exact"/>
      <w:jc w:val="left"/>
    </w:pPr>
    <w:rPr>
      <w:rFonts w:ascii="Arial" w:eastAsia="MS Mincho" w:hAnsi="Arial" w:cs="Times New Roman"/>
      <w:b/>
      <w:kern w:val="0"/>
      <w:sz w:val="32"/>
      <w:szCs w:val="28"/>
      <w:lang w:val="de-DE" w:eastAsia="ja-JP"/>
      <w14:ligatures w14:val="none"/>
    </w:rPr>
  </w:style>
  <w:style w:type="paragraph" w:customStyle="1" w:styleId="Adress">
    <w:name w:val="Adress"/>
    <w:basedOn w:val="a"/>
    <w:qFormat/>
    <w:rsid w:val="009845D2"/>
    <w:pPr>
      <w:widowControl/>
      <w:spacing w:line="180" w:lineRule="exact"/>
      <w:ind w:left="425" w:hanging="425"/>
      <w:jc w:val="left"/>
    </w:pPr>
    <w:rPr>
      <w:rFonts w:ascii="Arial" w:eastAsia="MS Mincho" w:hAnsi="Arial" w:cs="Times New Roman"/>
      <w:kern w:val="0"/>
      <w:sz w:val="14"/>
      <w:szCs w:val="20"/>
      <w:lang w:val="de-DE" w:eastAsia="ja-JP"/>
      <w14:ligatures w14:val="none"/>
    </w:rPr>
  </w:style>
  <w:style w:type="paragraph" w:customStyle="1" w:styleId="Footnote">
    <w:name w:val="Footnote"/>
    <w:basedOn w:val="Adress"/>
    <w:rsid w:val="009845D2"/>
    <w:pPr>
      <w:spacing w:before="120"/>
    </w:pPr>
    <w:rPr>
      <w:szCs w:val="14"/>
      <w:lang w:val="en-GB"/>
    </w:rPr>
  </w:style>
  <w:style w:type="paragraph" w:customStyle="1" w:styleId="Keywords">
    <w:name w:val="Keywords"/>
    <w:basedOn w:val="a"/>
    <w:qFormat/>
    <w:rsid w:val="009845D2"/>
    <w:pPr>
      <w:widowControl/>
      <w:spacing w:before="240" w:after="240" w:line="250" w:lineRule="exact"/>
      <w:jc w:val="left"/>
    </w:pPr>
    <w:rPr>
      <w:rFonts w:ascii="Arial" w:eastAsia="MS Mincho" w:hAnsi="Arial" w:cs="Times New Roman"/>
      <w:kern w:val="0"/>
      <w:sz w:val="17"/>
      <w:szCs w:val="20"/>
      <w:lang w:val="en-GB" w:eastAsia="ja-JP"/>
      <w14:ligatures w14:val="none"/>
    </w:rPr>
  </w:style>
  <w:style w:type="paragraph" w:customStyle="1" w:styleId="Abstract">
    <w:name w:val="Abstract"/>
    <w:basedOn w:val="a"/>
    <w:qFormat/>
    <w:rsid w:val="009845D2"/>
    <w:pPr>
      <w:widowControl/>
      <w:spacing w:after="360" w:line="225" w:lineRule="exact"/>
    </w:pPr>
    <w:rPr>
      <w:rFonts w:ascii="Arial" w:eastAsia="MS Mincho" w:hAnsi="Arial" w:cs="Times New Roman"/>
      <w:kern w:val="0"/>
      <w:sz w:val="16"/>
      <w:szCs w:val="20"/>
      <w:lang w:val="en-GB" w:eastAsia="ja-JP"/>
      <w14:ligatures w14:val="none"/>
    </w:rPr>
  </w:style>
  <w:style w:type="character" w:styleId="ad">
    <w:name w:val="line number"/>
    <w:basedOn w:val="a0"/>
    <w:uiPriority w:val="99"/>
    <w:semiHidden/>
    <w:unhideWhenUsed/>
    <w:rsid w:val="0025694B"/>
  </w:style>
  <w:style w:type="paragraph" w:styleId="ae">
    <w:name w:val="Revision"/>
    <w:hidden/>
    <w:uiPriority w:val="99"/>
    <w:semiHidden/>
    <w:rsid w:val="00B46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庆常 田</dc:creator>
  <cp:keywords/>
  <dc:description/>
  <cp:lastModifiedBy>庆常 田</cp:lastModifiedBy>
  <cp:revision>26</cp:revision>
  <dcterms:created xsi:type="dcterms:W3CDTF">2024-04-14T07:47:00Z</dcterms:created>
  <dcterms:modified xsi:type="dcterms:W3CDTF">2024-07-24T08:28:00Z</dcterms:modified>
</cp:coreProperties>
</file>