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8712D" w14:textId="77777777" w:rsidR="00087F25" w:rsidRPr="00087F25" w:rsidRDefault="00087F25" w:rsidP="00087F25">
      <w:pPr>
        <w:spacing w:line="480" w:lineRule="auto"/>
        <w:rPr>
          <w:rFonts w:ascii="Times New Roman" w:hAnsi="Times New Roman" w:cs="Times New Roman"/>
          <w:b/>
          <w:bCs/>
          <w:sz w:val="28"/>
          <w:szCs w:val="28"/>
        </w:rPr>
      </w:pPr>
      <w:r w:rsidRPr="00087F25">
        <w:rPr>
          <w:rFonts w:ascii="Times New Roman" w:hAnsi="Times New Roman" w:cs="Times New Roman"/>
          <w:b/>
          <w:bCs/>
          <w:sz w:val="28"/>
          <w:szCs w:val="28"/>
        </w:rPr>
        <w:t>Supplementary files:</w:t>
      </w:r>
    </w:p>
    <w:p w14:paraId="67682494" w14:textId="48BB4D58" w:rsidR="007317E2" w:rsidRPr="00D070DD" w:rsidRDefault="00EC4C8B" w:rsidP="007317E2">
      <w:pPr>
        <w:spacing w:line="480" w:lineRule="auto"/>
        <w:rPr>
          <w:rFonts w:ascii="Times New Roman" w:hAnsi="Times New Roman" w:cs="Times New Roman"/>
          <w:sz w:val="24"/>
          <w:szCs w:val="24"/>
        </w:rPr>
      </w:pPr>
      <w:r w:rsidRPr="007317E2">
        <w:rPr>
          <w:rFonts w:ascii="Times New Roman" w:hAnsi="Times New Roman" w:cs="Times New Roman"/>
          <w:sz w:val="24"/>
          <w:szCs w:val="24"/>
          <w:highlight w:val="yellow"/>
        </w:rPr>
        <w:t xml:space="preserve">Supplementary figure </w:t>
      </w:r>
      <w:r>
        <w:rPr>
          <w:rFonts w:ascii="Times New Roman" w:hAnsi="Times New Roman" w:cs="Times New Roman" w:hint="eastAsia"/>
          <w:sz w:val="24"/>
          <w:szCs w:val="24"/>
          <w:highlight w:val="yellow"/>
        </w:rPr>
        <w:t>1</w:t>
      </w:r>
      <w:r w:rsidRPr="007317E2">
        <w:rPr>
          <w:rFonts w:ascii="Times New Roman" w:hAnsi="Times New Roman" w:cs="Times New Roman"/>
          <w:sz w:val="24"/>
          <w:szCs w:val="24"/>
          <w:highlight w:val="yellow"/>
        </w:rPr>
        <w:t>.</w:t>
      </w:r>
      <w:r>
        <w:rPr>
          <w:rFonts w:ascii="Times New Roman" w:hAnsi="Times New Roman" w:cs="Times New Roman" w:hint="eastAsia"/>
          <w:sz w:val="24"/>
          <w:szCs w:val="24"/>
          <w:highlight w:val="yellow"/>
        </w:rPr>
        <w:t xml:space="preserve"> </w:t>
      </w:r>
      <w:r w:rsidR="007317E2" w:rsidRPr="007317E2">
        <w:rPr>
          <w:rFonts w:ascii="Times New Roman" w:hAnsi="Times New Roman" w:cs="Times New Roman"/>
          <w:sz w:val="24"/>
          <w:szCs w:val="24"/>
          <w:highlight w:val="yellow"/>
        </w:rPr>
        <w:t xml:space="preserve">Classification of LUAD patients into radioresistant and radiosensitive subtypes. (A, B) Selection of DEGs in LUAD versus control specimens under the criteria of |log2FC|&gt;1 and adjusted p&lt;0.05. (C) Venn chart of the DERRGs via intersecting the DEGs and RRGs. (D) Consensus matrix at k=2 based upon the transcriptome profiling of the DERRGs. (E) The OS probabilities of radioresistant and radiosensitive subtypes. (F) Heatmap of the transcript levels of the DERRGs in two subtypes. (G) PCA for the transcriptome difference between subtypes. (H) The stage difference between two subtypes. (I-K) Comparison of the enrichment levels of (I) ROS, (J) </w:t>
      </w:r>
      <w:r w:rsidR="007317E2" w:rsidRPr="007317E2">
        <w:rPr>
          <w:rFonts w:ascii="Times New Roman" w:eastAsia="宋体" w:hAnsi="Times New Roman" w:cs="Times New Roman"/>
          <w:sz w:val="24"/>
          <w:szCs w:val="24"/>
          <w:highlight w:val="yellow"/>
        </w:rPr>
        <w:t xml:space="preserve">X-ray, and UV responses, and </w:t>
      </w:r>
      <w:r w:rsidR="007317E2" w:rsidRPr="007317E2">
        <w:rPr>
          <w:rFonts w:ascii="Times New Roman" w:hAnsi="Times New Roman" w:cs="Times New Roman"/>
          <w:sz w:val="24"/>
          <w:szCs w:val="24"/>
          <w:highlight w:val="yellow"/>
        </w:rPr>
        <w:t xml:space="preserve">(K) </w:t>
      </w:r>
      <w:r w:rsidR="007317E2" w:rsidRPr="007317E2">
        <w:rPr>
          <w:rFonts w:ascii="Times New Roman" w:eastAsia="宋体" w:hAnsi="Times New Roman" w:cs="Times New Roman"/>
          <w:sz w:val="24"/>
          <w:szCs w:val="24"/>
          <w:highlight w:val="yellow"/>
        </w:rPr>
        <w:t xml:space="preserve">DNA damage repair </w:t>
      </w:r>
      <w:r w:rsidR="007317E2" w:rsidRPr="007317E2">
        <w:rPr>
          <w:rFonts w:ascii="Times New Roman" w:hAnsi="Times New Roman" w:cs="Times New Roman"/>
          <w:sz w:val="24"/>
          <w:szCs w:val="24"/>
          <w:highlight w:val="yellow"/>
        </w:rPr>
        <w:t>pathways between subtypes. (L, M) The expression differences in ferroptosis, and ICD genes between subtypes. (N) Comparison of the abundance of immune components between subtypes. (O-Q) The differences in immune and stromal scores, and tumor purity between subtypes. (R-T) The differences in dysfunction, exclusion, and TIDE scores between subtypes. *p&lt;0.05; **p&lt;0.01; ***p&lt;0.001.</w:t>
      </w:r>
    </w:p>
    <w:p w14:paraId="0377927F" w14:textId="21317AE9" w:rsidR="001A4906" w:rsidRPr="001A4906" w:rsidRDefault="001A4906" w:rsidP="001A4906">
      <w:pPr>
        <w:spacing w:line="480" w:lineRule="auto"/>
        <w:rPr>
          <w:rFonts w:ascii="Times New Roman" w:hAnsi="Times New Roman" w:cs="Times New Roman"/>
          <w:sz w:val="24"/>
          <w:szCs w:val="24"/>
        </w:rPr>
      </w:pPr>
      <w:r w:rsidRPr="007317E2">
        <w:rPr>
          <w:rFonts w:ascii="Times New Roman" w:hAnsi="Times New Roman" w:cs="Times New Roman"/>
          <w:sz w:val="24"/>
          <w:szCs w:val="24"/>
          <w:highlight w:val="yellow"/>
        </w:rPr>
        <w:t xml:space="preserve">Supplementary figure </w:t>
      </w:r>
      <w:r w:rsidR="007317E2" w:rsidRPr="007317E2">
        <w:rPr>
          <w:rFonts w:ascii="Times New Roman" w:hAnsi="Times New Roman" w:cs="Times New Roman" w:hint="eastAsia"/>
          <w:sz w:val="24"/>
          <w:szCs w:val="24"/>
          <w:highlight w:val="yellow"/>
        </w:rPr>
        <w:t>2</w:t>
      </w:r>
      <w:r w:rsidRPr="007317E2">
        <w:rPr>
          <w:rFonts w:ascii="Times New Roman" w:hAnsi="Times New Roman" w:cs="Times New Roman"/>
          <w:sz w:val="24"/>
          <w:szCs w:val="24"/>
          <w:highlight w:val="yellow"/>
        </w:rPr>
        <w:t>.</w:t>
      </w:r>
      <w:r w:rsidRPr="001A4906">
        <w:rPr>
          <w:rFonts w:ascii="Times New Roman" w:hAnsi="Times New Roman" w:cs="Times New Roman"/>
          <w:sz w:val="24"/>
          <w:szCs w:val="24"/>
        </w:rPr>
        <w:t xml:space="preserve"> Genetic mutation landscape of prognostic DERRGs across LUAD. (A) Waterfall plot illustrating the top ten mutated DERRGs. (B, C) Bar charts of the top ten copy-number amplified and deleted DERRGs, respectively.</w:t>
      </w:r>
    </w:p>
    <w:p w14:paraId="1D3BC59D" w14:textId="58707BB5" w:rsidR="001A4906" w:rsidRPr="001A4906" w:rsidRDefault="001A4906" w:rsidP="001A4906">
      <w:pPr>
        <w:spacing w:line="480" w:lineRule="auto"/>
        <w:rPr>
          <w:rFonts w:ascii="Times New Roman" w:hAnsi="Times New Roman" w:cs="Times New Roman"/>
          <w:sz w:val="24"/>
          <w:szCs w:val="24"/>
        </w:rPr>
      </w:pPr>
      <w:r w:rsidRPr="007317E2">
        <w:rPr>
          <w:rFonts w:ascii="Times New Roman" w:hAnsi="Times New Roman" w:cs="Times New Roman"/>
          <w:sz w:val="24"/>
          <w:szCs w:val="24"/>
          <w:highlight w:val="yellow"/>
        </w:rPr>
        <w:t xml:space="preserve">Supplementary figure </w:t>
      </w:r>
      <w:r w:rsidR="007317E2" w:rsidRPr="007317E2">
        <w:rPr>
          <w:rFonts w:ascii="Times New Roman" w:hAnsi="Times New Roman" w:cs="Times New Roman" w:hint="eastAsia"/>
          <w:sz w:val="24"/>
          <w:szCs w:val="24"/>
          <w:highlight w:val="yellow"/>
        </w:rPr>
        <w:t>3</w:t>
      </w:r>
      <w:r w:rsidRPr="007317E2">
        <w:rPr>
          <w:rFonts w:ascii="Times New Roman" w:hAnsi="Times New Roman" w:cs="Times New Roman"/>
          <w:sz w:val="24"/>
          <w:szCs w:val="24"/>
          <w:highlight w:val="yellow"/>
        </w:rPr>
        <w:t>.</w:t>
      </w:r>
      <w:r w:rsidRPr="001A4906">
        <w:rPr>
          <w:rFonts w:ascii="Times New Roman" w:hAnsi="Times New Roman" w:cs="Times New Roman"/>
          <w:sz w:val="24"/>
          <w:szCs w:val="24"/>
        </w:rPr>
        <w:t xml:space="preserve"> The heterogeneity in genetic mutations and tumor immunity between the radioresistant and radiosensitive subtypes. (A-D) Copy-number amplifications (red) and deletions (blue) in (A, B) C1 and (C, D) C2 subtype. (E, F) Waterfall plots depicting the somatic mutations in two subtypes. (G) Comparison of </w:t>
      </w:r>
      <w:r w:rsidRPr="001A4906">
        <w:rPr>
          <w:rFonts w:ascii="Times New Roman" w:hAnsi="Times New Roman" w:cs="Times New Roman"/>
          <w:sz w:val="24"/>
          <w:szCs w:val="24"/>
        </w:rPr>
        <w:lastRenderedPageBreak/>
        <w:t>TMB score between subtypes. ***p&lt;0.001.</w:t>
      </w:r>
    </w:p>
    <w:p w14:paraId="1918E9B6" w14:textId="0B901044" w:rsidR="001A4906" w:rsidRDefault="001A4906" w:rsidP="001A4906">
      <w:pPr>
        <w:spacing w:line="480" w:lineRule="auto"/>
        <w:rPr>
          <w:rFonts w:ascii="Times New Roman" w:hAnsi="Times New Roman" w:cs="Times New Roman"/>
          <w:sz w:val="24"/>
          <w:szCs w:val="24"/>
        </w:rPr>
      </w:pPr>
      <w:r w:rsidRPr="007317E2">
        <w:rPr>
          <w:rFonts w:ascii="Times New Roman" w:hAnsi="Times New Roman" w:cs="Times New Roman"/>
          <w:sz w:val="24"/>
          <w:szCs w:val="24"/>
          <w:highlight w:val="yellow"/>
        </w:rPr>
        <w:t xml:space="preserve">Supplementary figure </w:t>
      </w:r>
      <w:r w:rsidR="007317E2" w:rsidRPr="007317E2">
        <w:rPr>
          <w:rFonts w:ascii="Times New Roman" w:hAnsi="Times New Roman" w:cs="Times New Roman" w:hint="eastAsia"/>
          <w:sz w:val="24"/>
          <w:szCs w:val="24"/>
          <w:highlight w:val="yellow"/>
        </w:rPr>
        <w:t>4</w:t>
      </w:r>
      <w:r w:rsidRPr="007317E2">
        <w:rPr>
          <w:rFonts w:ascii="Times New Roman" w:hAnsi="Times New Roman" w:cs="Times New Roman"/>
          <w:sz w:val="24"/>
          <w:szCs w:val="24"/>
          <w:highlight w:val="yellow"/>
        </w:rPr>
        <w:t>.</w:t>
      </w:r>
      <w:r w:rsidRPr="001A4906">
        <w:rPr>
          <w:rFonts w:ascii="Times New Roman" w:hAnsi="Times New Roman" w:cs="Times New Roman"/>
          <w:sz w:val="24"/>
          <w:szCs w:val="24"/>
        </w:rPr>
        <w:t xml:space="preserve"> Assessment of the reliability and repeatability of the radioresistant and radiosensitive subtype classification in two LUAD external cohorts. (A) Heatmap of the top 100 up-regulated marker genes in C1 or C2 subtype in the GSE31210 dataset. (B, C) Verification of the patient classification, and OS difference between subtypes via NTP method in the GSE31210 dataset. (D) Heatmap of the top 100 up-regulated marker genes in C1 or C2 subtype in the GSE72094 dataset. (E, F) Validation of the patient classification, and OS difference utilizing NTP approach in the GSE72094 dataset.</w:t>
      </w:r>
    </w:p>
    <w:p w14:paraId="756C4E0E" w14:textId="7D591AA7" w:rsidR="0020358E" w:rsidRPr="00D070DD" w:rsidRDefault="0020358E" w:rsidP="0020358E">
      <w:pPr>
        <w:spacing w:line="480" w:lineRule="auto"/>
        <w:rPr>
          <w:rFonts w:ascii="Times New Roman" w:hAnsi="Times New Roman" w:cs="Times New Roman"/>
          <w:sz w:val="24"/>
          <w:szCs w:val="24"/>
        </w:rPr>
      </w:pPr>
      <w:r w:rsidRPr="007317E2">
        <w:rPr>
          <w:rFonts w:ascii="Times New Roman" w:hAnsi="Times New Roman" w:cs="Times New Roman"/>
          <w:sz w:val="24"/>
          <w:szCs w:val="24"/>
          <w:highlight w:val="yellow"/>
        </w:rPr>
        <w:t xml:space="preserve">Supplementary figure </w:t>
      </w:r>
      <w:r>
        <w:rPr>
          <w:rFonts w:ascii="Times New Roman" w:hAnsi="Times New Roman" w:cs="Times New Roman" w:hint="eastAsia"/>
          <w:sz w:val="24"/>
          <w:szCs w:val="24"/>
          <w:highlight w:val="yellow"/>
        </w:rPr>
        <w:t>5</w:t>
      </w:r>
      <w:r w:rsidRPr="007317E2">
        <w:rPr>
          <w:rFonts w:ascii="Times New Roman" w:hAnsi="Times New Roman" w:cs="Times New Roman"/>
          <w:sz w:val="24"/>
          <w:szCs w:val="24"/>
          <w:highlight w:val="yellow"/>
        </w:rPr>
        <w:t>.</w:t>
      </w:r>
      <w:r w:rsidRPr="00D070DD">
        <w:rPr>
          <w:rFonts w:ascii="Times New Roman" w:hAnsi="Times New Roman" w:cs="Times New Roman"/>
          <w:sz w:val="24"/>
          <w:szCs w:val="24"/>
        </w:rPr>
        <w:t xml:space="preserve"> Generation of a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system for</w:t>
      </w:r>
      <w:r>
        <w:rPr>
          <w:rFonts w:ascii="Times New Roman" w:hAnsi="Times New Roman" w:cs="Times New Roman"/>
          <w:sz w:val="24"/>
          <w:szCs w:val="24"/>
        </w:rPr>
        <w:t xml:space="preserve"> quantifying the radiotherapeutic response classification in</w:t>
      </w:r>
      <w:r w:rsidRPr="00D070DD">
        <w:rPr>
          <w:rFonts w:ascii="Times New Roman" w:hAnsi="Times New Roman" w:cs="Times New Roman"/>
          <w:sz w:val="24"/>
          <w:szCs w:val="24"/>
        </w:rPr>
        <w:t xml:space="preserve"> LUAD. (A) Selection of lambda value via 10-fold cross-validation. (B) Coefficients of prognostic DERRGs in the LASSO analysis. (C) The distribution of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survival time and transcript levels of the identified genes. (D) ROCs at 1-, 3- or 5-year survival. (E) The OS probability of low or high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patients. (F, G) Uni or multivariate-cox regression results on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and clinical parameters with LUAD prognosis. (H) The nomogram composed of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and stage for prognostication. (I) Comparison of the nomogram-estimated with actual survival. (J) Scatter plots demonstrating the relationships of the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with</w:t>
      </w:r>
      <w:r w:rsidRPr="00D070DD">
        <w:rPr>
          <w:rFonts w:ascii="Times New Roman" w:eastAsia="宋体" w:hAnsi="Times New Roman" w:cs="Times New Roman"/>
          <w:sz w:val="24"/>
          <w:szCs w:val="24"/>
        </w:rPr>
        <w:t xml:space="preserve"> </w:t>
      </w:r>
      <w:r w:rsidRPr="00D070DD">
        <w:rPr>
          <w:rFonts w:ascii="Times New Roman" w:hAnsi="Times New Roman" w:cs="Times New Roman"/>
          <w:sz w:val="24"/>
          <w:szCs w:val="24"/>
        </w:rPr>
        <w:t>radiotherapy response mechanisms</w:t>
      </w:r>
      <w:r w:rsidRPr="00D070DD">
        <w:rPr>
          <w:rFonts w:ascii="Times New Roman" w:eastAsia="宋体" w:hAnsi="Times New Roman" w:cs="Times New Roman"/>
          <w:sz w:val="24"/>
          <w:szCs w:val="24"/>
        </w:rPr>
        <w:t xml:space="preserve">: X-ray, and UV responses, and </w:t>
      </w:r>
      <w:r w:rsidRPr="00D070DD">
        <w:rPr>
          <w:rFonts w:ascii="Times New Roman" w:hAnsi="Times New Roman" w:cs="Times New Roman"/>
          <w:sz w:val="24"/>
          <w:szCs w:val="24"/>
        </w:rPr>
        <w:t xml:space="preserve">ROS. (K) The interactions of the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with </w:t>
      </w:r>
      <w:r w:rsidRPr="00D070DD">
        <w:rPr>
          <w:rFonts w:ascii="Times New Roman" w:eastAsia="宋体" w:hAnsi="Times New Roman" w:cs="Times New Roman"/>
          <w:sz w:val="24"/>
          <w:szCs w:val="24"/>
        </w:rPr>
        <w:t xml:space="preserve">DNA damage repair </w:t>
      </w:r>
      <w:r w:rsidRPr="00D070DD">
        <w:rPr>
          <w:rFonts w:ascii="Times New Roman" w:hAnsi="Times New Roman" w:cs="Times New Roman"/>
          <w:sz w:val="24"/>
          <w:szCs w:val="24"/>
        </w:rPr>
        <w:t xml:space="preserve">pathways. (L, M) The connections of the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with the transcript levels of immune checkpoints, and ICD molecules across TCGA-LUAD. (N) The relationships between the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and the infiltration </w:t>
      </w:r>
      <w:r w:rsidRPr="00D070DD">
        <w:rPr>
          <w:rFonts w:ascii="Times New Roman" w:hAnsi="Times New Roman" w:cs="Times New Roman"/>
          <w:sz w:val="24"/>
          <w:szCs w:val="24"/>
        </w:rPr>
        <w:lastRenderedPageBreak/>
        <w:t>levels of immune components across TCGA-LUAD. (O) The percentages of distinct responses to anti-PD-L1 therapy in low- or high-</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individuals in the IMvigor210 cohort. (P) The OS probability of low- or high-</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individuals in the IMvigor210 cohort. (Q) Comparison of the </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between non-responders and responders in the IMvigor210 cohort. (R-T) Comparison of dysfunction, exclusion, and TIDE scores between low- and high-</w:t>
      </w:r>
      <w:proofErr w:type="spellStart"/>
      <w:r w:rsidRPr="00D070DD">
        <w:rPr>
          <w:rFonts w:ascii="Times New Roman" w:hAnsi="Times New Roman" w:cs="Times New Roman"/>
          <w:sz w:val="24"/>
          <w:szCs w:val="24"/>
        </w:rPr>
        <w:t>RRscore</w:t>
      </w:r>
      <w:proofErr w:type="spellEnd"/>
      <w:r w:rsidRPr="00D070DD">
        <w:rPr>
          <w:rFonts w:ascii="Times New Roman" w:hAnsi="Times New Roman" w:cs="Times New Roman"/>
          <w:sz w:val="24"/>
          <w:szCs w:val="24"/>
        </w:rPr>
        <w:t xml:space="preserve"> TCGA-LUAD patients. ***p&lt;0.001; ns: p&gt;0.05.</w:t>
      </w:r>
    </w:p>
    <w:p w14:paraId="6BCA9E24" w14:textId="55002C21" w:rsidR="001A4906" w:rsidRDefault="001A4906" w:rsidP="001A4906">
      <w:pPr>
        <w:spacing w:line="480" w:lineRule="auto"/>
        <w:rPr>
          <w:rFonts w:ascii="Times New Roman" w:hAnsi="Times New Roman" w:cs="Times New Roman"/>
          <w:sz w:val="24"/>
          <w:szCs w:val="24"/>
        </w:rPr>
      </w:pPr>
      <w:r w:rsidRPr="005D09EA">
        <w:rPr>
          <w:rFonts w:ascii="Times New Roman" w:hAnsi="Times New Roman" w:cs="Times New Roman"/>
          <w:sz w:val="24"/>
          <w:szCs w:val="24"/>
          <w:highlight w:val="yellow"/>
        </w:rPr>
        <w:t xml:space="preserve">Supplementary figure </w:t>
      </w:r>
      <w:r w:rsidR="005D09EA" w:rsidRPr="005D09EA">
        <w:rPr>
          <w:rFonts w:ascii="Times New Roman" w:hAnsi="Times New Roman" w:cs="Times New Roman" w:hint="eastAsia"/>
          <w:sz w:val="24"/>
          <w:szCs w:val="24"/>
          <w:highlight w:val="yellow"/>
        </w:rPr>
        <w:t>6</w:t>
      </w:r>
      <w:r w:rsidRPr="005D09EA">
        <w:rPr>
          <w:rFonts w:ascii="Times New Roman" w:hAnsi="Times New Roman" w:cs="Times New Roman"/>
          <w:sz w:val="24"/>
          <w:szCs w:val="24"/>
          <w:highlight w:val="yellow"/>
        </w:rPr>
        <w:t>.</w:t>
      </w:r>
      <w:r w:rsidRPr="001A4906">
        <w:rPr>
          <w:rFonts w:ascii="Times New Roman" w:hAnsi="Times New Roman" w:cs="Times New Roman"/>
          <w:sz w:val="24"/>
          <w:szCs w:val="24"/>
        </w:rPr>
        <w:t xml:space="preserve"> External verification of the reliability of the RRscore system in survival prediction. (A) The distribution of RRscore, survival duration as well as transcript levels of the DERRGs in the GSE31210 cohort. (B) The OS probability of low or high RRscore patients in the GSE31210 cohort. (C) ROC curves at 1-, 3-, or 5-year OS in the GSE31210 cohort. (D) The distribution of RRscore, survival duration, and transcript levels of the DERRGs in the GSE72094 cohort. (E, F) The OS probability of low or high RRscore patients as well as ROC curves at 1-, 3-, or 5-year OS in the GSE72094 cohort. (G) The DFS probability of low or high RRscore patients in the GSE30219 cohort. (H, I) The OS and ROC analysis in TCGA-LUAD patients who received radiotherapy.</w:t>
      </w:r>
    </w:p>
    <w:p w14:paraId="103DC141" w14:textId="64A935B1" w:rsidR="00B2017A" w:rsidRPr="00B2017A" w:rsidRDefault="00B2017A" w:rsidP="00B2017A">
      <w:pPr>
        <w:spacing w:line="480" w:lineRule="auto"/>
        <w:rPr>
          <w:rFonts w:ascii="Times New Roman" w:hAnsi="Times New Roman" w:cs="Times New Roman"/>
          <w:sz w:val="24"/>
          <w:szCs w:val="24"/>
          <w:highlight w:val="yellow"/>
        </w:rPr>
      </w:pPr>
      <w:r w:rsidRPr="00B2017A">
        <w:rPr>
          <w:rFonts w:ascii="Times New Roman" w:hAnsi="Times New Roman" w:cs="Times New Roman"/>
          <w:sz w:val="24"/>
          <w:szCs w:val="24"/>
          <w:highlight w:val="yellow"/>
        </w:rPr>
        <w:t>Supplementary figure</w:t>
      </w:r>
      <w:r w:rsidRPr="00B2017A">
        <w:rPr>
          <w:rFonts w:ascii="Times New Roman" w:hAnsi="Times New Roman" w:cs="Times New Roman" w:hint="eastAsia"/>
          <w:sz w:val="24"/>
          <w:szCs w:val="24"/>
          <w:highlight w:val="yellow"/>
        </w:rPr>
        <w:t xml:space="preserve"> 7</w:t>
      </w:r>
      <w:r w:rsidRPr="00B2017A">
        <w:rPr>
          <w:rFonts w:ascii="Times New Roman" w:hAnsi="Times New Roman" w:cs="Times New Roman"/>
          <w:sz w:val="24"/>
          <w:szCs w:val="24"/>
          <w:highlight w:val="yellow"/>
        </w:rPr>
        <w:t>. ESYT3 expression is attenuated in</w:t>
      </w:r>
      <w:r w:rsidRPr="00B2017A">
        <w:rPr>
          <w:rFonts w:ascii="Times New Roman" w:eastAsia="宋体" w:hAnsi="Times New Roman" w:cs="Times New Roman"/>
          <w:sz w:val="24"/>
          <w:szCs w:val="24"/>
          <w:highlight w:val="yellow"/>
        </w:rPr>
        <w:t xml:space="preserve"> LUAD radioresistance</w:t>
      </w:r>
      <w:r w:rsidRPr="00B2017A">
        <w:rPr>
          <w:rFonts w:ascii="Times New Roman" w:hAnsi="Times New Roman" w:cs="Times New Roman"/>
          <w:sz w:val="24"/>
          <w:szCs w:val="24"/>
          <w:highlight w:val="yellow"/>
        </w:rPr>
        <w:t>. (A-F) RT-qPCR analysis of the transcript levels of the prognostic DERRGs (</w:t>
      </w:r>
      <w:r w:rsidRPr="00B2017A">
        <w:rPr>
          <w:rFonts w:ascii="Times New Roman" w:eastAsia="宋体" w:hAnsi="Times New Roman" w:cs="Times New Roman"/>
          <w:sz w:val="24"/>
          <w:szCs w:val="24"/>
          <w:highlight w:val="yellow"/>
        </w:rPr>
        <w:t>PTPRH, BEX4, LYPD3, FAM83A, PLEK2, and ESYT3</w:t>
      </w:r>
      <w:r w:rsidRPr="00B2017A">
        <w:rPr>
          <w:rFonts w:ascii="Times New Roman" w:hAnsi="Times New Roman" w:cs="Times New Roman"/>
          <w:sz w:val="24"/>
          <w:szCs w:val="24"/>
          <w:highlight w:val="yellow"/>
        </w:rPr>
        <w:t>) in LUAD tissues with CR/PR or PD/SD. (G, H) Cell survival of radiosensitive or radioresistant LUAD cells upon distinct dosages of irradiation.</w:t>
      </w:r>
      <w:r>
        <w:rPr>
          <w:rFonts w:ascii="Times New Roman" w:hAnsi="Times New Roman" w:cs="Times New Roman" w:hint="eastAsia"/>
          <w:sz w:val="24"/>
          <w:szCs w:val="24"/>
          <w:highlight w:val="yellow"/>
        </w:rPr>
        <w:t xml:space="preserve"> (I) Representative RT-PCR images of </w:t>
      </w:r>
      <w:r w:rsidRPr="00B2017A">
        <w:rPr>
          <w:rFonts w:ascii="Times New Roman" w:hAnsi="Times New Roman" w:cs="Times New Roman"/>
          <w:sz w:val="24"/>
          <w:szCs w:val="24"/>
          <w:highlight w:val="yellow"/>
        </w:rPr>
        <w:t>the prognostic DERRGs (</w:t>
      </w:r>
      <w:r w:rsidRPr="00B2017A">
        <w:rPr>
          <w:rFonts w:ascii="Times New Roman" w:eastAsia="宋体" w:hAnsi="Times New Roman" w:cs="Times New Roman"/>
          <w:sz w:val="24"/>
          <w:szCs w:val="24"/>
          <w:highlight w:val="yellow"/>
        </w:rPr>
        <w:t>PTPRH, BEX4</w:t>
      </w:r>
      <w:r>
        <w:rPr>
          <w:rFonts w:ascii="Times New Roman" w:eastAsia="宋体" w:hAnsi="Times New Roman" w:cs="Times New Roman" w:hint="eastAsia"/>
          <w:sz w:val="24"/>
          <w:szCs w:val="24"/>
          <w:highlight w:val="yellow"/>
        </w:rPr>
        <w:t xml:space="preserve"> and</w:t>
      </w:r>
      <w:r w:rsidRPr="00B2017A">
        <w:rPr>
          <w:rFonts w:ascii="Times New Roman" w:eastAsia="宋体" w:hAnsi="Times New Roman" w:cs="Times New Roman"/>
          <w:sz w:val="24"/>
          <w:szCs w:val="24"/>
          <w:highlight w:val="yellow"/>
        </w:rPr>
        <w:t xml:space="preserve"> LYPD3</w:t>
      </w:r>
      <w:r>
        <w:rPr>
          <w:rFonts w:ascii="Times New Roman" w:eastAsia="宋体" w:hAnsi="Times New Roman" w:cs="Times New Roman" w:hint="eastAsia"/>
          <w:sz w:val="24"/>
          <w:szCs w:val="24"/>
          <w:highlight w:val="yellow"/>
        </w:rPr>
        <w:t xml:space="preserve">) </w:t>
      </w:r>
      <w:r w:rsidRPr="00B2017A">
        <w:rPr>
          <w:rFonts w:ascii="Times New Roman" w:hAnsi="Times New Roman" w:cs="Times New Roman"/>
          <w:sz w:val="24"/>
          <w:szCs w:val="24"/>
          <w:highlight w:val="yellow"/>
        </w:rPr>
        <w:t>in radiosensitive and radioresistant LUAD cells.</w:t>
      </w:r>
      <w:r>
        <w:rPr>
          <w:rFonts w:ascii="Times New Roman" w:hAnsi="Times New Roman" w:cs="Times New Roman" w:hint="eastAsia"/>
          <w:sz w:val="24"/>
          <w:szCs w:val="24"/>
          <w:highlight w:val="yellow"/>
        </w:rPr>
        <w:t xml:space="preserve"> </w:t>
      </w:r>
      <w:r>
        <w:rPr>
          <w:rFonts w:ascii="Times New Roman" w:hAnsi="Times New Roman" w:cs="Times New Roman" w:hint="eastAsia"/>
          <w:sz w:val="24"/>
          <w:szCs w:val="24"/>
          <w:highlight w:val="yellow"/>
        </w:rPr>
        <w:lastRenderedPageBreak/>
        <w:t xml:space="preserve">(J-L) </w:t>
      </w:r>
      <w:r w:rsidRPr="00B2017A">
        <w:rPr>
          <w:rFonts w:ascii="Times New Roman" w:hAnsi="Times New Roman" w:cs="Times New Roman"/>
          <w:sz w:val="24"/>
          <w:szCs w:val="24"/>
          <w:highlight w:val="yellow"/>
        </w:rPr>
        <w:t>RT-qPCR analysis of</w:t>
      </w:r>
      <w:r>
        <w:rPr>
          <w:rFonts w:ascii="Times New Roman" w:hAnsi="Times New Roman" w:cs="Times New Roman" w:hint="eastAsia"/>
          <w:sz w:val="24"/>
          <w:szCs w:val="24"/>
          <w:highlight w:val="yellow"/>
        </w:rPr>
        <w:t xml:space="preserve"> the expression of </w:t>
      </w:r>
      <w:r w:rsidRPr="00B2017A">
        <w:rPr>
          <w:rFonts w:ascii="Times New Roman" w:eastAsia="宋体" w:hAnsi="Times New Roman" w:cs="Times New Roman"/>
          <w:sz w:val="24"/>
          <w:szCs w:val="24"/>
          <w:highlight w:val="yellow"/>
        </w:rPr>
        <w:t>PTPRH, BEX4</w:t>
      </w:r>
      <w:r>
        <w:rPr>
          <w:rFonts w:ascii="Times New Roman" w:eastAsia="宋体" w:hAnsi="Times New Roman" w:cs="Times New Roman" w:hint="eastAsia"/>
          <w:sz w:val="24"/>
          <w:szCs w:val="24"/>
          <w:highlight w:val="yellow"/>
        </w:rPr>
        <w:t xml:space="preserve"> and</w:t>
      </w:r>
      <w:r w:rsidRPr="00B2017A">
        <w:rPr>
          <w:rFonts w:ascii="Times New Roman" w:eastAsia="宋体" w:hAnsi="Times New Roman" w:cs="Times New Roman"/>
          <w:sz w:val="24"/>
          <w:szCs w:val="24"/>
          <w:highlight w:val="yellow"/>
        </w:rPr>
        <w:t xml:space="preserve"> LYPD3</w:t>
      </w:r>
      <w:r>
        <w:rPr>
          <w:rFonts w:ascii="Times New Roman" w:eastAsia="宋体" w:hAnsi="Times New Roman" w:cs="Times New Roman" w:hint="eastAsia"/>
          <w:sz w:val="24"/>
          <w:szCs w:val="24"/>
          <w:highlight w:val="yellow"/>
        </w:rPr>
        <w:t xml:space="preserve"> </w:t>
      </w:r>
      <w:r w:rsidRPr="00B2017A">
        <w:rPr>
          <w:rFonts w:ascii="Times New Roman" w:hAnsi="Times New Roman" w:cs="Times New Roman"/>
          <w:sz w:val="24"/>
          <w:szCs w:val="24"/>
          <w:highlight w:val="yellow"/>
        </w:rPr>
        <w:t>in radiosensitive and radioresistant LUAD cells.</w:t>
      </w:r>
      <w:r>
        <w:rPr>
          <w:rFonts w:ascii="Times New Roman" w:hAnsi="Times New Roman" w:cs="Times New Roman" w:hint="eastAsia"/>
          <w:sz w:val="24"/>
          <w:szCs w:val="24"/>
          <w:highlight w:val="yellow"/>
        </w:rPr>
        <w:t xml:space="preserve"> (M) Representative RT-PCR images of </w:t>
      </w:r>
      <w:r w:rsidRPr="00B2017A">
        <w:rPr>
          <w:rFonts w:ascii="Times New Roman" w:hAnsi="Times New Roman" w:cs="Times New Roman"/>
          <w:sz w:val="24"/>
          <w:szCs w:val="24"/>
          <w:highlight w:val="yellow"/>
        </w:rPr>
        <w:t>the prognostic DERRGs</w:t>
      </w:r>
      <w:r>
        <w:rPr>
          <w:rFonts w:ascii="Times New Roman" w:hAnsi="Times New Roman" w:cs="Times New Roman" w:hint="eastAsia"/>
          <w:sz w:val="24"/>
          <w:szCs w:val="24"/>
          <w:highlight w:val="yellow"/>
        </w:rPr>
        <w:t xml:space="preserve"> (</w:t>
      </w:r>
      <w:r w:rsidRPr="00B2017A">
        <w:rPr>
          <w:rFonts w:ascii="Times New Roman" w:eastAsia="宋体" w:hAnsi="Times New Roman" w:cs="Times New Roman"/>
          <w:sz w:val="24"/>
          <w:szCs w:val="24"/>
          <w:highlight w:val="yellow"/>
        </w:rPr>
        <w:t>FAM83A, PLEK2, and ESYT3</w:t>
      </w:r>
      <w:r w:rsidRPr="00B2017A">
        <w:rPr>
          <w:rFonts w:ascii="Times New Roman" w:hAnsi="Times New Roman" w:cs="Times New Roman"/>
          <w:sz w:val="24"/>
          <w:szCs w:val="24"/>
          <w:highlight w:val="yellow"/>
        </w:rPr>
        <w:t>)</w:t>
      </w:r>
      <w:r>
        <w:rPr>
          <w:rFonts w:ascii="Times New Roman" w:hAnsi="Times New Roman" w:cs="Times New Roman" w:hint="eastAsia"/>
          <w:sz w:val="24"/>
          <w:szCs w:val="24"/>
          <w:highlight w:val="yellow"/>
        </w:rPr>
        <w:t xml:space="preserve"> </w:t>
      </w:r>
      <w:r w:rsidRPr="00B2017A">
        <w:rPr>
          <w:rFonts w:ascii="Times New Roman" w:hAnsi="Times New Roman" w:cs="Times New Roman"/>
          <w:sz w:val="24"/>
          <w:szCs w:val="24"/>
          <w:highlight w:val="yellow"/>
        </w:rPr>
        <w:t>in radiosensitive and radioresistant LUAD cells.</w:t>
      </w:r>
      <w:r>
        <w:rPr>
          <w:rFonts w:ascii="Times New Roman" w:hAnsi="Times New Roman" w:cs="Times New Roman" w:hint="eastAsia"/>
          <w:sz w:val="24"/>
          <w:szCs w:val="24"/>
          <w:highlight w:val="yellow"/>
        </w:rPr>
        <w:t xml:space="preserve"> (N-P) </w:t>
      </w:r>
      <w:r w:rsidRPr="00B2017A">
        <w:rPr>
          <w:rFonts w:ascii="Times New Roman" w:hAnsi="Times New Roman" w:cs="Times New Roman"/>
          <w:sz w:val="24"/>
          <w:szCs w:val="24"/>
          <w:highlight w:val="yellow"/>
        </w:rPr>
        <w:t>RT-qPCR analysis of</w:t>
      </w:r>
      <w:r>
        <w:rPr>
          <w:rFonts w:ascii="Times New Roman" w:hAnsi="Times New Roman" w:cs="Times New Roman" w:hint="eastAsia"/>
          <w:sz w:val="24"/>
          <w:szCs w:val="24"/>
          <w:highlight w:val="yellow"/>
        </w:rPr>
        <w:t xml:space="preserve"> the expression of </w:t>
      </w:r>
      <w:r w:rsidRPr="00B2017A">
        <w:rPr>
          <w:rFonts w:ascii="Times New Roman" w:eastAsia="宋体" w:hAnsi="Times New Roman" w:cs="Times New Roman"/>
          <w:sz w:val="24"/>
          <w:szCs w:val="24"/>
          <w:highlight w:val="yellow"/>
        </w:rPr>
        <w:t>FAM83A, PLEK2, and ESYT3</w:t>
      </w:r>
      <w:r>
        <w:rPr>
          <w:rFonts w:ascii="Times New Roman" w:eastAsia="宋体" w:hAnsi="Times New Roman" w:cs="Times New Roman" w:hint="eastAsia"/>
          <w:sz w:val="24"/>
          <w:szCs w:val="24"/>
          <w:highlight w:val="yellow"/>
        </w:rPr>
        <w:t xml:space="preserve"> </w:t>
      </w:r>
      <w:r w:rsidRPr="00B2017A">
        <w:rPr>
          <w:rFonts w:ascii="Times New Roman" w:hAnsi="Times New Roman" w:cs="Times New Roman"/>
          <w:sz w:val="24"/>
          <w:szCs w:val="24"/>
          <w:highlight w:val="yellow"/>
        </w:rPr>
        <w:t>in radiosensitive and radioresistant LUAD cells.</w:t>
      </w:r>
      <w:r>
        <w:rPr>
          <w:rFonts w:ascii="Times New Roman" w:hAnsi="Times New Roman" w:cs="Times New Roman" w:hint="eastAsia"/>
          <w:sz w:val="24"/>
          <w:szCs w:val="24"/>
          <w:highlight w:val="yellow"/>
        </w:rPr>
        <w:t xml:space="preserve"> </w:t>
      </w:r>
      <w:r w:rsidRPr="00B2017A">
        <w:rPr>
          <w:rFonts w:ascii="Times New Roman" w:hAnsi="Times New Roman" w:cs="Times New Roman"/>
          <w:sz w:val="24"/>
          <w:szCs w:val="24"/>
          <w:highlight w:val="yellow"/>
        </w:rPr>
        <w:t>*p&lt;0.05; **p&lt;0.01; ***p&lt;0.001; ****p&lt;0.0001.</w:t>
      </w:r>
    </w:p>
    <w:p w14:paraId="4F7E9F48" w14:textId="4C3A98F4" w:rsidR="001A4906" w:rsidRDefault="001A4906" w:rsidP="001A4906">
      <w:pPr>
        <w:spacing w:line="480" w:lineRule="auto"/>
        <w:rPr>
          <w:rFonts w:ascii="Times New Roman" w:hAnsi="Times New Roman" w:cs="Times New Roman"/>
          <w:sz w:val="24"/>
          <w:szCs w:val="24"/>
        </w:rPr>
      </w:pPr>
      <w:r w:rsidRPr="00B2017A">
        <w:rPr>
          <w:rFonts w:ascii="Times New Roman" w:hAnsi="Times New Roman" w:cs="Times New Roman"/>
          <w:sz w:val="24"/>
          <w:szCs w:val="24"/>
          <w:highlight w:val="yellow"/>
        </w:rPr>
        <w:t xml:space="preserve">Supplementary figure </w:t>
      </w:r>
      <w:r w:rsidR="00B2017A" w:rsidRPr="00B2017A">
        <w:rPr>
          <w:rFonts w:ascii="Times New Roman" w:hAnsi="Times New Roman" w:cs="Times New Roman" w:hint="eastAsia"/>
          <w:sz w:val="24"/>
          <w:szCs w:val="24"/>
          <w:highlight w:val="yellow"/>
        </w:rPr>
        <w:t>8</w:t>
      </w:r>
      <w:r w:rsidRPr="00B2017A">
        <w:rPr>
          <w:rFonts w:ascii="Times New Roman" w:hAnsi="Times New Roman" w:cs="Times New Roman"/>
          <w:sz w:val="24"/>
          <w:szCs w:val="24"/>
          <w:highlight w:val="yellow"/>
        </w:rPr>
        <w:t>.</w:t>
      </w:r>
      <w:r w:rsidRPr="001A4906">
        <w:rPr>
          <w:rFonts w:ascii="Times New Roman" w:hAnsi="Times New Roman" w:cs="Times New Roman"/>
          <w:sz w:val="24"/>
          <w:szCs w:val="24"/>
        </w:rPr>
        <w:t xml:space="preserve"> ESYT3 acts as a potential tumor suppressor in LUAD. (A) ESYT3 expression in TCGA-LUAD and normal tissues. (B) Difference in ESYT3 expression among diverse pathological stages. (C, D) Analysis of OS and DFS in patients with low and high ESYT3 expression. </w:t>
      </w:r>
      <w:r w:rsidR="00524A7F" w:rsidRPr="00524A7F">
        <w:rPr>
          <w:rFonts w:ascii="Times New Roman" w:hAnsi="Times New Roman" w:cs="Times New Roman"/>
          <w:sz w:val="24"/>
          <w:szCs w:val="24"/>
          <w:highlight w:val="yellow"/>
        </w:rPr>
        <w:t>(</w:t>
      </w:r>
      <w:r w:rsidR="00524A7F" w:rsidRPr="00524A7F">
        <w:rPr>
          <w:rFonts w:ascii="Times New Roman" w:hAnsi="Times New Roman" w:cs="Times New Roman" w:hint="eastAsia"/>
          <w:sz w:val="24"/>
          <w:szCs w:val="24"/>
          <w:highlight w:val="yellow"/>
        </w:rPr>
        <w:t>E</w:t>
      </w:r>
      <w:r w:rsidR="00524A7F" w:rsidRPr="00524A7F">
        <w:rPr>
          <w:rFonts w:ascii="Times New Roman" w:hAnsi="Times New Roman" w:cs="Times New Roman"/>
          <w:sz w:val="24"/>
          <w:szCs w:val="24"/>
          <w:highlight w:val="yellow"/>
        </w:rPr>
        <w:t xml:space="preserve">) IHC staining of </w:t>
      </w:r>
      <w:r w:rsidR="00524A7F" w:rsidRPr="00524A7F">
        <w:rPr>
          <w:rFonts w:ascii="Times New Roman" w:eastAsia="宋体" w:hAnsi="Times New Roman" w:cs="Times New Roman"/>
          <w:sz w:val="24"/>
          <w:szCs w:val="24"/>
          <w:highlight w:val="yellow"/>
        </w:rPr>
        <w:t xml:space="preserve">ESYT3 expression in representative human LUAD tissues (n=8). </w:t>
      </w:r>
      <w:r w:rsidR="00524A7F" w:rsidRPr="00524A7F">
        <w:rPr>
          <w:rFonts w:ascii="Times New Roman" w:hAnsi="Times New Roman" w:cs="Times New Roman"/>
          <w:sz w:val="24"/>
          <w:szCs w:val="24"/>
          <w:highlight w:val="yellow"/>
        </w:rPr>
        <w:t xml:space="preserve">Bar, 200 </w:t>
      </w:r>
      <w:proofErr w:type="spellStart"/>
      <w:r w:rsidR="00524A7F" w:rsidRPr="00524A7F">
        <w:rPr>
          <w:rFonts w:ascii="Times New Roman" w:hAnsi="Times New Roman" w:cs="Times New Roman"/>
          <w:sz w:val="24"/>
          <w:szCs w:val="24"/>
          <w:highlight w:val="yellow"/>
        </w:rPr>
        <w:t>μm</w:t>
      </w:r>
      <w:proofErr w:type="spellEnd"/>
      <w:r w:rsidR="00524A7F" w:rsidRPr="00524A7F">
        <w:rPr>
          <w:rFonts w:ascii="Times New Roman" w:hAnsi="Times New Roman" w:cs="Times New Roman"/>
          <w:sz w:val="24"/>
          <w:szCs w:val="24"/>
          <w:highlight w:val="yellow"/>
        </w:rPr>
        <w:t>.</w:t>
      </w:r>
      <w:r w:rsidR="00524A7F" w:rsidRPr="00D070DD">
        <w:rPr>
          <w:rFonts w:ascii="Times New Roman" w:hAnsi="Times New Roman" w:cs="Times New Roman"/>
          <w:sz w:val="24"/>
          <w:szCs w:val="24"/>
        </w:rPr>
        <w:t xml:space="preserve"> </w:t>
      </w:r>
      <w:r w:rsidRPr="001A4906">
        <w:rPr>
          <w:rFonts w:ascii="Times New Roman" w:hAnsi="Times New Roman" w:cs="Times New Roman"/>
          <w:sz w:val="24"/>
          <w:szCs w:val="24"/>
        </w:rPr>
        <w:t>*p&lt;0.05.</w:t>
      </w:r>
    </w:p>
    <w:p w14:paraId="14B4AFD7" w14:textId="232896A1" w:rsidR="008002E7" w:rsidRDefault="008002E7" w:rsidP="001A4906">
      <w:pPr>
        <w:spacing w:line="480" w:lineRule="auto"/>
        <w:rPr>
          <w:rFonts w:ascii="Times New Roman" w:eastAsia="宋体" w:hAnsi="Times New Roman" w:cs="Times New Roman"/>
          <w:sz w:val="24"/>
          <w:szCs w:val="24"/>
        </w:rPr>
      </w:pPr>
      <w:r w:rsidRPr="008002E7">
        <w:rPr>
          <w:rFonts w:ascii="Times New Roman" w:hAnsi="Times New Roman" w:cs="Times New Roman"/>
          <w:sz w:val="24"/>
          <w:szCs w:val="24"/>
          <w:highlight w:val="yellow"/>
        </w:rPr>
        <w:t xml:space="preserve">Supplementary figure </w:t>
      </w:r>
      <w:r w:rsidRPr="008002E7">
        <w:rPr>
          <w:rFonts w:ascii="Times New Roman" w:hAnsi="Times New Roman" w:cs="Times New Roman" w:hint="eastAsia"/>
          <w:sz w:val="24"/>
          <w:szCs w:val="24"/>
          <w:highlight w:val="yellow"/>
        </w:rPr>
        <w:t xml:space="preserve">9. RT-PCR analysis results. (A) </w:t>
      </w:r>
      <w:r w:rsidRPr="008002E7">
        <w:rPr>
          <w:rFonts w:ascii="Times New Roman" w:eastAsia="宋体" w:hAnsi="Times New Roman" w:cs="Times New Roman"/>
          <w:sz w:val="24"/>
          <w:szCs w:val="24"/>
          <w:highlight w:val="yellow"/>
        </w:rPr>
        <w:t xml:space="preserve">RT-PCR </w:t>
      </w:r>
      <w:r w:rsidRPr="008002E7">
        <w:rPr>
          <w:rFonts w:ascii="Times New Roman" w:eastAsia="宋体" w:hAnsi="Times New Roman" w:cs="Times New Roman" w:hint="eastAsia"/>
          <w:sz w:val="24"/>
          <w:szCs w:val="24"/>
          <w:highlight w:val="yellow"/>
        </w:rPr>
        <w:t xml:space="preserve">of </w:t>
      </w:r>
      <w:r w:rsidRPr="008002E7">
        <w:rPr>
          <w:rFonts w:ascii="Times New Roman" w:hAnsi="Times New Roman" w:cs="Times New Roman"/>
          <w:sz w:val="24"/>
          <w:szCs w:val="24"/>
          <w:highlight w:val="yellow"/>
        </w:rPr>
        <w:t>ESYT3</w:t>
      </w:r>
      <w:r w:rsidRPr="008002E7">
        <w:rPr>
          <w:rFonts w:ascii="Times New Roman" w:hAnsi="Times New Roman" w:cs="Times New Roman" w:hint="eastAsia"/>
          <w:sz w:val="24"/>
          <w:szCs w:val="24"/>
          <w:highlight w:val="yellow"/>
        </w:rPr>
        <w:t xml:space="preserve">, </w:t>
      </w:r>
      <w:r w:rsidRPr="008002E7">
        <w:rPr>
          <w:rFonts w:ascii="Times New Roman" w:hAnsi="Times New Roman" w:cs="Times New Roman"/>
          <w:sz w:val="24"/>
          <w:szCs w:val="24"/>
          <w:highlight w:val="yellow"/>
        </w:rPr>
        <w:t>IFNβ, CCL5 and CXCL10 in A549 and H1975 cells transfected with ESYT3 overexpression plasmids</w:t>
      </w:r>
      <w:r w:rsidRPr="008002E7">
        <w:rPr>
          <w:rFonts w:ascii="Times New Roman" w:hAnsi="Times New Roman" w:cs="Times New Roman" w:hint="eastAsia"/>
          <w:sz w:val="24"/>
          <w:szCs w:val="24"/>
          <w:highlight w:val="yellow"/>
        </w:rPr>
        <w:t xml:space="preserve">. </w:t>
      </w:r>
      <w:r w:rsidRPr="008002E7">
        <w:rPr>
          <w:rFonts w:ascii="Times New Roman" w:eastAsia="宋体" w:hAnsi="Times New Roman" w:cs="Times New Roman" w:hint="eastAsia"/>
          <w:sz w:val="24"/>
          <w:szCs w:val="24"/>
          <w:highlight w:val="yellow"/>
        </w:rPr>
        <w:t xml:space="preserve">(B, C) </w:t>
      </w:r>
      <w:r w:rsidRPr="008002E7">
        <w:rPr>
          <w:rFonts w:ascii="Times New Roman" w:eastAsia="宋体" w:hAnsi="Times New Roman" w:cs="Times New Roman"/>
          <w:sz w:val="24"/>
          <w:szCs w:val="24"/>
          <w:highlight w:val="yellow"/>
        </w:rPr>
        <w:t xml:space="preserve">RT-PCR </w:t>
      </w:r>
      <w:r w:rsidRPr="008002E7">
        <w:rPr>
          <w:rFonts w:ascii="Times New Roman" w:eastAsia="宋体" w:hAnsi="Times New Roman" w:cs="Times New Roman" w:hint="eastAsia"/>
          <w:sz w:val="24"/>
          <w:szCs w:val="24"/>
          <w:highlight w:val="yellow"/>
        </w:rPr>
        <w:t xml:space="preserve">of </w:t>
      </w:r>
      <w:r w:rsidRPr="008002E7">
        <w:rPr>
          <w:rFonts w:ascii="Times New Roman" w:hAnsi="Times New Roman" w:cs="Times New Roman"/>
          <w:sz w:val="24"/>
          <w:szCs w:val="24"/>
          <w:highlight w:val="yellow"/>
        </w:rPr>
        <w:t xml:space="preserve">IFNβ, </w:t>
      </w:r>
      <w:r w:rsidRPr="008002E7">
        <w:rPr>
          <w:rFonts w:ascii="Times New Roman" w:eastAsia="宋体" w:hAnsi="Times New Roman" w:cs="Times New Roman"/>
          <w:sz w:val="24"/>
          <w:szCs w:val="24"/>
          <w:highlight w:val="yellow"/>
        </w:rPr>
        <w:t>CCL5 and CXCL10</w:t>
      </w:r>
      <w:r w:rsidRPr="008002E7">
        <w:rPr>
          <w:rFonts w:ascii="Times New Roman" w:eastAsia="宋体" w:hAnsi="Times New Roman" w:cs="Times New Roman" w:hint="eastAsia"/>
          <w:sz w:val="24"/>
          <w:szCs w:val="24"/>
          <w:highlight w:val="yellow"/>
        </w:rPr>
        <w:t xml:space="preserve"> </w:t>
      </w:r>
      <w:r w:rsidRPr="008002E7">
        <w:rPr>
          <w:rFonts w:ascii="Times New Roman" w:eastAsia="宋体" w:hAnsi="Times New Roman" w:cs="Times New Roman"/>
          <w:sz w:val="24"/>
          <w:szCs w:val="24"/>
          <w:highlight w:val="yellow"/>
        </w:rPr>
        <w:t xml:space="preserve">in A549 and H1975 cells overexpressing ESYT3 </w:t>
      </w:r>
      <w:bookmarkStart w:id="0" w:name="OLE_LINK27"/>
      <w:r w:rsidRPr="008002E7">
        <w:rPr>
          <w:rFonts w:ascii="Times New Roman" w:eastAsia="宋体" w:hAnsi="Times New Roman" w:cs="Times New Roman"/>
          <w:sz w:val="24"/>
          <w:szCs w:val="24"/>
          <w:highlight w:val="yellow"/>
        </w:rPr>
        <w:t>following</w:t>
      </w:r>
      <w:r w:rsidRPr="008002E7">
        <w:rPr>
          <w:rFonts w:ascii="Times New Roman" w:hAnsi="Times New Roman" w:cs="Times New Roman"/>
          <w:highlight w:val="yellow"/>
        </w:rPr>
        <w:t xml:space="preserve"> </w:t>
      </w:r>
      <w:r w:rsidRPr="008002E7">
        <w:rPr>
          <w:rFonts w:ascii="Times New Roman" w:eastAsia="宋体" w:hAnsi="Times New Roman" w:cs="Times New Roman"/>
          <w:sz w:val="24"/>
          <w:szCs w:val="24"/>
          <w:highlight w:val="yellow"/>
        </w:rPr>
        <w:t xml:space="preserve">irradiation induction (5 </w:t>
      </w:r>
      <w:proofErr w:type="spellStart"/>
      <w:r w:rsidRPr="008002E7">
        <w:rPr>
          <w:rFonts w:ascii="Times New Roman" w:eastAsia="宋体" w:hAnsi="Times New Roman" w:cs="Times New Roman"/>
          <w:sz w:val="24"/>
          <w:szCs w:val="24"/>
          <w:highlight w:val="yellow"/>
        </w:rPr>
        <w:t>Gy</w:t>
      </w:r>
      <w:proofErr w:type="spellEnd"/>
      <w:r w:rsidRPr="008002E7">
        <w:rPr>
          <w:rFonts w:ascii="Times New Roman" w:eastAsia="宋体" w:hAnsi="Times New Roman" w:cs="Times New Roman"/>
          <w:sz w:val="24"/>
          <w:szCs w:val="24"/>
          <w:highlight w:val="yellow"/>
        </w:rPr>
        <w:t>) for 2 hours</w:t>
      </w:r>
      <w:bookmarkEnd w:id="0"/>
      <w:r w:rsidRPr="008002E7">
        <w:rPr>
          <w:rFonts w:ascii="Times New Roman" w:eastAsia="宋体" w:hAnsi="Times New Roman" w:cs="Times New Roman"/>
          <w:sz w:val="24"/>
          <w:szCs w:val="24"/>
          <w:highlight w:val="yellow"/>
        </w:rPr>
        <w:t>.</w:t>
      </w:r>
    </w:p>
    <w:p w14:paraId="2A422B78" w14:textId="1867C157" w:rsidR="008002E7" w:rsidRPr="00087F25" w:rsidRDefault="008002E7" w:rsidP="001A4906">
      <w:pPr>
        <w:spacing w:line="480" w:lineRule="auto"/>
        <w:rPr>
          <w:rFonts w:ascii="Times New Roman" w:hAnsi="Times New Roman" w:cs="Times New Roman" w:hint="eastAsia"/>
          <w:sz w:val="24"/>
          <w:szCs w:val="24"/>
        </w:rPr>
      </w:pPr>
      <w:r w:rsidRPr="008002E7">
        <w:rPr>
          <w:rFonts w:ascii="Times New Roman" w:hAnsi="Times New Roman" w:cs="Times New Roman"/>
          <w:sz w:val="24"/>
          <w:szCs w:val="24"/>
          <w:highlight w:val="yellow"/>
        </w:rPr>
        <w:t xml:space="preserve">Supplementary figure </w:t>
      </w:r>
      <w:r>
        <w:rPr>
          <w:rFonts w:ascii="Times New Roman" w:hAnsi="Times New Roman" w:cs="Times New Roman" w:hint="eastAsia"/>
          <w:sz w:val="24"/>
          <w:szCs w:val="24"/>
          <w:highlight w:val="yellow"/>
        </w:rPr>
        <w:t>10</w:t>
      </w:r>
      <w:r w:rsidRPr="008002E7">
        <w:rPr>
          <w:rFonts w:ascii="Times New Roman" w:hAnsi="Times New Roman" w:cs="Times New Roman" w:hint="eastAsia"/>
          <w:sz w:val="24"/>
          <w:szCs w:val="24"/>
          <w:highlight w:val="yellow"/>
        </w:rPr>
        <w:t>.</w:t>
      </w:r>
      <w:r>
        <w:rPr>
          <w:rFonts w:ascii="Times New Roman" w:hAnsi="Times New Roman" w:cs="Times New Roman" w:hint="eastAsia"/>
          <w:sz w:val="24"/>
          <w:szCs w:val="24"/>
        </w:rPr>
        <w:t xml:space="preserve"> Molecular docking of </w:t>
      </w:r>
      <w:r w:rsidRPr="008002E7">
        <w:rPr>
          <w:rFonts w:ascii="Times New Roman" w:hAnsi="Times New Roman" w:cs="Times New Roman"/>
          <w:sz w:val="24"/>
          <w:szCs w:val="24"/>
          <w:highlight w:val="yellow"/>
        </w:rPr>
        <w:t>ESYT3</w:t>
      </w:r>
      <w:r>
        <w:rPr>
          <w:rFonts w:ascii="Times New Roman" w:hAnsi="Times New Roman" w:cs="Times New Roman" w:hint="eastAsia"/>
          <w:sz w:val="24"/>
          <w:szCs w:val="24"/>
        </w:rPr>
        <w:t xml:space="preserve"> and STING.</w:t>
      </w:r>
    </w:p>
    <w:sectPr w:rsidR="008002E7" w:rsidRPr="00087F25" w:rsidSect="00EF2DB8">
      <w:footerReference w:type="default" r:id="rId6"/>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05D3E" w14:textId="77777777" w:rsidR="003C5276" w:rsidRDefault="003C5276">
      <w:r>
        <w:separator/>
      </w:r>
    </w:p>
  </w:endnote>
  <w:endnote w:type="continuationSeparator" w:id="0">
    <w:p w14:paraId="1210E819" w14:textId="77777777" w:rsidR="003C5276" w:rsidRDefault="003C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4139747"/>
      <w:docPartObj>
        <w:docPartGallery w:val="Page Numbers (Bottom of Page)"/>
        <w:docPartUnique/>
      </w:docPartObj>
    </w:sdtPr>
    <w:sdtContent>
      <w:p w14:paraId="0B6297E3" w14:textId="77777777" w:rsidR="009123AF" w:rsidRDefault="00000000">
        <w:pPr>
          <w:pStyle w:val="a3"/>
          <w:jc w:val="center"/>
        </w:pPr>
        <w:r>
          <w:fldChar w:fldCharType="begin"/>
        </w:r>
        <w:r>
          <w:instrText>PAGE   \* MERGEFORMAT</w:instrText>
        </w:r>
        <w:r>
          <w:fldChar w:fldCharType="separate"/>
        </w:r>
        <w:r>
          <w:rPr>
            <w:lang w:val="zh-CN"/>
          </w:rPr>
          <w:t>2</w:t>
        </w:r>
        <w:r>
          <w:fldChar w:fldCharType="end"/>
        </w:r>
      </w:p>
    </w:sdtContent>
  </w:sdt>
  <w:p w14:paraId="60699DF4" w14:textId="77777777" w:rsidR="009123AF" w:rsidRDefault="009123A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5E25D" w14:textId="77777777" w:rsidR="003C5276" w:rsidRDefault="003C5276">
      <w:r>
        <w:separator/>
      </w:r>
    </w:p>
  </w:footnote>
  <w:footnote w:type="continuationSeparator" w:id="0">
    <w:p w14:paraId="50884D24" w14:textId="77777777" w:rsidR="003C5276" w:rsidRDefault="003C52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25"/>
    <w:rsid w:val="00087F25"/>
    <w:rsid w:val="00194D54"/>
    <w:rsid w:val="001A4906"/>
    <w:rsid w:val="0020358E"/>
    <w:rsid w:val="002E111A"/>
    <w:rsid w:val="002F2704"/>
    <w:rsid w:val="003C5276"/>
    <w:rsid w:val="00463721"/>
    <w:rsid w:val="00524A7F"/>
    <w:rsid w:val="0059757E"/>
    <w:rsid w:val="005A5F6D"/>
    <w:rsid w:val="005D09EA"/>
    <w:rsid w:val="00707318"/>
    <w:rsid w:val="007317E2"/>
    <w:rsid w:val="008002E7"/>
    <w:rsid w:val="008F600E"/>
    <w:rsid w:val="009123AF"/>
    <w:rsid w:val="00B14E74"/>
    <w:rsid w:val="00B2017A"/>
    <w:rsid w:val="00B333F2"/>
    <w:rsid w:val="00EC4C8B"/>
    <w:rsid w:val="00ED2475"/>
    <w:rsid w:val="00EF2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0676D"/>
  <w15:chartTrackingRefBased/>
  <w15:docId w15:val="{9B300286-FC1F-41BC-BC63-6737A39F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F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87F25"/>
    <w:pPr>
      <w:tabs>
        <w:tab w:val="center" w:pos="4153"/>
        <w:tab w:val="right" w:pos="8306"/>
      </w:tabs>
      <w:snapToGrid w:val="0"/>
      <w:jc w:val="left"/>
    </w:pPr>
    <w:rPr>
      <w:sz w:val="18"/>
      <w:szCs w:val="18"/>
    </w:rPr>
  </w:style>
  <w:style w:type="character" w:customStyle="1" w:styleId="a4">
    <w:name w:val="页脚 字符"/>
    <w:basedOn w:val="a0"/>
    <w:link w:val="a3"/>
    <w:uiPriority w:val="99"/>
    <w:rsid w:val="00087F25"/>
    <w:rPr>
      <w:sz w:val="18"/>
      <w:szCs w:val="18"/>
    </w:rPr>
  </w:style>
  <w:style w:type="character" w:styleId="a5">
    <w:name w:val="line number"/>
    <w:basedOn w:val="a0"/>
    <w:uiPriority w:val="99"/>
    <w:semiHidden/>
    <w:unhideWhenUsed/>
    <w:rsid w:val="00087F25"/>
  </w:style>
  <w:style w:type="paragraph" w:styleId="a6">
    <w:name w:val="header"/>
    <w:basedOn w:val="a"/>
    <w:link w:val="a7"/>
    <w:uiPriority w:val="99"/>
    <w:unhideWhenUsed/>
    <w:rsid w:val="001A4906"/>
    <w:pPr>
      <w:tabs>
        <w:tab w:val="center" w:pos="4153"/>
        <w:tab w:val="right" w:pos="8306"/>
      </w:tabs>
      <w:snapToGrid w:val="0"/>
      <w:jc w:val="center"/>
    </w:pPr>
    <w:rPr>
      <w:sz w:val="18"/>
      <w:szCs w:val="18"/>
    </w:rPr>
  </w:style>
  <w:style w:type="character" w:customStyle="1" w:styleId="a7">
    <w:name w:val="页眉 字符"/>
    <w:basedOn w:val="a0"/>
    <w:link w:val="a6"/>
    <w:uiPriority w:val="99"/>
    <w:rsid w:val="001A49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936</Words>
  <Characters>5338</Characters>
  <DocSecurity>0</DocSecurity>
  <Lines>44</Lines>
  <Paragraphs>12</Paragraphs>
  <ScaleCrop>false</ScaleCrop>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2024-01-15T00:30:00Z</dcterms:created>
  <dcterms:modified xsi:type="dcterms:W3CDTF">2024-06-14T20:17:00Z</dcterms:modified>
</cp:coreProperties>
</file>