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148C4">
      <w:pPr>
        <w:pStyle w:val="2"/>
      </w:pPr>
      <w:bookmarkStart w:id="34" w:name="_GoBack"/>
      <w:bookmarkEnd w:id="34"/>
      <w:r>
        <w:t xml:space="preserve">Supplementary </w:t>
      </w:r>
      <w:r>
        <w:rPr>
          <w:rFonts w:hint="eastAsia" w:eastAsiaTheme="minorEastAsia"/>
        </w:rPr>
        <w:t>M</w:t>
      </w:r>
      <w:r>
        <w:t>aterials</w:t>
      </w:r>
    </w:p>
    <w:p w14:paraId="48317F76">
      <w:pPr>
        <w:rPr>
          <w:b/>
        </w:rPr>
      </w:pPr>
      <w:bookmarkStart w:id="0" w:name="OLE_LINK47"/>
      <w:r>
        <w:rPr>
          <w:b/>
        </w:rPr>
        <w:t xml:space="preserve">Efficacy of NKG2D CAR-T cells with IL-15/IL-15Rα signaling for treating Epstein-Barr virus-associated lymphoproliferative disorder </w:t>
      </w:r>
      <w:bookmarkEnd w:id="0"/>
    </w:p>
    <w:p w14:paraId="7B22ACFD">
      <w:pPr>
        <w:pStyle w:val="2"/>
      </w:pPr>
      <w:r>
        <w:t>Supplementary Methods</w:t>
      </w:r>
    </w:p>
    <w:p w14:paraId="7C535507">
      <w:pPr>
        <w:rPr>
          <w:b/>
          <w:highlight w:val="yellow"/>
        </w:rPr>
      </w:pPr>
      <w:bookmarkStart w:id="1" w:name="OLE_LINK6"/>
      <w:r>
        <w:rPr>
          <w:b/>
          <w:highlight w:val="yellow"/>
        </w:rPr>
        <w:t>PBMC isolation</w:t>
      </w:r>
    </w:p>
    <w:p w14:paraId="23F1D5C5">
      <w:pPr>
        <w:rPr>
          <w:highlight w:val="yellow"/>
        </w:rPr>
      </w:pPr>
      <w:r>
        <w:rPr>
          <w:highlight w:val="yellow"/>
        </w:rPr>
        <w:t>Twenty milliliters of ficoll</w:t>
      </w:r>
      <w:r>
        <w:rPr>
          <w:rFonts w:hint="eastAsia"/>
        </w:rPr>
        <w:t xml:space="preserve"> </w:t>
      </w:r>
      <w:r>
        <w:rPr>
          <w:highlight w:val="yellow"/>
        </w:rPr>
        <w:t xml:space="preserve">(Tianjin Haoyang Biological Manufacture Co., Ltd, China) were added into a 50ml-centrifuge tube followed by an equal volume of “Buffy coat” taken out from the blood bag. Went through the procedure of horizontally centrifugation at 1000g×30 min, cells of lymphocyte layer were aspirated and washed with 50ml PBS at 400g×30 min for twice. Then the cells were re-suspended in 50ml PBS. </w:t>
      </w:r>
      <w:bookmarkStart w:id="2" w:name="_Hlk172316344"/>
      <w:r>
        <w:rPr>
          <w:highlight w:val="yellow"/>
        </w:rPr>
        <w:t xml:space="preserve">Total cell numbers were calculated by a counter using trypan blue staining. </w:t>
      </w:r>
      <w:bookmarkEnd w:id="2"/>
      <w:r>
        <w:rPr>
          <w:highlight w:val="yellow"/>
        </w:rPr>
        <w:t>A total of 3×10</w:t>
      </w:r>
      <w:r>
        <w:rPr>
          <w:highlight w:val="yellow"/>
          <w:vertAlign w:val="superscript"/>
        </w:rPr>
        <w:t>8</w:t>
      </w:r>
      <w:r>
        <w:rPr>
          <w:highlight w:val="yellow"/>
        </w:rPr>
        <w:t xml:space="preserve"> - 8×10</w:t>
      </w:r>
      <w:r>
        <w:rPr>
          <w:highlight w:val="yellow"/>
          <w:vertAlign w:val="superscript"/>
        </w:rPr>
        <w:t>8</w:t>
      </w:r>
      <w:r>
        <w:rPr>
          <w:highlight w:val="yellow"/>
        </w:rPr>
        <w:t xml:space="preserve"> PBMCs could be harvested from an individual Buffy coat.</w:t>
      </w:r>
    </w:p>
    <w:p w14:paraId="14888F39">
      <w:pPr>
        <w:rPr>
          <w:highlight w:val="yellow"/>
        </w:rPr>
      </w:pPr>
    </w:p>
    <w:p w14:paraId="0FA2B385">
      <w:pPr>
        <w:rPr>
          <w:b/>
          <w:highlight w:val="yellow"/>
        </w:rPr>
      </w:pPr>
      <w:bookmarkStart w:id="3" w:name="OLE_LINK9"/>
      <w:r>
        <w:rPr>
          <w:b/>
          <w:highlight w:val="yellow"/>
        </w:rPr>
        <w:t>B-LCL line construction</w:t>
      </w:r>
    </w:p>
    <w:p w14:paraId="42F34156">
      <w:pPr>
        <w:rPr>
          <w:highlight w:val="yellow"/>
        </w:rPr>
      </w:pPr>
      <w:r>
        <w:rPr>
          <w:highlight w:val="yellow"/>
        </w:rPr>
        <w:t>First</w:t>
      </w:r>
      <w:r>
        <w:rPr>
          <w:rFonts w:hint="eastAsia"/>
          <w:highlight w:val="yellow"/>
        </w:rPr>
        <w:t xml:space="preserve">ly, viral supernatant was prepared with </w:t>
      </w:r>
      <w:bookmarkStart w:id="4" w:name="OLE_LINK7"/>
      <w:r>
        <w:rPr>
          <w:highlight w:val="yellow"/>
        </w:rPr>
        <w:t xml:space="preserve">EBV infected </w:t>
      </w:r>
      <w:r>
        <w:rPr>
          <w:rFonts w:hint="eastAsia"/>
          <w:highlight w:val="yellow"/>
        </w:rPr>
        <w:t>B95-8 cell</w:t>
      </w:r>
      <w:bookmarkEnd w:id="4"/>
      <w:r>
        <w:rPr>
          <w:rFonts w:hint="eastAsia"/>
          <w:highlight w:val="yellow"/>
        </w:rPr>
        <w:t xml:space="preserve"> line. B95-8 cells</w:t>
      </w:r>
      <w:r>
        <w:rPr>
          <w:highlight w:val="yellow"/>
        </w:rPr>
        <w:t xml:space="preserve"> were</w:t>
      </w:r>
      <w:r>
        <w:rPr>
          <w:rFonts w:hint="eastAsia"/>
          <w:highlight w:val="yellow"/>
        </w:rPr>
        <w:t xml:space="preserve"> cultured in </w:t>
      </w:r>
      <w:bookmarkStart w:id="5" w:name="OLE_LINK8"/>
      <w:r>
        <w:rPr>
          <w:rFonts w:hint="eastAsia"/>
          <w:highlight w:val="yellow"/>
        </w:rPr>
        <w:t>RPMI 1640 medium supplemented with 10% heat-inactivated fetal bovine serum (FBS</w:t>
      </w:r>
      <w:r>
        <w:rPr>
          <w:highlight w:val="yellow"/>
        </w:rPr>
        <w:t>;</w:t>
      </w:r>
      <w:r>
        <w:rPr>
          <w:rFonts w:hint="eastAsia"/>
          <w:highlight w:val="yellow"/>
        </w:rPr>
        <w:t xml:space="preserve"> </w:t>
      </w:r>
      <w:bookmarkEnd w:id="5"/>
      <w:r>
        <w:rPr>
          <w:rFonts w:hint="eastAsia"/>
          <w:highlight w:val="yellow"/>
        </w:rPr>
        <w:t>Gibco), 100 units/m</w:t>
      </w:r>
      <w:r>
        <w:rPr>
          <w:highlight w:val="yellow"/>
        </w:rPr>
        <w:t>l</w:t>
      </w:r>
      <w:r>
        <w:rPr>
          <w:rFonts w:hint="eastAsia"/>
          <w:highlight w:val="yellow"/>
        </w:rPr>
        <w:t xml:space="preserve"> penicillin, and 100µg/m</w:t>
      </w:r>
      <w:r>
        <w:rPr>
          <w:highlight w:val="yellow"/>
        </w:rPr>
        <w:t>l</w:t>
      </w:r>
      <w:r>
        <w:rPr>
          <w:rFonts w:hint="eastAsia"/>
          <w:highlight w:val="yellow"/>
        </w:rPr>
        <w:t xml:space="preserve"> streptomycin (Invitrogen) at 37</w:t>
      </w:r>
      <w:bookmarkStart w:id="6" w:name="OLE_LINK11"/>
      <w:r>
        <w:rPr>
          <w:highlight w:val="yellow"/>
        </w:rPr>
        <w:t>°C</w:t>
      </w:r>
      <w:bookmarkEnd w:id="6"/>
      <w:r>
        <w:rPr>
          <w:rFonts w:hint="eastAsia"/>
          <w:highlight w:val="yellow"/>
        </w:rPr>
        <w:t xml:space="preserve"> in a humidified 5% CO2 incubator for 2 to 3 passages, </w:t>
      </w:r>
      <w:r>
        <w:rPr>
          <w:highlight w:val="yellow"/>
        </w:rPr>
        <w:t xml:space="preserve">then continually cultured </w:t>
      </w:r>
      <w:r>
        <w:rPr>
          <w:rFonts w:hint="eastAsia"/>
          <w:highlight w:val="yellow"/>
        </w:rPr>
        <w:t xml:space="preserve">for 7 days in RPMI 1640 medium supplemented with 2% FBS and 1% penicillin-streptomycin. The cells were harvested and </w:t>
      </w:r>
      <w:r>
        <w:rPr>
          <w:highlight w:val="yellow"/>
        </w:rPr>
        <w:t>repeatedly frozen and thaw</w:t>
      </w:r>
      <w:r>
        <w:rPr>
          <w:rFonts w:hint="eastAsia"/>
          <w:highlight w:val="yellow"/>
        </w:rPr>
        <w:t>ed</w:t>
      </w:r>
      <w:r>
        <w:rPr>
          <w:highlight w:val="yellow"/>
        </w:rPr>
        <w:t xml:space="preserve"> 3 times at</w:t>
      </w:r>
      <w:r>
        <w:rPr>
          <w:rFonts w:hint="eastAsia"/>
          <w:highlight w:val="yellow"/>
        </w:rPr>
        <w:t xml:space="preserve"> -</w:t>
      </w:r>
      <w:r>
        <w:rPr>
          <w:highlight w:val="yellow"/>
        </w:rPr>
        <w:t>80 °C.</w:t>
      </w:r>
      <w:r>
        <w:rPr>
          <w:rFonts w:hint="eastAsia"/>
          <w:highlight w:val="yellow"/>
        </w:rPr>
        <w:t xml:space="preserve"> </w:t>
      </w:r>
      <w:r>
        <w:rPr>
          <w:highlight w:val="yellow"/>
        </w:rPr>
        <w:t>Finally</w:t>
      </w:r>
      <w:r>
        <w:rPr>
          <w:rFonts w:hint="eastAsia"/>
          <w:highlight w:val="yellow"/>
        </w:rPr>
        <w:t>, t</w:t>
      </w:r>
      <w:r>
        <w:rPr>
          <w:highlight w:val="yellow"/>
        </w:rPr>
        <w:t>he cell lysate was centrifuged and filtered with a 0.</w:t>
      </w:r>
      <w:r>
        <w:rPr>
          <w:rFonts w:hint="eastAsia"/>
          <w:highlight w:val="yellow"/>
        </w:rPr>
        <w:t>45</w:t>
      </w:r>
      <w:r>
        <w:rPr>
          <w:highlight w:val="yellow"/>
        </w:rPr>
        <w:t xml:space="preserve"> μ</w:t>
      </w:r>
      <w:r>
        <w:rPr>
          <w:rFonts w:hint="eastAsia"/>
          <w:highlight w:val="yellow"/>
        </w:rPr>
        <w:t>m</w:t>
      </w:r>
      <w:r>
        <w:rPr>
          <w:highlight w:val="yellow"/>
        </w:rPr>
        <w:t xml:space="preserve"> filter</w:t>
      </w:r>
      <w:r>
        <w:rPr>
          <w:rFonts w:hint="eastAsia"/>
          <w:highlight w:val="yellow"/>
        </w:rPr>
        <w:t xml:space="preserve">. Secondly, PBMCs were infected with the viral supernatant. Twenty </w:t>
      </w:r>
      <w:r>
        <w:rPr>
          <w:highlight w:val="yellow"/>
        </w:rPr>
        <w:t>millions</w:t>
      </w:r>
      <w:r>
        <w:rPr>
          <w:rFonts w:hint="eastAsia"/>
          <w:highlight w:val="yellow"/>
        </w:rPr>
        <w:t xml:space="preserve"> of PBMCs were suspended in culture medium containing 4m</w:t>
      </w:r>
      <w:r>
        <w:rPr>
          <w:highlight w:val="yellow"/>
        </w:rPr>
        <w:t>l</w:t>
      </w:r>
      <w:r>
        <w:rPr>
          <w:rFonts w:hint="eastAsia"/>
          <w:highlight w:val="yellow"/>
        </w:rPr>
        <w:t xml:space="preserve"> viral supernatant and 6m</w:t>
      </w:r>
      <w:r>
        <w:rPr>
          <w:highlight w:val="yellow"/>
        </w:rPr>
        <w:t>l</w:t>
      </w:r>
      <w:r>
        <w:rPr>
          <w:rFonts w:hint="eastAsia"/>
          <w:highlight w:val="yellow"/>
        </w:rPr>
        <w:t xml:space="preserve"> RPMI 1640 complete medium supplemented with 2</w:t>
      </w:r>
      <w:r>
        <w:rPr>
          <w:highlight w:val="yellow"/>
        </w:rPr>
        <w:t>μ</w:t>
      </w:r>
      <w:r>
        <w:rPr>
          <w:rFonts w:hint="eastAsia"/>
          <w:highlight w:val="yellow"/>
        </w:rPr>
        <w:t>g/m</w:t>
      </w:r>
      <w:r>
        <w:rPr>
          <w:highlight w:val="yellow"/>
        </w:rPr>
        <w:t>l</w:t>
      </w:r>
      <w:r>
        <w:rPr>
          <w:rFonts w:hint="eastAsia"/>
          <w:highlight w:val="yellow"/>
        </w:rPr>
        <w:t xml:space="preserve"> </w:t>
      </w:r>
      <w:r>
        <w:rPr>
          <w:highlight w:val="yellow"/>
        </w:rPr>
        <w:t>c</w:t>
      </w:r>
      <w:r>
        <w:rPr>
          <w:rFonts w:hint="eastAsia"/>
          <w:highlight w:val="yellow"/>
        </w:rPr>
        <w:t>yclosporine A, and cultured at 37</w:t>
      </w:r>
      <w:r>
        <w:rPr>
          <w:highlight w:val="yellow"/>
        </w:rPr>
        <w:t>°</w:t>
      </w:r>
      <w:r>
        <w:rPr>
          <w:rFonts w:hint="eastAsia"/>
          <w:highlight w:val="yellow"/>
        </w:rPr>
        <w:t>C in a humidified 5% CO2 incubator for 4</w:t>
      </w:r>
      <w:r>
        <w:rPr>
          <w:highlight w:val="yellow"/>
        </w:rPr>
        <w:t>-</w:t>
      </w:r>
      <w:r>
        <w:rPr>
          <w:rFonts w:hint="eastAsia"/>
          <w:highlight w:val="yellow"/>
        </w:rPr>
        <w:t>6 days. Half volume of culture medium was changed every 4 to 5 days. After stable proliferation, the</w:t>
      </w:r>
      <w:r>
        <w:rPr>
          <w:highlight w:val="yellow"/>
        </w:rPr>
        <w:t xml:space="preserve"> B-LCL</w:t>
      </w:r>
      <w:r>
        <w:rPr>
          <w:rFonts w:hint="eastAsia"/>
          <w:highlight w:val="yellow"/>
        </w:rPr>
        <w:t xml:space="preserve"> cells were harvested and identified </w:t>
      </w:r>
      <w:r>
        <w:rPr>
          <w:highlight w:val="yellow"/>
        </w:rPr>
        <w:t xml:space="preserve">for biological marker and </w:t>
      </w:r>
      <w:r>
        <w:rPr>
          <w:rFonts w:hint="eastAsia"/>
          <w:highlight w:val="yellow"/>
        </w:rPr>
        <w:t xml:space="preserve">EBV </w:t>
      </w:r>
      <w:r>
        <w:rPr>
          <w:highlight w:val="yellow"/>
        </w:rPr>
        <w:t>l</w:t>
      </w:r>
      <w:r>
        <w:rPr>
          <w:rFonts w:hint="eastAsia"/>
          <w:highlight w:val="yellow"/>
        </w:rPr>
        <w:t xml:space="preserve">oad </w:t>
      </w:r>
      <w:r>
        <w:rPr>
          <w:highlight w:val="yellow"/>
        </w:rPr>
        <w:t xml:space="preserve">by </w:t>
      </w:r>
      <w:r>
        <w:rPr>
          <w:rFonts w:hint="eastAsia"/>
          <w:highlight w:val="yellow"/>
        </w:rPr>
        <w:t>flow cytometry (CD 19</w:t>
      </w:r>
      <w:r>
        <w:rPr>
          <w:rFonts w:hint="eastAsia"/>
          <w:highlight w:val="yellow"/>
          <w:vertAlign w:val="superscript"/>
        </w:rPr>
        <w:t>+</w:t>
      </w:r>
      <w:r>
        <w:rPr>
          <w:rFonts w:hint="eastAsia"/>
          <w:highlight w:val="yellow"/>
        </w:rPr>
        <w:t xml:space="preserve">) and </w:t>
      </w:r>
      <w:r>
        <w:rPr>
          <w:highlight w:val="yellow"/>
        </w:rPr>
        <w:t>q</w:t>
      </w:r>
      <w:r>
        <w:rPr>
          <w:rFonts w:hint="eastAsia"/>
          <w:highlight w:val="yellow"/>
        </w:rPr>
        <w:t>PCR.</w:t>
      </w:r>
    </w:p>
    <w:p w14:paraId="5E680F78">
      <w:pPr>
        <w:rPr>
          <w:highlight w:val="yellow"/>
        </w:rPr>
      </w:pPr>
    </w:p>
    <w:p w14:paraId="091E5AD6">
      <w:pPr>
        <w:rPr>
          <w:b/>
          <w:highlight w:val="yellow"/>
        </w:rPr>
      </w:pPr>
      <w:r>
        <w:rPr>
          <w:b/>
          <w:highlight w:val="yellow"/>
        </w:rPr>
        <w:t>Real-time quantitative PCR (qPCR) to detect EBV load</w:t>
      </w:r>
    </w:p>
    <w:p w14:paraId="6C8F6801">
      <w:pPr>
        <w:rPr>
          <w:highlight w:val="yellow"/>
        </w:rPr>
      </w:pPr>
      <w:r>
        <w:rPr>
          <w:highlight w:val="yellow"/>
        </w:rPr>
        <w:t>EBV load was measured by qPCR according to the protocol of EBV nucleic acid quantitative detection kit (Beijing Gene Technology Co., Ltd., China). Briefly, cell precipitate, supernatant</w:t>
      </w:r>
      <w:bookmarkStart w:id="7" w:name="OLE_LINK10"/>
      <w:r>
        <w:rPr>
          <w:highlight w:val="yellow"/>
        </w:rPr>
        <w:t xml:space="preserve"> (50μL)</w:t>
      </w:r>
      <w:bookmarkEnd w:id="7"/>
      <w:r>
        <w:rPr>
          <w:highlight w:val="yellow"/>
        </w:rPr>
        <w:t>, blood (50μL) or grinding fluid of different tissues (relatively equal volume) were collected and went through the procedure of lysing, nucleic acid precipitation and being washed to dry and re-dissolved to extract the nucleic acid. The concentration and purity of isolated DNA samples were determined using Nanophotometer (IMPLEN Nanophotometer, Munich, Germany) before storing at -80°C. PCR amplification was carried out on the</w:t>
      </w:r>
      <w:r>
        <w:rPr>
          <w:rFonts w:hint="eastAsia"/>
          <w:highlight w:val="yellow"/>
        </w:rPr>
        <w:t xml:space="preserve"> </w:t>
      </w:r>
      <w:r>
        <w:rPr>
          <w:highlight w:val="yellow"/>
        </w:rPr>
        <w:t xml:space="preserve">AriaMx Real-Time PCR System </w:t>
      </w:r>
      <w:r>
        <w:rPr>
          <w:rFonts w:hint="eastAsia"/>
          <w:highlight w:val="yellow"/>
        </w:rPr>
        <w:t>(</w:t>
      </w:r>
      <w:r>
        <w:rPr>
          <w:highlight w:val="yellow"/>
        </w:rPr>
        <w:t>Agilent Technologies</w:t>
      </w:r>
      <w:r>
        <w:rPr>
          <w:rFonts w:hint="eastAsia"/>
          <w:highlight w:val="yellow"/>
        </w:rPr>
        <w:t xml:space="preserve">). </w:t>
      </w:r>
      <w:r>
        <w:rPr>
          <w:highlight w:val="yellow"/>
        </w:rPr>
        <w:t xml:space="preserve">In each PCR reaction, the reaction mixture consists of </w:t>
      </w:r>
      <w:r>
        <w:rPr>
          <w:rFonts w:hint="eastAsia"/>
          <w:highlight w:val="yellow"/>
        </w:rPr>
        <w:t>2</w:t>
      </w:r>
      <w:r>
        <w:rPr>
          <w:highlight w:val="yellow"/>
        </w:rPr>
        <w:t> μl DNA</w:t>
      </w:r>
      <w:r>
        <w:rPr>
          <w:rFonts w:hint="eastAsia"/>
          <w:highlight w:val="yellow"/>
        </w:rPr>
        <w:t xml:space="preserve"> (</w:t>
      </w:r>
      <w:bookmarkStart w:id="8" w:name="OLE_LINK15"/>
      <w:r>
        <w:rPr>
          <w:rFonts w:hint="eastAsia"/>
          <w:highlight w:val="yellow"/>
        </w:rPr>
        <w:t xml:space="preserve">4 </w:t>
      </w:r>
      <w:r>
        <w:rPr>
          <w:highlight w:val="yellow"/>
        </w:rPr>
        <w:t>quantification standards</w:t>
      </w:r>
      <w:bookmarkEnd w:id="8"/>
      <w:r>
        <w:rPr>
          <w:highlight w:val="yellow"/>
        </w:rPr>
        <w:t xml:space="preserve">, </w:t>
      </w:r>
      <w:r>
        <w:rPr>
          <w:rFonts w:hint="eastAsia"/>
          <w:highlight w:val="yellow"/>
        </w:rPr>
        <w:t xml:space="preserve">negative </w:t>
      </w:r>
      <w:r>
        <w:rPr>
          <w:highlight w:val="yellow"/>
        </w:rPr>
        <w:t>quality controls, and samples</w:t>
      </w:r>
      <w:r>
        <w:rPr>
          <w:rFonts w:hint="eastAsia"/>
          <w:highlight w:val="yellow"/>
        </w:rPr>
        <w:t xml:space="preserve"> </w:t>
      </w:r>
      <w:r>
        <w:rPr>
          <w:highlight w:val="yellow"/>
        </w:rPr>
        <w:t>in duplicate</w:t>
      </w:r>
      <w:r>
        <w:rPr>
          <w:rFonts w:hint="eastAsia"/>
          <w:highlight w:val="yellow"/>
        </w:rPr>
        <w:t>)</w:t>
      </w:r>
      <w:r>
        <w:rPr>
          <w:highlight w:val="yellow"/>
        </w:rPr>
        <w:t xml:space="preserve">, </w:t>
      </w:r>
      <w:r>
        <w:rPr>
          <w:rFonts w:hint="eastAsia"/>
          <w:highlight w:val="yellow"/>
        </w:rPr>
        <w:t>11.5</w:t>
      </w:r>
      <w:r>
        <w:t>μl</w:t>
      </w:r>
      <w:r>
        <w:rPr>
          <w:highlight w:val="yellow"/>
        </w:rPr>
        <w:t xml:space="preserve"> PCR reaction solution (containing forward primer, reverse primer, probe master mix and PCR-graded water), 10 μl</w:t>
      </w:r>
      <w:r>
        <w:rPr>
          <w:rFonts w:hint="eastAsia"/>
          <w:highlight w:val="yellow"/>
        </w:rPr>
        <w:t xml:space="preserve"> </w:t>
      </w:r>
      <w:r>
        <w:rPr>
          <w:highlight w:val="yellow"/>
        </w:rPr>
        <w:t>PCR enhancer and specific Universal Library probe.</w:t>
      </w:r>
      <w:bookmarkStart w:id="9" w:name="OLE_LINK12"/>
      <w:r>
        <w:rPr>
          <w:highlight w:val="yellow"/>
        </w:rPr>
        <w:t xml:space="preserve"> </w:t>
      </w:r>
      <w:bookmarkEnd w:id="9"/>
      <w:r>
        <w:rPr>
          <w:highlight w:val="yellow"/>
        </w:rPr>
        <w:t xml:space="preserve">The reaction is initiated by pre-incubation at a temperature of 95°C for a duration of 10 minutes. Forty cycles of amplification are performed through DNA denaturation at a temperature of 95°C for a duration of 10 seconds followed by annealing and elongation at a temperature of 60°C for a duration of 30 seconds. Following the completion of the reaction, </w:t>
      </w:r>
      <w:r>
        <w:rPr>
          <w:rFonts w:hint="eastAsia"/>
          <w:highlight w:val="yellow"/>
        </w:rPr>
        <w:t xml:space="preserve">the </w:t>
      </w:r>
      <w:r>
        <w:rPr>
          <w:highlight w:val="yellow"/>
        </w:rPr>
        <w:t>credibility of the</w:t>
      </w:r>
      <w:r>
        <w:rPr>
          <w:rFonts w:hint="eastAsia"/>
          <w:highlight w:val="yellow"/>
        </w:rPr>
        <w:t xml:space="preserve"> experiments </w:t>
      </w:r>
      <w:r>
        <w:rPr>
          <w:highlight w:val="yellow"/>
        </w:rPr>
        <w:t>i</w:t>
      </w:r>
      <w:r>
        <w:rPr>
          <w:rFonts w:hint="eastAsia"/>
          <w:highlight w:val="yellow"/>
        </w:rPr>
        <w:t xml:space="preserve">s validated by </w:t>
      </w:r>
      <w:r>
        <w:rPr>
          <w:highlight w:val="yellow"/>
        </w:rPr>
        <w:t>the negative quality controls with no S-type amplification curve and 4 quantification standards with S-type amplification curves in HEX channel. Standard curves are generated plotting threshold cycle (Ct) values of known concentration of each quantification standard</w:t>
      </w:r>
      <w:r>
        <w:rPr>
          <w:rFonts w:hint="eastAsia"/>
          <w:highlight w:val="yellow"/>
        </w:rPr>
        <w:t xml:space="preserve"> with</w:t>
      </w:r>
      <w:r>
        <w:rPr>
          <w:highlight w:val="yellow"/>
        </w:rPr>
        <w:t xml:space="preserve"> |R| (|r|)≥0.99 or R</w:t>
      </w:r>
      <w:r>
        <w:rPr>
          <w:rFonts w:hint="eastAsia"/>
          <w:highlight w:val="yellow"/>
        </w:rPr>
        <w:t>²</w:t>
      </w:r>
      <w:r>
        <w:rPr>
          <w:highlight w:val="yellow"/>
        </w:rPr>
        <w:t>(r</w:t>
      </w:r>
      <w:r>
        <w:rPr>
          <w:rFonts w:hint="eastAsia"/>
          <w:highlight w:val="yellow"/>
        </w:rPr>
        <w:t>²</w:t>
      </w:r>
      <w:r>
        <w:rPr>
          <w:highlight w:val="yellow"/>
        </w:rPr>
        <w:t>)≥0.98. The concentration of each sample is calculated according to the standard curve. The lowest detectable limit for the kit is 1×10</w:t>
      </w:r>
      <w:r>
        <w:rPr>
          <w:highlight w:val="yellow"/>
          <w:vertAlign w:val="superscript"/>
        </w:rPr>
        <w:t xml:space="preserve">3 </w:t>
      </w:r>
      <w:r>
        <w:rPr>
          <w:highlight w:val="yellow"/>
        </w:rPr>
        <w:t>copies/ml.</w:t>
      </w:r>
    </w:p>
    <w:p w14:paraId="5495EB45">
      <w:pPr>
        <w:rPr>
          <w:highlight w:val="yellow"/>
        </w:rPr>
      </w:pPr>
      <w:r>
        <w:rPr>
          <w:highlight w:val="yellow"/>
        </w:rPr>
        <w:t>Primer sequence (5’ to 3'):</w:t>
      </w:r>
    </w:p>
    <w:p w14:paraId="67F150FA">
      <w:pPr>
        <w:rPr>
          <w:highlight w:val="yellow"/>
        </w:rPr>
      </w:pPr>
      <w:r>
        <w:rPr>
          <w:highlight w:val="yellow"/>
        </w:rPr>
        <w:t>B-globin</w:t>
      </w:r>
      <w:r>
        <w:rPr>
          <w:highlight w:val="yellow"/>
        </w:rPr>
        <w:tab/>
      </w:r>
      <w:r>
        <w:rPr>
          <w:highlight w:val="yellow"/>
        </w:rPr>
        <w:t xml:space="preserve">Forward: GGCCCTTTTGCTAATCATGT </w:t>
      </w:r>
    </w:p>
    <w:p w14:paraId="166F881E">
      <w:pPr>
        <w:ind w:firstLine="840" w:firstLineChars="400"/>
        <w:rPr>
          <w:highlight w:val="yellow"/>
        </w:rPr>
      </w:pPr>
      <w:r>
        <w:rPr>
          <w:highlight w:val="yellow"/>
        </w:rPr>
        <w:t>Reverse: CACACAGACCAGCACGTTG</w:t>
      </w:r>
    </w:p>
    <w:p w14:paraId="6EB4616D">
      <w:pPr>
        <w:rPr>
          <w:highlight w:val="yellow"/>
        </w:rPr>
      </w:pPr>
      <w:r>
        <w:rPr>
          <w:highlight w:val="yellow"/>
        </w:rPr>
        <w:t>EBNA1</w:t>
      </w:r>
      <w:r>
        <w:rPr>
          <w:highlight w:val="yellow"/>
        </w:rPr>
        <w:tab/>
      </w:r>
      <w:r>
        <w:rPr>
          <w:highlight w:val="yellow"/>
        </w:rPr>
        <w:t xml:space="preserve">Forward: GAGAAGGCCCAAGCACTG </w:t>
      </w:r>
    </w:p>
    <w:p w14:paraId="4FC59667">
      <w:pPr>
        <w:ind w:firstLine="840" w:firstLineChars="400"/>
      </w:pPr>
      <w:r>
        <w:rPr>
          <w:highlight w:val="yellow"/>
        </w:rPr>
        <w:t>Reverse: CTCCTTGACCACGATGCTTT</w:t>
      </w:r>
    </w:p>
    <w:p w14:paraId="21101798">
      <w:pPr>
        <w:rPr>
          <w:b/>
          <w:highlight w:val="yellow"/>
        </w:rPr>
      </w:pPr>
      <w:bookmarkStart w:id="10" w:name="OLE_LINK25"/>
    </w:p>
    <w:p w14:paraId="6A27CD66">
      <w:pPr>
        <w:rPr>
          <w:b/>
          <w:highlight w:val="yellow"/>
        </w:rPr>
      </w:pPr>
      <w:r>
        <w:rPr>
          <w:b/>
          <w:highlight w:val="yellow"/>
        </w:rPr>
        <w:t>Construction and identification of pSFG-</w:t>
      </w:r>
      <w:bookmarkStart w:id="11" w:name="OLE_LINK17"/>
      <w:r>
        <w:rPr>
          <w:b/>
          <w:highlight w:val="yellow"/>
        </w:rPr>
        <w:t>NKG2D CAR and pSFG-IL-15/IL-15Rα-NKG2D CAR</w:t>
      </w:r>
      <w:bookmarkEnd w:id="11"/>
      <w:r>
        <w:rPr>
          <w:b/>
          <w:highlight w:val="yellow"/>
        </w:rPr>
        <w:t xml:space="preserve"> plasmids</w:t>
      </w:r>
    </w:p>
    <w:p w14:paraId="53F7A4BA">
      <w:pPr>
        <w:rPr>
          <w:highlight w:val="yellow"/>
        </w:rPr>
      </w:pPr>
      <w:r>
        <w:rPr>
          <w:highlight w:val="yellow"/>
        </w:rPr>
        <w:t xml:space="preserve">The gene fragments </w:t>
      </w:r>
      <w:r>
        <w:rPr>
          <w:rFonts w:hint="eastAsia"/>
          <w:highlight w:val="yellow"/>
        </w:rPr>
        <w:t xml:space="preserve">of </w:t>
      </w:r>
      <w:r>
        <w:rPr>
          <w:highlight w:val="yellow"/>
        </w:rPr>
        <w:t>NKG2D CAR and IL-15/IL-15Rα-NKG2D CAR were synthesized by Huada Gene Co., Ltd. (Shenzhen, China)</w:t>
      </w:r>
      <w:r>
        <w:rPr>
          <w:rFonts w:hint="eastAsia"/>
          <w:highlight w:val="yellow"/>
        </w:rPr>
        <w:t xml:space="preserve"> and linked to </w:t>
      </w:r>
      <w:r>
        <w:rPr>
          <w:highlight w:val="yellow"/>
        </w:rPr>
        <w:t>pMV vectors to construct pMV-NKG2D CAR and pMV-IL-15/IL-15Rα-NKG2D CAR</w:t>
      </w:r>
      <w:r>
        <w:rPr>
          <w:rFonts w:hint="eastAsia"/>
          <w:highlight w:val="yellow"/>
        </w:rPr>
        <w:t xml:space="preserve">. </w:t>
      </w:r>
      <w:r>
        <w:rPr>
          <w:highlight w:val="yellow"/>
        </w:rPr>
        <w:t xml:space="preserve">The NKG2D CAR and IL-15/IL-15Rα-NKG2D CAR genes were inserted into the retroviral vector plasmid </w:t>
      </w:r>
      <w:bookmarkStart w:id="12" w:name="OLE_LINK18"/>
      <w:r>
        <w:rPr>
          <w:highlight w:val="yellow"/>
        </w:rPr>
        <w:t>pSFG</w:t>
      </w:r>
      <w:bookmarkEnd w:id="12"/>
      <w:r>
        <w:rPr>
          <w:highlight w:val="yellow"/>
        </w:rPr>
        <w:t>.eGFP (MiaoLingBio, Wuhan, Hubei, China) to get pSFG-NKG2D CAR and pSFG-IL-15/IL-15Rα-NKG2D CAR</w:t>
      </w:r>
      <w:r>
        <w:rPr>
          <w:rFonts w:hint="eastAsia"/>
          <w:highlight w:val="yellow"/>
        </w:rPr>
        <w:t xml:space="preserve"> </w:t>
      </w:r>
      <w:r>
        <w:rPr>
          <w:highlight w:val="yellow"/>
        </w:rPr>
        <w:t>through molecular cloning techniques. The process</w:t>
      </w:r>
      <w:r>
        <w:rPr>
          <w:rFonts w:hint="eastAsia"/>
          <w:highlight w:val="yellow"/>
        </w:rPr>
        <w:t>es</w:t>
      </w:r>
      <w:r>
        <w:rPr>
          <w:highlight w:val="yellow"/>
        </w:rPr>
        <w:t xml:space="preserve"> included extracting template plasmid and vector, PCR amplification of the target fragments of NKG2D CAR and IL-15/IL-15Rα-NKG2D CAR, linearizing the pSFG vector </w:t>
      </w:r>
      <w:r>
        <w:rPr>
          <w:rFonts w:hint="eastAsia"/>
          <w:highlight w:val="yellow"/>
        </w:rPr>
        <w:t>by</w:t>
      </w:r>
      <w:r>
        <w:rPr>
          <w:highlight w:val="yellow"/>
        </w:rPr>
        <w:t xml:space="preserve"> Ncol I and Mlu digestion, gel recovery </w:t>
      </w:r>
      <w:r>
        <w:rPr>
          <w:rFonts w:hint="eastAsia"/>
          <w:highlight w:val="yellow"/>
        </w:rPr>
        <w:t xml:space="preserve">and </w:t>
      </w:r>
      <w:r>
        <w:rPr>
          <w:highlight w:val="yellow"/>
        </w:rPr>
        <w:t>ligation of the target fragment and vector</w:t>
      </w:r>
      <w:r>
        <w:rPr>
          <w:rFonts w:hint="eastAsia"/>
          <w:highlight w:val="yellow"/>
        </w:rPr>
        <w:t xml:space="preserve">, </w:t>
      </w:r>
      <w:r>
        <w:rPr>
          <w:highlight w:val="yellow"/>
        </w:rPr>
        <w:t>transform</w:t>
      </w:r>
      <w:r>
        <w:rPr>
          <w:rFonts w:hint="eastAsia"/>
          <w:highlight w:val="yellow"/>
        </w:rPr>
        <w:t>ing to</w:t>
      </w:r>
      <w:r>
        <w:rPr>
          <w:highlight w:val="yellow"/>
        </w:rPr>
        <w:t xml:space="preserve"> </w:t>
      </w:r>
      <w:r>
        <w:rPr>
          <w:i/>
          <w:iCs/>
          <w:highlight w:val="yellow"/>
        </w:rPr>
        <w:t>Escherichia coli</w:t>
      </w:r>
      <w:r>
        <w:rPr>
          <w:highlight w:val="yellow"/>
        </w:rPr>
        <w:t xml:space="preserve"> DH5α, identifying positive clones through PCR, extracting recombinant plasmids</w:t>
      </w:r>
      <w:r>
        <w:rPr>
          <w:rFonts w:hint="eastAsia"/>
          <w:highlight w:val="yellow"/>
        </w:rPr>
        <w:t xml:space="preserve"> and </w:t>
      </w:r>
      <w:r>
        <w:rPr>
          <w:highlight w:val="yellow"/>
        </w:rPr>
        <w:t>finally</w:t>
      </w:r>
      <w:r>
        <w:rPr>
          <w:rFonts w:hint="eastAsia"/>
          <w:highlight w:val="yellow"/>
        </w:rPr>
        <w:t xml:space="preserve"> </w:t>
      </w:r>
      <w:r>
        <w:rPr>
          <w:highlight w:val="yellow"/>
        </w:rPr>
        <w:t>identifi</w:t>
      </w:r>
      <w:r>
        <w:rPr>
          <w:rFonts w:hint="eastAsia"/>
          <w:highlight w:val="yellow"/>
        </w:rPr>
        <w:t>cation</w:t>
      </w:r>
      <w:r>
        <w:rPr>
          <w:highlight w:val="yellow"/>
        </w:rPr>
        <w:t xml:space="preserve"> by endonuclease digestion and Sanger</w:t>
      </w:r>
      <w:r>
        <w:rPr>
          <w:rFonts w:hint="eastAsia"/>
          <w:highlight w:val="yellow"/>
        </w:rPr>
        <w:t xml:space="preserve"> </w:t>
      </w:r>
      <w:r>
        <w:rPr>
          <w:highlight w:val="yellow"/>
        </w:rPr>
        <w:t>sequencing</w:t>
      </w:r>
      <w:r>
        <w:rPr>
          <w:rFonts w:hint="eastAsia"/>
          <w:highlight w:val="yellow"/>
        </w:rPr>
        <w:t>.</w:t>
      </w:r>
    </w:p>
    <w:p w14:paraId="5E776084">
      <w:pPr>
        <w:rPr>
          <w:highlight w:val="yellow"/>
        </w:rPr>
      </w:pPr>
      <w:r>
        <w:rPr>
          <w:highlight w:val="yellow"/>
        </w:rPr>
        <w:t>Primer sequences (5’ to 3'):</w:t>
      </w:r>
    </w:p>
    <w:p w14:paraId="24BE85D7">
      <w:pPr>
        <w:rPr>
          <w:highlight w:val="yellow"/>
        </w:rPr>
      </w:pPr>
      <w:r>
        <w:rPr>
          <w:highlight w:val="yellow"/>
        </w:rPr>
        <w:t>NKG2D CAR F：CATGCCATGGCCCTGCCCGTGACAGCTCTG Ncol I</w:t>
      </w:r>
    </w:p>
    <w:p w14:paraId="3C21536F">
      <w:pPr>
        <w:rPr>
          <w:highlight w:val="yellow"/>
        </w:rPr>
      </w:pPr>
      <w:r>
        <w:rPr>
          <w:highlight w:val="yellow"/>
        </w:rPr>
        <w:t>NKG2D CAR R：CGACGCGTTTATCTAGGAGGCAGGGCCTGC Mlu I</w:t>
      </w:r>
    </w:p>
    <w:p w14:paraId="658AAA5B">
      <w:pPr>
        <w:rPr>
          <w:highlight w:val="yellow"/>
        </w:rPr>
      </w:pPr>
      <w:r>
        <w:rPr>
          <w:highlight w:val="yellow"/>
        </w:rPr>
        <w:t xml:space="preserve">IL-15/IL-15Rα-NKG2D CAR-T F：CATGCCATGGCCCTGCCCGTGACAGCTCTG Ncol I </w:t>
      </w:r>
    </w:p>
    <w:p w14:paraId="13B64784">
      <w:pPr>
        <w:rPr>
          <w:highlight w:val="yellow"/>
        </w:rPr>
      </w:pPr>
      <w:r>
        <w:rPr>
          <w:highlight w:val="yellow"/>
        </w:rPr>
        <w:t>IL-15/IL-15Rα-NKG2D CAR-T R：CGACGCGTTTAATGGTGATGGTGATGAT Mlu I</w:t>
      </w:r>
    </w:p>
    <w:p w14:paraId="12BE9C5E">
      <w:pPr>
        <w:rPr>
          <w:highlight w:val="yellow"/>
        </w:rPr>
      </w:pPr>
    </w:p>
    <w:p w14:paraId="52E2605A">
      <w:pPr>
        <w:rPr>
          <w:b/>
          <w:highlight w:val="yellow"/>
        </w:rPr>
      </w:pPr>
      <w:r>
        <w:rPr>
          <w:b/>
          <w:highlight w:val="yellow"/>
        </w:rPr>
        <w:t>NKG2D CAR and IL-15/IL-15Rα-NKG2D CAR expression detected by Western blot analysis</w:t>
      </w:r>
    </w:p>
    <w:p w14:paraId="79620FF1">
      <w:pPr>
        <w:rPr>
          <w:highlight w:val="yellow"/>
        </w:rPr>
      </w:pPr>
      <w:r>
        <w:rPr>
          <w:highlight w:val="yellow"/>
        </w:rPr>
        <w:t>1.5×10</w:t>
      </w:r>
      <w:r>
        <w:rPr>
          <w:highlight w:val="yellow"/>
          <w:vertAlign w:val="superscript"/>
        </w:rPr>
        <w:t>6</w:t>
      </w:r>
      <w:r>
        <w:rPr>
          <w:highlight w:val="yellow"/>
        </w:rPr>
        <w:t xml:space="preserve"> </w:t>
      </w:r>
      <w:r>
        <w:rPr>
          <w:rFonts w:hint="eastAsia"/>
          <w:highlight w:val="yellow"/>
        </w:rPr>
        <w:t xml:space="preserve">per well of </w:t>
      </w:r>
      <w:r>
        <w:rPr>
          <w:highlight w:val="yellow"/>
        </w:rPr>
        <w:t>293T</w:t>
      </w:r>
      <w:r>
        <w:rPr>
          <w:rFonts w:hint="eastAsia"/>
          <w:highlight w:val="yellow"/>
        </w:rPr>
        <w:t xml:space="preserve"> were seeded </w:t>
      </w:r>
      <w:r>
        <w:rPr>
          <w:highlight w:val="yellow"/>
        </w:rPr>
        <w:t>i</w:t>
      </w:r>
      <w:r>
        <w:rPr>
          <w:rFonts w:hint="eastAsia"/>
          <w:highlight w:val="yellow"/>
        </w:rPr>
        <w:t xml:space="preserve">n a 6-welll-plate and transfected with </w:t>
      </w:r>
      <w:r>
        <w:rPr>
          <w:highlight w:val="yellow"/>
        </w:rPr>
        <w:t>pSFG-NKG2D CAR</w:t>
      </w:r>
      <w:r>
        <w:rPr>
          <w:rFonts w:hint="eastAsia"/>
          <w:highlight w:val="yellow"/>
        </w:rPr>
        <w:t xml:space="preserve">, </w:t>
      </w:r>
      <w:r>
        <w:rPr>
          <w:highlight w:val="yellow"/>
        </w:rPr>
        <w:t>pSFG-IL-15/IL-15Rα-NKG2D CAR</w:t>
      </w:r>
      <w:r>
        <w:rPr>
          <w:rFonts w:hint="eastAsia"/>
          <w:highlight w:val="yellow"/>
        </w:rPr>
        <w:t xml:space="preserve"> </w:t>
      </w:r>
      <w:r>
        <w:rPr>
          <w:highlight w:val="yellow"/>
        </w:rPr>
        <w:t>or</w:t>
      </w:r>
      <w:r>
        <w:rPr>
          <w:rFonts w:hint="eastAsia"/>
          <w:highlight w:val="yellow"/>
        </w:rPr>
        <w:t xml:space="preserve"> pSFG empty plasmid via </w:t>
      </w:r>
      <w:r>
        <w:rPr>
          <w:highlight w:val="yellow"/>
        </w:rPr>
        <w:t>Lipofectamine</w:t>
      </w:r>
      <w:r>
        <w:rPr>
          <w:rFonts w:hint="eastAsia"/>
          <w:highlight w:val="yellow"/>
        </w:rPr>
        <w:t xml:space="preserve"> </w:t>
      </w:r>
      <w:r>
        <w:rPr>
          <w:highlight w:val="yellow"/>
        </w:rPr>
        <w:t>3000 Transfection Kit (Invitrogen).</w:t>
      </w:r>
      <w:r>
        <w:rPr>
          <w:rFonts w:hint="eastAsia"/>
          <w:highlight w:val="yellow"/>
        </w:rPr>
        <w:t xml:space="preserve"> After transfection of 72h, </w:t>
      </w:r>
      <w:r>
        <w:rPr>
          <w:highlight w:val="yellow"/>
        </w:rPr>
        <w:t>precipitate and supernatant of 293T cell cultures</w:t>
      </w:r>
      <w:r>
        <w:rPr>
          <w:rFonts w:hint="eastAsia"/>
          <w:highlight w:val="yellow"/>
        </w:rPr>
        <w:t xml:space="preserve"> of each group were </w:t>
      </w:r>
      <w:r>
        <w:rPr>
          <w:highlight w:val="yellow"/>
        </w:rPr>
        <w:t>harvested</w:t>
      </w:r>
      <w:r>
        <w:rPr>
          <w:rFonts w:hint="eastAsia"/>
          <w:highlight w:val="yellow"/>
        </w:rPr>
        <w:t xml:space="preserve"> respectively </w:t>
      </w:r>
      <w:r>
        <w:rPr>
          <w:highlight w:val="yellow"/>
        </w:rPr>
        <w:t>and</w:t>
      </w:r>
      <w:r>
        <w:rPr>
          <w:rFonts w:hint="eastAsia"/>
          <w:highlight w:val="yellow"/>
        </w:rPr>
        <w:t xml:space="preserve"> </w:t>
      </w:r>
      <w:r>
        <w:rPr>
          <w:highlight w:val="yellow"/>
        </w:rPr>
        <w:t>prepared with RIPA lysis buffer</w:t>
      </w:r>
      <w:r>
        <w:rPr>
          <w:rFonts w:hint="eastAsia"/>
          <w:highlight w:val="yellow"/>
        </w:rPr>
        <w:t xml:space="preserve"> to get protein lysates. </w:t>
      </w:r>
      <w:r>
        <w:rPr>
          <w:highlight w:val="yellow"/>
        </w:rPr>
        <w:t>The proteins were separated by 12% SDS-PAGE electrophoresis, and then transferred to 0.45 μm PVDF membrane</w:t>
      </w:r>
      <w:r>
        <w:rPr>
          <w:rFonts w:hint="eastAsia"/>
          <w:highlight w:val="yellow"/>
        </w:rPr>
        <w:t xml:space="preserve"> with </w:t>
      </w:r>
      <w:r>
        <w:rPr>
          <w:highlight w:val="yellow"/>
        </w:rPr>
        <w:t>wet transfer method</w:t>
      </w:r>
      <w:r>
        <w:rPr>
          <w:rFonts w:hint="eastAsia"/>
          <w:highlight w:val="yellow"/>
        </w:rPr>
        <w:t xml:space="preserve"> under </w:t>
      </w:r>
      <w:r>
        <w:rPr>
          <w:highlight w:val="yellow"/>
        </w:rPr>
        <w:t>100 V constant pressure for 60 min</w:t>
      </w:r>
      <w:r>
        <w:rPr>
          <w:rFonts w:hint="eastAsia"/>
          <w:highlight w:val="yellow"/>
        </w:rPr>
        <w:t xml:space="preserve">. The </w:t>
      </w:r>
      <w:r>
        <w:rPr>
          <w:highlight w:val="yellow"/>
        </w:rPr>
        <w:t>membrane</w:t>
      </w:r>
      <w:r>
        <w:rPr>
          <w:rFonts w:hint="eastAsia"/>
          <w:highlight w:val="yellow"/>
        </w:rPr>
        <w:t xml:space="preserve"> </w:t>
      </w:r>
      <w:r>
        <w:rPr>
          <w:highlight w:val="yellow"/>
        </w:rPr>
        <w:t xml:space="preserve">was blocked with </w:t>
      </w:r>
      <w:r>
        <w:rPr>
          <w:rFonts w:hint="eastAsia"/>
          <w:highlight w:val="yellow"/>
        </w:rPr>
        <w:t>5</w:t>
      </w:r>
      <w:r>
        <w:rPr>
          <w:highlight w:val="yellow"/>
        </w:rPr>
        <w:t xml:space="preserve">% </w:t>
      </w:r>
      <w:r>
        <w:rPr>
          <w:rFonts w:hint="eastAsia"/>
          <w:highlight w:val="yellow"/>
        </w:rPr>
        <w:t>milk</w:t>
      </w:r>
      <w:r>
        <w:rPr>
          <w:highlight w:val="yellow"/>
        </w:rPr>
        <w:t xml:space="preserve"> for 1</w:t>
      </w:r>
      <w:r>
        <w:rPr>
          <w:rFonts w:hint="eastAsia"/>
          <w:highlight w:val="yellow"/>
        </w:rPr>
        <w:t>h</w:t>
      </w:r>
      <w:r>
        <w:rPr>
          <w:highlight w:val="yellow"/>
        </w:rPr>
        <w:t xml:space="preserve"> and incubated with primary antibod</w:t>
      </w:r>
      <w:r>
        <w:rPr>
          <w:rFonts w:hint="eastAsia"/>
          <w:highlight w:val="yellow"/>
        </w:rPr>
        <w:t>ies</w:t>
      </w:r>
      <w:r>
        <w:rPr>
          <w:highlight w:val="yellow"/>
        </w:rPr>
        <w:t xml:space="preserve"> </w:t>
      </w:r>
      <w:r>
        <w:rPr>
          <w:rFonts w:hint="eastAsia"/>
          <w:highlight w:val="yellow"/>
        </w:rPr>
        <w:t>overnight at 4</w:t>
      </w:r>
      <w:r>
        <w:rPr>
          <w:highlight w:val="yellow"/>
        </w:rPr>
        <w:t>℃,</w:t>
      </w:r>
      <w:r>
        <w:rPr>
          <w:rFonts w:hint="eastAsia"/>
          <w:highlight w:val="yellow"/>
        </w:rPr>
        <w:t xml:space="preserve"> </w:t>
      </w:r>
      <w:r>
        <w:rPr>
          <w:highlight w:val="yellow"/>
        </w:rPr>
        <w:t>and secondary antibod</w:t>
      </w:r>
      <w:r>
        <w:rPr>
          <w:rFonts w:hint="eastAsia"/>
          <w:highlight w:val="yellow"/>
        </w:rPr>
        <w:t xml:space="preserve">ies </w:t>
      </w:r>
      <w:r>
        <w:rPr>
          <w:highlight w:val="yellow"/>
        </w:rPr>
        <w:t xml:space="preserve">for </w:t>
      </w:r>
      <w:r>
        <w:rPr>
          <w:rFonts w:hint="eastAsia"/>
          <w:highlight w:val="yellow"/>
        </w:rPr>
        <w:t xml:space="preserve">2h at </w:t>
      </w:r>
      <w:r>
        <w:rPr>
          <w:highlight w:val="yellow"/>
        </w:rPr>
        <w:t>room temperature</w:t>
      </w:r>
      <w:r>
        <w:rPr>
          <w:rFonts w:hint="eastAsia"/>
          <w:highlight w:val="yellow"/>
        </w:rPr>
        <w:t xml:space="preserve"> before </w:t>
      </w:r>
      <w:r>
        <w:rPr>
          <w:highlight w:val="yellow"/>
        </w:rPr>
        <w:t>color development using an ECL chemiluminescence chromogenic kit</w:t>
      </w:r>
      <w:r>
        <w:rPr>
          <w:rFonts w:hint="eastAsia"/>
          <w:highlight w:val="yellow"/>
        </w:rPr>
        <w:t xml:space="preserve"> </w:t>
      </w:r>
      <w:r>
        <w:rPr>
          <w:highlight w:val="yellow"/>
        </w:rPr>
        <w:t>and imaging ChemiDoc MP chemiluminescence imaging system.</w:t>
      </w:r>
    </w:p>
    <w:p w14:paraId="34BA2D69">
      <w:pPr>
        <w:rPr>
          <w:bCs/>
          <w:highlight w:val="yellow"/>
        </w:rPr>
      </w:pPr>
      <w:r>
        <w:rPr>
          <w:bCs/>
          <w:highlight w:val="yellow"/>
        </w:rPr>
        <w:t>Transfection reaction system:</w:t>
      </w:r>
    </w:p>
    <w:p w14:paraId="656CF1E7">
      <w:pPr>
        <w:rPr>
          <w:highlight w:val="yellow"/>
        </w:rPr>
      </w:pPr>
      <w:r>
        <w:rPr>
          <w:highlight w:val="yellow"/>
        </w:rPr>
        <w:t>Lipofectamine 3000 mix：200 μl Opti-MEM+6 μl Lipofectamine 3000 Regent.</w:t>
      </w:r>
    </w:p>
    <w:p w14:paraId="1F89262D">
      <w:pPr>
        <w:rPr>
          <w:highlight w:val="yellow"/>
        </w:rPr>
      </w:pPr>
      <w:r>
        <w:rPr>
          <w:highlight w:val="yellow"/>
        </w:rPr>
        <w:t xml:space="preserve">DNA Master Mix：200 μl Opti-MEM +2 μg </w:t>
      </w:r>
      <w:r>
        <w:rPr>
          <w:rFonts w:hint="eastAsia"/>
          <w:highlight w:val="yellow"/>
        </w:rPr>
        <w:t>p</w:t>
      </w:r>
      <w:r>
        <w:rPr>
          <w:highlight w:val="yellow"/>
        </w:rPr>
        <w:t>SFG vector plasmid+6 μl P3000 Regent.</w:t>
      </w:r>
    </w:p>
    <w:p w14:paraId="6B8A5E77">
      <w:pPr>
        <w:rPr>
          <w:highlight w:val="yellow"/>
        </w:rPr>
      </w:pPr>
      <w:r>
        <w:rPr>
          <w:rFonts w:hint="eastAsia"/>
          <w:highlight w:val="yellow"/>
        </w:rPr>
        <w:t xml:space="preserve">Primary antibodies used: </w:t>
      </w:r>
      <w:r>
        <w:rPr>
          <w:highlight w:val="yellow"/>
        </w:rPr>
        <w:t>Rabbit Anti-Human CD247</w:t>
      </w:r>
      <w:r>
        <w:rPr>
          <w:rFonts w:hint="eastAsia"/>
          <w:highlight w:val="yellow"/>
        </w:rPr>
        <w:t xml:space="preserve"> for </w:t>
      </w:r>
      <w:r>
        <w:rPr>
          <w:highlight w:val="yellow"/>
        </w:rPr>
        <w:t>CD3ζ</w:t>
      </w:r>
      <w:r>
        <w:rPr>
          <w:rFonts w:hint="eastAsia"/>
          <w:highlight w:val="yellow"/>
        </w:rPr>
        <w:t xml:space="preserve"> on NKG2D CAR; </w:t>
      </w:r>
      <w:r>
        <w:rPr>
          <w:highlight w:val="yellow"/>
        </w:rPr>
        <w:t>Mouse His-</w:t>
      </w:r>
      <w:r>
        <w:rPr>
          <w:rFonts w:hint="eastAsia"/>
          <w:highlight w:val="yellow"/>
        </w:rPr>
        <w:t>t</w:t>
      </w:r>
      <w:r>
        <w:rPr>
          <w:highlight w:val="yellow"/>
        </w:rPr>
        <w:t>ag antibody</w:t>
      </w:r>
      <w:r>
        <w:rPr>
          <w:rFonts w:hint="eastAsia"/>
          <w:highlight w:val="yellow"/>
        </w:rPr>
        <w:t xml:space="preserve"> for His-</w:t>
      </w:r>
      <w:r>
        <w:rPr>
          <w:highlight w:val="yellow"/>
        </w:rPr>
        <w:t>t</w:t>
      </w:r>
      <w:r>
        <w:rPr>
          <w:rFonts w:hint="eastAsia"/>
          <w:highlight w:val="yellow"/>
        </w:rPr>
        <w:t>ag on</w:t>
      </w:r>
      <w:r>
        <w:rPr>
          <w:highlight w:val="yellow"/>
        </w:rPr>
        <w:t xml:space="preserve"> IL-15/IL-15Rα</w:t>
      </w:r>
      <w:r>
        <w:rPr>
          <w:rFonts w:hint="eastAsia"/>
          <w:highlight w:val="yellow"/>
        </w:rPr>
        <w:t xml:space="preserve">; </w:t>
      </w:r>
      <w:r>
        <w:rPr>
          <w:highlight w:val="yellow"/>
        </w:rPr>
        <w:t>Rabbit Anti-Human IL-15</w:t>
      </w:r>
      <w:r>
        <w:rPr>
          <w:rFonts w:hint="eastAsia"/>
          <w:highlight w:val="yellow"/>
        </w:rPr>
        <w:t xml:space="preserve"> for </w:t>
      </w:r>
      <w:r>
        <w:rPr>
          <w:highlight w:val="yellow"/>
        </w:rPr>
        <w:t>IL-15</w:t>
      </w:r>
      <w:r>
        <w:rPr>
          <w:rFonts w:hint="eastAsia"/>
          <w:highlight w:val="yellow"/>
        </w:rPr>
        <w:t xml:space="preserve"> on </w:t>
      </w:r>
      <w:r>
        <w:rPr>
          <w:highlight w:val="yellow"/>
        </w:rPr>
        <w:t>IL-15/IL-15R</w:t>
      </w:r>
      <w:bookmarkStart w:id="13" w:name="OLE_LINK13"/>
      <w:r>
        <w:rPr>
          <w:highlight w:val="yellow"/>
        </w:rPr>
        <w:t>α</w:t>
      </w:r>
      <w:bookmarkEnd w:id="13"/>
      <w:r>
        <w:rPr>
          <w:highlight w:val="yellow"/>
        </w:rPr>
        <w:t>.</w:t>
      </w:r>
    </w:p>
    <w:p w14:paraId="5035256D">
      <w:pPr>
        <w:rPr>
          <w:highlight w:val="yellow"/>
        </w:rPr>
      </w:pPr>
    </w:p>
    <w:p w14:paraId="3656FE6E">
      <w:pPr>
        <w:rPr>
          <w:b/>
          <w:highlight w:val="yellow"/>
        </w:rPr>
      </w:pPr>
      <w:r>
        <w:rPr>
          <w:rFonts w:hint="eastAsia"/>
          <w:b/>
          <w:highlight w:val="yellow"/>
        </w:rPr>
        <w:t>Flow cytometry to detect NKG2D CAR</w:t>
      </w:r>
    </w:p>
    <w:p w14:paraId="426B9DE6">
      <w:pPr>
        <w:rPr>
          <w:highlight w:val="yellow"/>
        </w:rPr>
      </w:pPr>
      <w:r>
        <w:rPr>
          <w:rFonts w:hint="eastAsia"/>
          <w:highlight w:val="yellow"/>
        </w:rPr>
        <w:t xml:space="preserve">On Day 3, 8, 13, and 18 post transduction, 0.5 million of </w:t>
      </w:r>
      <w:r>
        <w:rPr>
          <w:highlight w:val="yellow"/>
        </w:rPr>
        <w:t>NT-</w:t>
      </w:r>
      <w:r>
        <w:rPr>
          <w:rFonts w:hint="eastAsia"/>
          <w:highlight w:val="yellow"/>
        </w:rPr>
        <w:t>T</w:t>
      </w:r>
      <w:r>
        <w:rPr>
          <w:highlight w:val="yellow"/>
        </w:rPr>
        <w:t xml:space="preserve">, N and N15 CAR-T cell groups </w:t>
      </w:r>
      <w:r>
        <w:rPr>
          <w:rFonts w:hint="eastAsia"/>
          <w:highlight w:val="yellow"/>
        </w:rPr>
        <w:t>were collected and washed with 1m</w:t>
      </w:r>
      <w:r>
        <w:rPr>
          <w:highlight w:val="yellow"/>
        </w:rPr>
        <w:t>l</w:t>
      </w:r>
      <w:r>
        <w:rPr>
          <w:rFonts w:hint="eastAsia"/>
          <w:highlight w:val="yellow"/>
        </w:rPr>
        <w:t xml:space="preserve"> PBS once by centrifugation at 250g for 5min at 4</w:t>
      </w:r>
      <w:r>
        <w:rPr>
          <w:bCs/>
          <w:highlight w:val="yellow"/>
        </w:rPr>
        <w:t>℃</w:t>
      </w:r>
      <w:r>
        <w:rPr>
          <w:rFonts w:hint="eastAsia"/>
          <w:highlight w:val="yellow"/>
        </w:rPr>
        <w:t xml:space="preserve">. Then cells were </w:t>
      </w:r>
      <w:r>
        <w:rPr>
          <w:highlight w:val="yellow"/>
        </w:rPr>
        <w:t>re-</w:t>
      </w:r>
      <w:r>
        <w:rPr>
          <w:rFonts w:hint="eastAsia"/>
          <w:highlight w:val="yellow"/>
        </w:rPr>
        <w:t>suspended in 100</w:t>
      </w:r>
      <w:r>
        <w:rPr>
          <w:bCs/>
          <w:highlight w:val="yellow"/>
        </w:rPr>
        <w:t>μl</w:t>
      </w:r>
      <w:r>
        <w:rPr>
          <w:rFonts w:hint="eastAsia"/>
          <w:highlight w:val="yellow"/>
        </w:rPr>
        <w:t xml:space="preserve"> staining buffer (contai</w:t>
      </w:r>
      <w:r>
        <w:rPr>
          <w:highlight w:val="yellow"/>
        </w:rPr>
        <w:t>ni</w:t>
      </w:r>
      <w:r>
        <w:rPr>
          <w:rFonts w:hint="eastAsia"/>
          <w:highlight w:val="yellow"/>
        </w:rPr>
        <w:t>ng 2% FBS in 1</w:t>
      </w:r>
      <w:r>
        <w:rPr>
          <w:highlight w:val="yellow"/>
        </w:rPr>
        <w:t>×</w:t>
      </w:r>
      <w:r>
        <w:rPr>
          <w:rFonts w:hint="eastAsia"/>
          <w:highlight w:val="yellow"/>
        </w:rPr>
        <w:t xml:space="preserve">PBS) and incubated with </w:t>
      </w:r>
      <w:r>
        <w:rPr>
          <w:bCs/>
          <w:highlight w:val="yellow"/>
        </w:rPr>
        <w:t>2μl/test</w:t>
      </w:r>
      <w:r>
        <w:rPr>
          <w:rFonts w:hint="eastAsia"/>
          <w:bCs/>
          <w:highlight w:val="yellow"/>
        </w:rPr>
        <w:t xml:space="preserve"> of </w:t>
      </w:r>
      <w:r>
        <w:rPr>
          <w:bCs/>
          <w:highlight w:val="yellow"/>
        </w:rPr>
        <w:t>anti-CD3 PerCP Cy5.5</w:t>
      </w:r>
      <w:r>
        <w:rPr>
          <w:rFonts w:hint="eastAsia"/>
          <w:bCs/>
          <w:highlight w:val="yellow"/>
        </w:rPr>
        <w:t xml:space="preserve"> and </w:t>
      </w:r>
      <w:r>
        <w:rPr>
          <w:bCs/>
          <w:highlight w:val="yellow"/>
        </w:rPr>
        <w:t>anti-human CD314 APC</w:t>
      </w:r>
      <w:r>
        <w:rPr>
          <w:rFonts w:hint="eastAsia"/>
          <w:bCs/>
          <w:highlight w:val="yellow"/>
        </w:rPr>
        <w:t xml:space="preserve"> </w:t>
      </w:r>
      <w:r>
        <w:rPr>
          <w:rStyle w:val="9"/>
          <w:i w:val="0"/>
          <w:szCs w:val="21"/>
          <w:highlight w:val="yellow"/>
        </w:rPr>
        <w:t>antibodies at 2-8</w:t>
      </w:r>
      <w:r>
        <w:rPr>
          <w:bCs/>
          <w:highlight w:val="yellow"/>
        </w:rPr>
        <w:t>℃</w:t>
      </w:r>
      <w:r>
        <w:rPr>
          <w:rFonts w:hint="eastAsia"/>
          <w:bCs/>
          <w:highlight w:val="yellow"/>
        </w:rPr>
        <w:t>. Finally, the cells were washed with 1m</w:t>
      </w:r>
      <w:r>
        <w:rPr>
          <w:bCs/>
          <w:highlight w:val="yellow"/>
        </w:rPr>
        <w:t>l</w:t>
      </w:r>
      <w:r>
        <w:rPr>
          <w:rFonts w:hint="eastAsia"/>
          <w:bCs/>
          <w:highlight w:val="yellow"/>
        </w:rPr>
        <w:t xml:space="preserve"> PBS and </w:t>
      </w:r>
      <w:r>
        <w:rPr>
          <w:bCs/>
          <w:highlight w:val="yellow"/>
        </w:rPr>
        <w:t>re-</w:t>
      </w:r>
      <w:r>
        <w:rPr>
          <w:rFonts w:hint="eastAsia"/>
          <w:bCs/>
          <w:highlight w:val="yellow"/>
        </w:rPr>
        <w:t xml:space="preserve">suspended in </w:t>
      </w:r>
      <w:r>
        <w:rPr>
          <w:rFonts w:hint="eastAsia"/>
          <w:highlight w:val="yellow"/>
        </w:rPr>
        <w:t>200</w:t>
      </w:r>
      <w:r>
        <w:rPr>
          <w:bCs/>
          <w:highlight w:val="yellow"/>
        </w:rPr>
        <w:t>μl</w:t>
      </w:r>
      <w:r>
        <w:rPr>
          <w:rFonts w:hint="eastAsia"/>
          <w:bCs/>
          <w:highlight w:val="yellow"/>
        </w:rPr>
        <w:t xml:space="preserve"> PBS for detection </w:t>
      </w:r>
      <w:r>
        <w:rPr>
          <w:bCs/>
          <w:highlight w:val="yellow"/>
        </w:rPr>
        <w:t>by</w:t>
      </w:r>
      <w:r>
        <w:rPr>
          <w:rFonts w:hint="eastAsia"/>
          <w:bCs/>
          <w:highlight w:val="yellow"/>
        </w:rPr>
        <w:t xml:space="preserve"> </w:t>
      </w:r>
      <w:r>
        <w:rPr>
          <w:rStyle w:val="9"/>
          <w:i w:val="0"/>
          <w:szCs w:val="21"/>
          <w:highlight w:val="yellow"/>
        </w:rPr>
        <w:t>BD</w:t>
      </w:r>
      <w:r>
        <w:rPr>
          <w:highlight w:val="yellow"/>
        </w:rPr>
        <w:t xml:space="preserve"> </w:t>
      </w:r>
      <w:r>
        <w:rPr>
          <w:rStyle w:val="9"/>
          <w:i w:val="0"/>
          <w:szCs w:val="21"/>
          <w:highlight w:val="yellow"/>
        </w:rPr>
        <w:t>LSRFortessa. Data were analyzed with FlowJo</w:t>
      </w:r>
      <w:r>
        <w:rPr>
          <w:highlight w:val="yellow"/>
        </w:rPr>
        <w:t xml:space="preserve"> v10.</w:t>
      </w:r>
    </w:p>
    <w:p w14:paraId="6A549C20">
      <w:pPr>
        <w:rPr>
          <w:highlight w:val="yellow"/>
        </w:rPr>
      </w:pPr>
    </w:p>
    <w:p w14:paraId="35955586">
      <w:pPr>
        <w:rPr>
          <w:b/>
          <w:highlight w:val="yellow"/>
        </w:rPr>
      </w:pPr>
      <w:bookmarkStart w:id="14" w:name="OLE_LINK14"/>
      <w:r>
        <w:rPr>
          <w:b/>
          <w:highlight w:val="yellow"/>
        </w:rPr>
        <w:t>ELISA to detect IL-15/IL-15Rα</w:t>
      </w:r>
    </w:p>
    <w:p w14:paraId="3CFECEC5">
      <w:pPr>
        <w:rPr>
          <w:highlight w:val="yellow"/>
        </w:rPr>
      </w:pPr>
      <w:r>
        <w:rPr>
          <w:rFonts w:hint="eastAsia"/>
          <w:highlight w:val="yellow"/>
        </w:rPr>
        <w:t xml:space="preserve">On Day 8 post transduction, 0.5 </w:t>
      </w:r>
      <w:r>
        <w:rPr>
          <w:highlight w:val="yellow"/>
        </w:rPr>
        <w:t>million</w:t>
      </w:r>
      <w:r>
        <w:rPr>
          <w:rFonts w:hint="eastAsia"/>
          <w:highlight w:val="yellow"/>
        </w:rPr>
        <w:t xml:space="preserve"> of T cells were extracted from NT, N, and N15</w:t>
      </w:r>
      <w:r>
        <w:rPr>
          <w:highlight w:val="yellow"/>
        </w:rPr>
        <w:t xml:space="preserve"> </w:t>
      </w:r>
      <w:r>
        <w:rPr>
          <w:rFonts w:hint="eastAsia"/>
          <w:highlight w:val="yellow"/>
        </w:rPr>
        <w:t>groups (n=5). The cells were suspended in 0.5 m</w:t>
      </w:r>
      <w:r>
        <w:rPr>
          <w:highlight w:val="yellow"/>
        </w:rPr>
        <w:t>l</w:t>
      </w:r>
      <w:r>
        <w:rPr>
          <w:rFonts w:hint="eastAsia"/>
          <w:highlight w:val="yellow"/>
        </w:rPr>
        <w:t xml:space="preserve"> of T cell culture medium without IL-2, seeded into 48-well plates, and the culture supernatants were collected after 24, 48, and 72h of incubation. Subsequently, the supernatants were stored at -80</w:t>
      </w:r>
      <w:r>
        <w:rPr>
          <w:bCs/>
          <w:szCs w:val="21"/>
          <w:highlight w:val="yellow"/>
        </w:rPr>
        <w:t>℃</w:t>
      </w:r>
      <w:r>
        <w:rPr>
          <w:rFonts w:hint="eastAsia"/>
          <w:highlight w:val="yellow"/>
        </w:rPr>
        <w:t xml:space="preserve">. </w:t>
      </w:r>
      <w:r>
        <w:rPr>
          <w:highlight w:val="yellow"/>
        </w:rPr>
        <w:t>The secretion of IL-15/IL-15Rα was measured with Human IL-15 ELISA Kit (MultiSciences, Zhejiang, China)</w:t>
      </w:r>
      <w:r>
        <w:rPr>
          <w:rFonts w:hint="eastAsia"/>
          <w:highlight w:val="yellow"/>
        </w:rPr>
        <w:t xml:space="preserve"> according to the instruction </w:t>
      </w:r>
      <w:r>
        <w:rPr>
          <w:highlight w:val="yellow"/>
        </w:rPr>
        <w:t xml:space="preserve">by </w:t>
      </w:r>
      <w:r>
        <w:rPr>
          <w:rFonts w:hint="eastAsia"/>
          <w:highlight w:val="yellow"/>
        </w:rPr>
        <w:t>a double--antibody sandwich enzyme-linked immunosorbent assay</w:t>
      </w:r>
      <w:r>
        <w:rPr>
          <w:highlight w:val="yellow"/>
        </w:rPr>
        <w:t xml:space="preserve"> (ELISA)</w:t>
      </w:r>
      <w:r>
        <w:rPr>
          <w:rFonts w:hint="eastAsia"/>
          <w:highlight w:val="yellow"/>
        </w:rPr>
        <w:t>.</w:t>
      </w:r>
      <w:bookmarkEnd w:id="14"/>
    </w:p>
    <w:p w14:paraId="7F668BC4">
      <w:pPr>
        <w:rPr>
          <w:highlight w:val="yellow"/>
        </w:rPr>
      </w:pPr>
    </w:p>
    <w:p w14:paraId="7B7B6873">
      <w:pPr>
        <w:rPr>
          <w:b/>
          <w:highlight w:val="yellow"/>
        </w:rPr>
      </w:pPr>
      <w:r>
        <w:rPr>
          <w:b/>
          <w:highlight w:val="yellow"/>
        </w:rPr>
        <w:t>Detection of cell</w:t>
      </w:r>
      <w:bookmarkStart w:id="15" w:name="_Hlk172661439"/>
      <w:r>
        <w:rPr>
          <w:b/>
          <w:highlight w:val="yellow"/>
        </w:rPr>
        <w:t xml:space="preserve"> viability and proliferation</w:t>
      </w:r>
      <w:bookmarkEnd w:id="15"/>
      <w:r>
        <w:rPr>
          <w:b/>
          <w:highlight w:val="yellow"/>
        </w:rPr>
        <w:t xml:space="preserve"> by flow cytometry</w:t>
      </w:r>
    </w:p>
    <w:p w14:paraId="314FBE83">
      <w:pPr>
        <w:rPr>
          <w:highlight w:val="yellow"/>
        </w:rPr>
      </w:pPr>
      <w:r>
        <w:rPr>
          <w:highlight w:val="yellow"/>
        </w:rPr>
        <w:t>In the aforementioned experiments, supernatants were collected at 24, 48, and 72h for ELISA detection, while cells were stained and analyzed using flow cytometry to assess the</w:t>
      </w:r>
      <w:r>
        <w:rPr>
          <w:rFonts w:hint="eastAsia"/>
          <w:b/>
          <w:bCs/>
          <w:szCs w:val="21"/>
          <w:highlight w:val="yellow"/>
        </w:rPr>
        <w:t xml:space="preserve"> </w:t>
      </w:r>
      <w:r>
        <w:rPr>
          <w:rFonts w:hint="eastAsia"/>
          <w:szCs w:val="21"/>
          <w:highlight w:val="yellow"/>
        </w:rPr>
        <w:t xml:space="preserve">viability and proliferation. T cells of </w:t>
      </w:r>
      <w:r>
        <w:rPr>
          <w:szCs w:val="21"/>
          <w:highlight w:val="yellow"/>
        </w:rPr>
        <w:t>NT, N, and N15 groups</w:t>
      </w:r>
      <w:r>
        <w:rPr>
          <w:rFonts w:hint="eastAsia"/>
          <w:szCs w:val="21"/>
          <w:highlight w:val="yellow"/>
        </w:rPr>
        <w:t xml:space="preserve"> were stained with </w:t>
      </w:r>
      <w:r>
        <w:rPr>
          <w:szCs w:val="21"/>
          <w:highlight w:val="yellow"/>
        </w:rPr>
        <w:t>LIVE/DEAD Fixable Dead Cell Staining kit (LIVE/DEAD™ Fixable Near IR Viability Kit, L34992, Thermo, USA)</w:t>
      </w:r>
      <w:r>
        <w:rPr>
          <w:rFonts w:hint="eastAsia"/>
          <w:szCs w:val="21"/>
          <w:highlight w:val="yellow"/>
        </w:rPr>
        <w:t xml:space="preserve"> according to the manufacturer</w:t>
      </w:r>
      <w:r>
        <w:rPr>
          <w:szCs w:val="21"/>
          <w:highlight w:val="yellow"/>
        </w:rPr>
        <w:t>’</w:t>
      </w:r>
      <w:r>
        <w:rPr>
          <w:rFonts w:hint="eastAsia"/>
          <w:szCs w:val="21"/>
          <w:highlight w:val="yellow"/>
        </w:rPr>
        <w:t>s instructions. Then the cells were suspended in 200</w:t>
      </w:r>
      <w:r>
        <w:rPr>
          <w:bCs/>
          <w:szCs w:val="21"/>
          <w:highlight w:val="yellow"/>
        </w:rPr>
        <w:t>μl/test</w:t>
      </w:r>
      <w:r>
        <w:rPr>
          <w:rFonts w:hint="eastAsia"/>
          <w:bCs/>
          <w:szCs w:val="21"/>
          <w:highlight w:val="yellow"/>
        </w:rPr>
        <w:t xml:space="preserve"> and added with 25</w:t>
      </w:r>
      <w:r>
        <w:rPr>
          <w:bCs/>
          <w:szCs w:val="21"/>
          <w:highlight w:val="yellow"/>
        </w:rPr>
        <w:t>μl/test</w:t>
      </w:r>
      <w:r>
        <w:rPr>
          <w:rFonts w:hint="eastAsia"/>
          <w:bCs/>
          <w:szCs w:val="21"/>
          <w:highlight w:val="yellow"/>
        </w:rPr>
        <w:t xml:space="preserve"> of </w:t>
      </w:r>
      <w:r>
        <w:rPr>
          <w:bCs/>
          <w:szCs w:val="21"/>
          <w:highlight w:val="yellow"/>
        </w:rPr>
        <w:t>CountBright™ absolute counting beads</w:t>
      </w:r>
      <w:r>
        <w:rPr>
          <w:rFonts w:hint="eastAsia"/>
          <w:bCs/>
          <w:szCs w:val="21"/>
          <w:highlight w:val="yellow"/>
        </w:rPr>
        <w:t xml:space="preserve"> (Invitrogen) before testing on </w:t>
      </w:r>
      <w:r>
        <w:rPr>
          <w:bCs/>
          <w:szCs w:val="21"/>
          <w:highlight w:val="yellow"/>
        </w:rPr>
        <w:t>BD LSRFortessa.</w:t>
      </w:r>
      <w:r>
        <w:rPr>
          <w:rFonts w:hint="eastAsia"/>
          <w:bCs/>
          <w:szCs w:val="21"/>
          <w:highlight w:val="yellow"/>
        </w:rPr>
        <w:t xml:space="preserve"> Gating strategy was shown in Supplementary Figure 5 and the absolute count of the live cells were calculated according to the following </w:t>
      </w:r>
      <w:r>
        <w:rPr>
          <w:bCs/>
          <w:szCs w:val="21"/>
          <w:highlight w:val="yellow"/>
        </w:rPr>
        <w:t>formula</w:t>
      </w:r>
      <w:r>
        <w:rPr>
          <w:rFonts w:hint="eastAsia"/>
          <w:bCs/>
          <w:szCs w:val="21"/>
          <w:highlight w:val="yellow"/>
        </w:rPr>
        <w:t>.</w:t>
      </w:r>
      <w:r>
        <w:rPr>
          <w:rFonts w:hint="eastAsia"/>
          <w:highlight w:val="yellow"/>
        </w:rPr>
        <w:t xml:space="preserve"> The </w:t>
      </w:r>
      <w:r>
        <w:rPr>
          <w:highlight w:val="yellow"/>
        </w:rPr>
        <w:t>percentage</w:t>
      </w:r>
      <w:r>
        <w:rPr>
          <w:rFonts w:hint="eastAsia"/>
          <w:highlight w:val="yellow"/>
        </w:rPr>
        <w:t xml:space="preserve"> and the absolute count of the live cells </w:t>
      </w:r>
      <w:r>
        <w:rPr>
          <w:highlight w:val="yellow"/>
        </w:rPr>
        <w:t>serves as indicator</w:t>
      </w:r>
      <w:r>
        <w:rPr>
          <w:rFonts w:hint="eastAsia"/>
          <w:highlight w:val="yellow"/>
        </w:rPr>
        <w:t>s</w:t>
      </w:r>
      <w:r>
        <w:rPr>
          <w:highlight w:val="yellow"/>
        </w:rPr>
        <w:t xml:space="preserve"> to assess the viability and proliferation</w:t>
      </w:r>
      <w:r>
        <w:rPr>
          <w:rFonts w:hint="eastAsia"/>
          <w:highlight w:val="yellow"/>
        </w:rPr>
        <w:t>, respectively.</w:t>
      </w:r>
    </w:p>
    <w:p w14:paraId="77958A64">
      <w:pPr>
        <w:rPr>
          <w:szCs w:val="21"/>
        </w:rPr>
      </w:pPr>
      <w:r>
        <w:rPr>
          <w:rFonts w:hint="eastAsia"/>
          <w:highlight w:val="yellow"/>
        </w:rPr>
        <w:drawing>
          <wp:inline distT="0" distB="0" distL="0" distR="0">
            <wp:extent cx="4869180" cy="388620"/>
            <wp:effectExtent l="0" t="0" r="7620" b="0"/>
            <wp:docPr id="5638905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90579"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869180" cy="388620"/>
                    </a:xfrm>
                    <a:prstGeom prst="rect">
                      <a:avLst/>
                    </a:prstGeom>
                    <a:noFill/>
                    <a:ln>
                      <a:noFill/>
                    </a:ln>
                  </pic:spPr>
                </pic:pic>
              </a:graphicData>
            </a:graphic>
          </wp:inline>
        </w:drawing>
      </w:r>
    </w:p>
    <w:bookmarkEnd w:id="1"/>
    <w:bookmarkEnd w:id="3"/>
    <w:bookmarkEnd w:id="10"/>
    <w:p w14:paraId="45E31BC8"/>
    <w:p w14:paraId="3EEB0F2C">
      <w:pPr>
        <w:rPr>
          <w:b/>
        </w:rPr>
      </w:pPr>
      <w:r>
        <w:rPr>
          <w:b/>
        </w:rPr>
        <w:t>RNA isolation and RNA-Seq</w:t>
      </w:r>
    </w:p>
    <w:p w14:paraId="5AB1D3BD">
      <w:r>
        <w:t xml:space="preserve">On Day 13 post infection, 5 millions of T cells from NT, N and N15 groups were taken and co-cultured with B-LCLs at the a ratio of 2:1 for 8 hours under 37 °C and 5% CO2 (n=3). After </w:t>
      </w:r>
      <w:bookmarkStart w:id="16" w:name="OLE_LINK1"/>
      <w:r>
        <w:t>RNA extraction</w:t>
      </w:r>
      <w:bookmarkEnd w:id="16"/>
      <w:r>
        <w:t xml:space="preserve"> with TRIzol reagent (Invitrogen, Carlsbad, USA) and quality inspection of purity (OD260/OD280: 1.8-2.4; OD260/OD230: 1.5-2.4) and integrity (RIN&gt;7) by NanoPhotometer and Agilent 2100 Bioanalyzer, the total RNA was enriched with magnetic beads with oligo (dT) and fragmented and then used as the template to synthesize single-stranded cDNA; afterward, a two-strand synthesis reaction system was prepared to synthesize double-stranded cDNA; subsequently, the double-stranded cDNA underwent purification, recovery, sticky end repair, and the addition of the base "A" to the 3' end of the cDNA for adaptor ligation. Then, cDNA of the appropriate size was selected and amplified via PCR to construct cDNA libraries. Finally, the constructed libraries were qualified by an Agilent 2100 Bioanalyzer and Qubit and sequenced by an Illumina Novaseq™ 6000 (Guangzhou Huayin Health Technology Co., Ltd. Guangzhou, China) (PE150). The sequencing read length was 2×150 bp. Raw data were first filtered with fastp</w:t>
      </w:r>
      <w:r>
        <w:rPr>
          <w:rFonts w:hint="eastAsia"/>
        </w:rPr>
        <w:t xml:space="preserve"> s</w:t>
      </w:r>
      <w:r>
        <w:t>oftware (</w:t>
      </w:r>
      <w:r>
        <w:fldChar w:fldCharType="begin"/>
      </w:r>
      <w:r>
        <w:instrText xml:space="preserve"> HYPERLINK "https://github.com/OpenGene/fastp" </w:instrText>
      </w:r>
      <w:r>
        <w:fldChar w:fldCharType="separate"/>
      </w:r>
      <w:r>
        <w:rPr>
          <w:rStyle w:val="10"/>
        </w:rPr>
        <w:t>https://github.com/OpenGene/fastp</w:t>
      </w:r>
      <w:r>
        <w:rPr>
          <w:rStyle w:val="10"/>
        </w:rPr>
        <w:fldChar w:fldCharType="end"/>
      </w:r>
      <w:r>
        <w:t xml:space="preserve">) and subsequently mapped to the human reference genome (hg38) with the Hisat2 software. Gene expression abundance was estimated by RNASeq by expectation maximization (RSEM) and normalized to the number of fragments per kilobase of exon model per million mapped reads (FPKMs). The sample clustering was visualized using Principal Component Analysis (PCA). The differentially expressed genes (DEGs) were identified using the edgeR package in R software v3.8.1 with a threshold of log2-fold change &gt;2.0 and </w:t>
      </w:r>
      <w:r>
        <w:rPr>
          <w:i/>
        </w:rPr>
        <w:t>P</w:t>
      </w:r>
      <w:r>
        <w:t xml:space="preserve">&lt;0.05. All the DEGs were subjected to </w:t>
      </w:r>
      <w:bookmarkStart w:id="17" w:name="OLE_LINK2"/>
      <w:r>
        <w:t>Gene Ontology (GO) and Kyoto Encyclopedia of Genes and Genomes (KEGG) pathway enrichment analysis</w:t>
      </w:r>
      <w:bookmarkEnd w:id="17"/>
      <w:r>
        <w:t xml:space="preserve"> using ClusterProfiler v3.8.1. GO terms or pathways with a corrected </w:t>
      </w:r>
      <w:r>
        <w:rPr>
          <w:i/>
        </w:rPr>
        <w:t>P</w:t>
      </w:r>
      <w:r>
        <w:t xml:space="preserve"> value ≤ 0.05 were considered significantly enriched for DEGs. GO annotation results were analyzed by the Web Gene Ontology Annotation Plot (WEGO) software. Furthermore, we conducted </w:t>
      </w:r>
      <w:bookmarkStart w:id="18" w:name="OLE_LINK3"/>
      <w:r>
        <w:t>Gene Set Enrichment Analysis (GSEA)</w:t>
      </w:r>
      <w:bookmarkEnd w:id="18"/>
      <w:r>
        <w:t>. The conventional method of enrichment analysis does not take into account changes in gene expression; its essence lies in the consistency of the distribution between different genes and random sampling outcomes. GSEA examines whether a set of genes is predominantly concentrated at either end of the sequence. If they are found at the top, it indicates an upward trend within the gene set; conversely, if they are located at the bottom, it signifies a downward trend. By incorporating these subtle expression changes, GSEA aims to achieve improved results.</w:t>
      </w:r>
    </w:p>
    <w:p w14:paraId="6B661967">
      <w:pPr>
        <w:ind w:firstLine="420" w:firstLineChars="200"/>
      </w:pPr>
      <w:r>
        <w:t>Raw data were filtered with SOAPnuke v1.5.2. to get clean sequencing data by eliminating the adaptors or a large amount of unknown sequencing reads.</w:t>
      </w:r>
    </w:p>
    <w:p w14:paraId="156BE33A">
      <w:pPr>
        <w:rPr>
          <w:highlight w:val="yellow"/>
        </w:rPr>
      </w:pPr>
      <w:bookmarkStart w:id="19" w:name="OLE_LINK20"/>
    </w:p>
    <w:p w14:paraId="0327AE7A">
      <w:pPr>
        <w:rPr>
          <w:b/>
          <w:highlight w:val="yellow"/>
        </w:rPr>
      </w:pPr>
      <w:r>
        <w:rPr>
          <w:b/>
          <w:highlight w:val="yellow"/>
        </w:rPr>
        <w:t xml:space="preserve">Detection of </w:t>
      </w:r>
      <w:r>
        <w:rPr>
          <w:b/>
          <w:i/>
          <w:iCs/>
          <w:highlight w:val="yellow"/>
        </w:rPr>
        <w:t>in vitro</w:t>
      </w:r>
      <w:r>
        <w:rPr>
          <w:b/>
          <w:highlight w:val="yellow"/>
        </w:rPr>
        <w:t xml:space="preserve"> cytokines by </w:t>
      </w:r>
      <w:bookmarkEnd w:id="19"/>
      <w:r>
        <w:rPr>
          <w:b/>
          <w:highlight w:val="yellow"/>
        </w:rPr>
        <w:t xml:space="preserve">degranulation assay and intracellular staining (ICS) </w:t>
      </w:r>
    </w:p>
    <w:p w14:paraId="4E26D62B">
      <w:pPr>
        <w:rPr>
          <w:rFonts w:eastAsiaTheme="minorEastAsia"/>
          <w:highlight w:val="yellow"/>
        </w:rPr>
      </w:pPr>
      <w:r>
        <w:rPr>
          <w:rFonts w:hint="eastAsia"/>
          <w:highlight w:val="yellow"/>
        </w:rPr>
        <w:t>0.</w:t>
      </w:r>
      <w:r>
        <w:rPr>
          <w:highlight w:val="yellow"/>
        </w:rPr>
        <w:t>2×10</w:t>
      </w:r>
      <w:r>
        <w:rPr>
          <w:rFonts w:hint="eastAsia"/>
          <w:highlight w:val="yellow"/>
          <w:vertAlign w:val="superscript"/>
        </w:rPr>
        <w:t>6</w:t>
      </w:r>
      <w:r>
        <w:rPr>
          <w:rFonts w:hint="eastAsia"/>
          <w:highlight w:val="yellow"/>
        </w:rPr>
        <w:t xml:space="preserve"> target cells </w:t>
      </w:r>
      <w:r>
        <w:rPr>
          <w:highlight w:val="yellow"/>
        </w:rPr>
        <w:t>of B-LCLs/PBMCs</w:t>
      </w:r>
      <w:r>
        <w:rPr>
          <w:rFonts w:hint="eastAsia"/>
          <w:highlight w:val="yellow"/>
        </w:rPr>
        <w:t xml:space="preserve"> and 1</w:t>
      </w:r>
      <w:r>
        <w:rPr>
          <w:highlight w:val="yellow"/>
        </w:rPr>
        <w:t>×10</w:t>
      </w:r>
      <w:r>
        <w:rPr>
          <w:rFonts w:hint="eastAsia"/>
          <w:highlight w:val="yellow"/>
          <w:vertAlign w:val="superscript"/>
        </w:rPr>
        <w:t xml:space="preserve">6 </w:t>
      </w:r>
      <w:r>
        <w:rPr>
          <w:rFonts w:hint="eastAsia"/>
          <w:highlight w:val="yellow"/>
        </w:rPr>
        <w:t>T cells of NT, N and N15 group</w:t>
      </w:r>
      <w:r>
        <w:rPr>
          <w:highlight w:val="yellow"/>
        </w:rPr>
        <w:t>s</w:t>
      </w:r>
      <w:r>
        <w:rPr>
          <w:rFonts w:hint="eastAsia"/>
          <w:highlight w:val="yellow"/>
        </w:rPr>
        <w:t xml:space="preserve"> were suspended in 100</w:t>
      </w:r>
      <w:r>
        <w:rPr>
          <w:highlight w:val="yellow"/>
        </w:rPr>
        <w:t>μl</w:t>
      </w:r>
      <w:r>
        <w:rPr>
          <w:rFonts w:hint="eastAsia" w:eastAsiaTheme="minorEastAsia"/>
          <w:highlight w:val="yellow"/>
        </w:rPr>
        <w:t xml:space="preserve"> of </w:t>
      </w:r>
      <w:r>
        <w:rPr>
          <w:highlight w:val="yellow"/>
        </w:rPr>
        <w:t>T cell culture medium without IL-2</w:t>
      </w:r>
      <w:r>
        <w:rPr>
          <w:rFonts w:hint="eastAsia" w:eastAsiaTheme="minorEastAsia"/>
          <w:highlight w:val="yellow"/>
        </w:rPr>
        <w:t xml:space="preserve"> respectively and co-cultured in </w:t>
      </w:r>
      <w:r>
        <w:rPr>
          <w:rFonts w:eastAsiaTheme="minorEastAsia"/>
          <w:highlight w:val="yellow"/>
        </w:rPr>
        <w:t>a</w:t>
      </w:r>
      <w:r>
        <w:rPr>
          <w:rFonts w:hint="eastAsia" w:eastAsiaTheme="minorEastAsia"/>
          <w:highlight w:val="yellow"/>
        </w:rPr>
        <w:t xml:space="preserve"> </w:t>
      </w:r>
      <w:r>
        <w:rPr>
          <w:highlight w:val="yellow"/>
        </w:rPr>
        <w:t>U-shaped 96-well plate</w:t>
      </w:r>
      <w:r>
        <w:rPr>
          <w:rFonts w:hint="eastAsia" w:eastAsiaTheme="minorEastAsia"/>
          <w:highlight w:val="yellow"/>
        </w:rPr>
        <w:t xml:space="preserve">. Then </w:t>
      </w:r>
      <w:r>
        <w:rPr>
          <w:highlight w:val="yellow"/>
        </w:rPr>
        <w:t>CD107a PE-Cy7 flow cytometry antibody (2μl/test) as well as BFA solution (2μl/test; containing 1:1000 Monensin from Biolegend and 1:1000 Brefeldin A from Biolegend)</w:t>
      </w:r>
      <w:r>
        <w:rPr>
          <w:rFonts w:hint="eastAsia" w:eastAsiaTheme="minorEastAsia"/>
          <w:highlight w:val="yellow"/>
        </w:rPr>
        <w:t xml:space="preserve"> w</w:t>
      </w:r>
      <w:r>
        <w:rPr>
          <w:rFonts w:eastAsiaTheme="minorEastAsia"/>
          <w:highlight w:val="yellow"/>
        </w:rPr>
        <w:t>ere</w:t>
      </w:r>
      <w:r>
        <w:rPr>
          <w:rFonts w:hint="eastAsia" w:eastAsiaTheme="minorEastAsia"/>
          <w:highlight w:val="yellow"/>
        </w:rPr>
        <w:t xml:space="preserve"> added and the </w:t>
      </w:r>
      <w:r>
        <w:rPr>
          <w:rFonts w:eastAsiaTheme="minorEastAsia"/>
          <w:highlight w:val="yellow"/>
        </w:rPr>
        <w:t>co-culture systems</w:t>
      </w:r>
      <w:r>
        <w:rPr>
          <w:rFonts w:hint="eastAsia" w:eastAsiaTheme="minorEastAsia"/>
          <w:highlight w:val="yellow"/>
        </w:rPr>
        <w:t xml:space="preserve"> were incubated </w:t>
      </w:r>
      <w:r>
        <w:rPr>
          <w:highlight w:val="yellow"/>
        </w:rPr>
        <w:t xml:space="preserve">at 37°C in 5% CO2 for </w:t>
      </w:r>
      <w:r>
        <w:rPr>
          <w:rFonts w:eastAsiaTheme="minorEastAsia"/>
          <w:highlight w:val="yellow"/>
        </w:rPr>
        <w:t>5</w:t>
      </w:r>
      <w:r>
        <w:rPr>
          <w:highlight w:val="yellow"/>
        </w:rPr>
        <w:t>h,</w:t>
      </w:r>
      <w:r>
        <w:rPr>
          <w:rFonts w:hint="eastAsia" w:eastAsiaTheme="minorEastAsia"/>
          <w:highlight w:val="yellow"/>
        </w:rPr>
        <w:t xml:space="preserve"> and subsequently </w:t>
      </w:r>
      <w:r>
        <w:rPr>
          <w:highlight w:val="yellow"/>
        </w:rPr>
        <w:t>collected</w:t>
      </w:r>
      <w:r>
        <w:rPr>
          <w:rFonts w:hint="eastAsia" w:eastAsiaTheme="minorEastAsia"/>
          <w:highlight w:val="yellow"/>
        </w:rPr>
        <w:t xml:space="preserve"> for ICS. After the procedure of f</w:t>
      </w:r>
      <w:r>
        <w:rPr>
          <w:rFonts w:eastAsiaTheme="minorEastAsia"/>
          <w:highlight w:val="yellow"/>
        </w:rPr>
        <w:t>ixation/</w:t>
      </w:r>
      <w:r>
        <w:rPr>
          <w:rFonts w:hint="eastAsia" w:eastAsiaTheme="minorEastAsia"/>
          <w:highlight w:val="yellow"/>
        </w:rPr>
        <w:t>p</w:t>
      </w:r>
      <w:r>
        <w:rPr>
          <w:rFonts w:eastAsiaTheme="minorEastAsia"/>
          <w:highlight w:val="yellow"/>
        </w:rPr>
        <w:t>ermeabilization</w:t>
      </w:r>
      <w:r>
        <w:rPr>
          <w:rFonts w:hint="eastAsia" w:eastAsiaTheme="minorEastAsia"/>
          <w:highlight w:val="yellow"/>
        </w:rPr>
        <w:t>, the cells were stained with antibodies (</w:t>
      </w:r>
      <w:r>
        <w:rPr>
          <w:rFonts w:eastAsiaTheme="minorEastAsia"/>
          <w:highlight w:val="yellow"/>
        </w:rPr>
        <w:t>IFN-γ, TNF-α, IL-2 or Granzyme B</w:t>
      </w:r>
      <w:r>
        <w:rPr>
          <w:rFonts w:hint="eastAsia" w:eastAsiaTheme="minorEastAsia"/>
          <w:highlight w:val="yellow"/>
        </w:rPr>
        <w:t xml:space="preserve"> for B-LCLs, and </w:t>
      </w:r>
      <w:r>
        <w:rPr>
          <w:rFonts w:eastAsiaTheme="minorEastAsia"/>
          <w:highlight w:val="yellow"/>
        </w:rPr>
        <w:t>IFN-γ, IL-2</w:t>
      </w:r>
      <w:r>
        <w:rPr>
          <w:rFonts w:hint="eastAsia" w:eastAsiaTheme="minorEastAsia"/>
          <w:highlight w:val="yellow"/>
        </w:rPr>
        <w:t xml:space="preserve"> for PBMCs) </w:t>
      </w:r>
      <w:r>
        <w:rPr>
          <w:rFonts w:eastAsiaTheme="minorEastAsia"/>
          <w:highlight w:val="yellow"/>
        </w:rPr>
        <w:t>for</w:t>
      </w:r>
      <w:r>
        <w:rPr>
          <w:rFonts w:hint="eastAsia" w:eastAsiaTheme="minorEastAsia"/>
          <w:highlight w:val="yellow"/>
        </w:rPr>
        <w:t xml:space="preserve"> 30min at 2</w:t>
      </w:r>
      <w:r>
        <w:rPr>
          <w:rFonts w:eastAsiaTheme="minorEastAsia"/>
          <w:highlight w:val="yellow"/>
        </w:rPr>
        <w:t>-</w:t>
      </w:r>
      <w:r>
        <w:rPr>
          <w:rFonts w:hint="eastAsia" w:eastAsiaTheme="minorEastAsia"/>
          <w:highlight w:val="yellow"/>
        </w:rPr>
        <w:t xml:space="preserve">8 </w:t>
      </w:r>
      <w:r>
        <w:rPr>
          <w:bCs/>
          <w:szCs w:val="21"/>
          <w:highlight w:val="yellow"/>
        </w:rPr>
        <w:t>℃</w:t>
      </w:r>
      <w:r>
        <w:rPr>
          <w:rFonts w:hint="eastAsia" w:eastAsiaTheme="minorEastAsia"/>
          <w:highlight w:val="yellow"/>
        </w:rPr>
        <w:t xml:space="preserve"> before flow cytometry analysis </w:t>
      </w:r>
      <w:r>
        <w:rPr>
          <w:rFonts w:eastAsiaTheme="minorEastAsia"/>
          <w:highlight w:val="yellow"/>
        </w:rPr>
        <w:t>(S</w:t>
      </w:r>
      <w:r>
        <w:rPr>
          <w:rFonts w:hint="eastAsia" w:eastAsiaTheme="minorEastAsia"/>
          <w:highlight w:val="yellow"/>
        </w:rPr>
        <w:t xml:space="preserve">upplementary </w:t>
      </w:r>
      <w:r>
        <w:rPr>
          <w:rFonts w:eastAsiaTheme="minorEastAsia"/>
          <w:highlight w:val="yellow"/>
        </w:rPr>
        <w:t>T</w:t>
      </w:r>
      <w:r>
        <w:rPr>
          <w:rFonts w:hint="eastAsia" w:eastAsiaTheme="minorEastAsia"/>
          <w:highlight w:val="yellow"/>
        </w:rPr>
        <w:t>able 2</w:t>
      </w:r>
      <w:r>
        <w:rPr>
          <w:rFonts w:eastAsiaTheme="minorEastAsia"/>
          <w:highlight w:val="yellow"/>
        </w:rPr>
        <w:t>)</w:t>
      </w:r>
      <w:r>
        <w:rPr>
          <w:rFonts w:hint="eastAsia" w:eastAsiaTheme="minorEastAsia"/>
          <w:highlight w:val="yellow"/>
        </w:rPr>
        <w:t>.</w:t>
      </w:r>
    </w:p>
    <w:p w14:paraId="6BEB2EC2">
      <w:pPr>
        <w:rPr>
          <w:highlight w:val="yellow"/>
        </w:rPr>
      </w:pPr>
      <w:bookmarkStart w:id="20" w:name="OLE_LINK27"/>
    </w:p>
    <w:p w14:paraId="3B1EF999">
      <w:pPr>
        <w:rPr>
          <w:b/>
          <w:highlight w:val="yellow"/>
        </w:rPr>
      </w:pPr>
      <w:r>
        <w:rPr>
          <w:b/>
          <w:highlight w:val="yellow"/>
        </w:rPr>
        <w:t>Detection of</w:t>
      </w:r>
      <w:r>
        <w:rPr>
          <w:b/>
          <w:i/>
          <w:highlight w:val="yellow"/>
        </w:rPr>
        <w:t xml:space="preserve"> in vitro</w:t>
      </w:r>
      <w:r>
        <w:rPr>
          <w:b/>
          <w:highlight w:val="yellow"/>
        </w:rPr>
        <w:t xml:space="preserve"> </w:t>
      </w:r>
      <w:bookmarkStart w:id="21" w:name="OLE_LINK26"/>
      <w:r>
        <w:rPr>
          <w:b/>
          <w:highlight w:val="yellow"/>
        </w:rPr>
        <w:t>cytokines</w:t>
      </w:r>
      <w:bookmarkEnd w:id="21"/>
      <w:r>
        <w:rPr>
          <w:b/>
          <w:highlight w:val="yellow"/>
        </w:rPr>
        <w:t xml:space="preserve"> by ELISA</w:t>
      </w:r>
    </w:p>
    <w:bookmarkEnd w:id="20"/>
    <w:p w14:paraId="483F9C56">
      <w:pPr>
        <w:rPr>
          <w:highlight w:val="yellow"/>
        </w:rPr>
      </w:pPr>
      <w:r>
        <w:rPr>
          <w:highlight w:val="yellow"/>
        </w:rPr>
        <w:t>The supernatants collected from the experiment of Figure 5C were applied for monitoring the cytokine secretion of IL-15, IL-2, IFN-γ, TNF-α, IL-6, IL-10 and GM-CSF at 6, 24, 48 and 72h after co-culturing by ELISA (The commercial kits used were listed in Supplementary Table 2</w:t>
      </w:r>
      <w:r>
        <w:rPr>
          <w:rFonts w:hint="eastAsia"/>
          <w:highlight w:val="yellow"/>
        </w:rPr>
        <w:t xml:space="preserve">, </w:t>
      </w:r>
      <w:bookmarkStart w:id="22" w:name="OLE_LINK28"/>
      <w:r>
        <w:rPr>
          <w:rFonts w:hint="eastAsia"/>
          <w:highlight w:val="yellow"/>
        </w:rPr>
        <w:t>50</w:t>
      </w:r>
      <w:r>
        <w:rPr>
          <w:rFonts w:eastAsia="Times New Roman"/>
          <w:kern w:val="44"/>
          <w:szCs w:val="44"/>
          <w:highlight w:val="yellow"/>
        </w:rPr>
        <w:t>μl/test</w:t>
      </w:r>
      <w:bookmarkEnd w:id="22"/>
      <w:r>
        <w:rPr>
          <w:highlight w:val="yellow"/>
        </w:rPr>
        <w:t>).</w:t>
      </w:r>
    </w:p>
    <w:p w14:paraId="6315DBE2">
      <w:pPr>
        <w:rPr>
          <w:highlight w:val="yellow"/>
        </w:rPr>
      </w:pPr>
    </w:p>
    <w:p w14:paraId="50ECCBA4">
      <w:pPr>
        <w:rPr>
          <w:b/>
          <w:highlight w:val="yellow"/>
        </w:rPr>
      </w:pPr>
      <w:r>
        <w:rPr>
          <w:b/>
          <w:highlight w:val="yellow"/>
        </w:rPr>
        <w:t xml:space="preserve">Detection of </w:t>
      </w:r>
      <w:r>
        <w:rPr>
          <w:b/>
          <w:i/>
          <w:highlight w:val="yellow"/>
        </w:rPr>
        <w:t xml:space="preserve">in </w:t>
      </w:r>
      <w:r>
        <w:rPr>
          <w:rFonts w:hint="eastAsia"/>
          <w:b/>
          <w:i/>
          <w:highlight w:val="yellow"/>
        </w:rPr>
        <w:t>vivo</w:t>
      </w:r>
      <w:r>
        <w:rPr>
          <w:b/>
          <w:highlight w:val="yellow"/>
        </w:rPr>
        <w:t xml:space="preserve"> cytokines</w:t>
      </w:r>
      <w:r>
        <w:rPr>
          <w:rFonts w:hint="eastAsia"/>
          <w:b/>
          <w:highlight w:val="yellow"/>
        </w:rPr>
        <w:t xml:space="preserve"> by </w:t>
      </w:r>
      <w:r>
        <w:rPr>
          <w:b/>
          <w:highlight w:val="yellow"/>
        </w:rPr>
        <w:t>LEDGENDplex assay</w:t>
      </w:r>
      <w:r>
        <w:rPr>
          <w:rFonts w:hint="eastAsia"/>
          <w:b/>
          <w:highlight w:val="yellow"/>
        </w:rPr>
        <w:t xml:space="preserve"> </w:t>
      </w:r>
      <w:r>
        <w:rPr>
          <w:b/>
          <w:highlight w:val="yellow"/>
        </w:rPr>
        <w:t xml:space="preserve">or </w:t>
      </w:r>
      <w:r>
        <w:rPr>
          <w:rFonts w:hint="eastAsia"/>
          <w:b/>
          <w:highlight w:val="yellow"/>
        </w:rPr>
        <w:t>ELISA</w:t>
      </w:r>
    </w:p>
    <w:p w14:paraId="75C9BC74">
      <w:pPr>
        <w:rPr>
          <w:highlight w:val="yellow"/>
        </w:rPr>
      </w:pPr>
      <w:r>
        <w:rPr>
          <w:highlight w:val="yellow"/>
        </w:rPr>
        <w:t>On Day 21 after T cell treatment, mice of each group were sacrificed by breaking the neck to obtain the samples of peripheral blood</w:t>
      </w:r>
      <w:r>
        <w:rPr>
          <w:rFonts w:hint="eastAsia"/>
          <w:highlight w:val="yellow"/>
        </w:rPr>
        <w:t xml:space="preserve"> (</w:t>
      </w:r>
      <w:r>
        <w:rPr>
          <w:highlight w:val="yellow"/>
        </w:rPr>
        <w:t>obtained by retro-orbital puncture</w:t>
      </w:r>
      <w:r>
        <w:rPr>
          <w:rFonts w:hint="eastAsia"/>
          <w:highlight w:val="yellow"/>
        </w:rPr>
        <w:t xml:space="preserve">). Then the blood samples were </w:t>
      </w:r>
      <w:r>
        <w:rPr>
          <w:highlight w:val="yellow"/>
        </w:rPr>
        <w:t>centrifuge</w:t>
      </w:r>
      <w:r>
        <w:rPr>
          <w:rFonts w:hint="eastAsia"/>
          <w:highlight w:val="yellow"/>
        </w:rPr>
        <w:t xml:space="preserve">d at </w:t>
      </w:r>
      <w:r>
        <w:rPr>
          <w:highlight w:val="yellow"/>
        </w:rPr>
        <w:t>400g×</w:t>
      </w:r>
      <w:r>
        <w:rPr>
          <w:rFonts w:hint="eastAsia"/>
          <w:highlight w:val="yellow"/>
        </w:rPr>
        <w:t>10</w:t>
      </w:r>
      <w:r>
        <w:rPr>
          <w:highlight w:val="yellow"/>
        </w:rPr>
        <w:t>m</w:t>
      </w:r>
      <w:r>
        <w:rPr>
          <w:rFonts w:hint="eastAsia"/>
          <w:highlight w:val="yellow"/>
        </w:rPr>
        <w:t>in to get plasma</w:t>
      </w:r>
      <w:r>
        <w:rPr>
          <w:highlight w:val="yellow"/>
        </w:rPr>
        <w:t>s</w:t>
      </w:r>
      <w:r>
        <w:rPr>
          <w:rFonts w:hint="eastAsia"/>
          <w:highlight w:val="yellow"/>
        </w:rPr>
        <w:t>. A</w:t>
      </w:r>
      <w:r>
        <w:rPr>
          <w:highlight w:val="yellow"/>
        </w:rPr>
        <w:t xml:space="preserve"> customized LEDGENDplex</w:t>
      </w:r>
      <w:r>
        <w:rPr>
          <w:rFonts w:hint="eastAsia"/>
          <w:highlight w:val="yellow"/>
        </w:rPr>
        <w:t xml:space="preserve"> </w:t>
      </w:r>
      <w:r>
        <w:rPr>
          <w:highlight w:val="yellow"/>
        </w:rPr>
        <w:t>Human CD8/NK Panel (13-plex) with V-bottom Plate (741065, BioLegend, Japan) was used to detection of human IL-2, IL-4, IL-10, IL-6, IL-17A, TNF-α, sFas, sFasL, IFN-γ, Granzyme A, Granzyme B, Perforin and Granulysin in the plasmas of mice</w:t>
      </w:r>
      <w:r>
        <w:rPr>
          <w:rFonts w:hint="eastAsia"/>
          <w:highlight w:val="yellow"/>
        </w:rPr>
        <w:t xml:space="preserve">. According to the </w:t>
      </w:r>
      <w:r>
        <w:rPr>
          <w:highlight w:val="yellow"/>
        </w:rPr>
        <w:t>instructions</w:t>
      </w:r>
      <w:r>
        <w:rPr>
          <w:rFonts w:hint="eastAsia"/>
          <w:highlight w:val="yellow"/>
        </w:rPr>
        <w:t xml:space="preserve"> of the manufacturer, the procedure include mainly the preparation of </w:t>
      </w:r>
      <w:bookmarkStart w:id="23" w:name="OLE_LINK29"/>
      <w:r>
        <w:rPr>
          <w:highlight w:val="yellow"/>
        </w:rPr>
        <w:t>gradient</w:t>
      </w:r>
      <w:r>
        <w:rPr>
          <w:rFonts w:hint="eastAsia"/>
          <w:highlight w:val="yellow"/>
        </w:rPr>
        <w:t xml:space="preserve"> standard </w:t>
      </w:r>
      <w:bookmarkEnd w:id="23"/>
      <w:r>
        <w:rPr>
          <w:rFonts w:hint="eastAsia"/>
          <w:highlight w:val="yellow"/>
        </w:rPr>
        <w:t xml:space="preserve">and sample </w:t>
      </w:r>
      <w:r>
        <w:rPr>
          <w:highlight w:val="yellow"/>
        </w:rPr>
        <w:t>plasma (</w:t>
      </w:r>
      <w:r>
        <w:rPr>
          <w:rFonts w:hint="eastAsia"/>
          <w:highlight w:val="yellow"/>
        </w:rPr>
        <w:t>25</w:t>
      </w:r>
      <w:r>
        <w:rPr>
          <w:rFonts w:eastAsia="Times New Roman"/>
          <w:kern w:val="44"/>
          <w:szCs w:val="44"/>
          <w:highlight w:val="yellow"/>
        </w:rPr>
        <w:t>μl/test</w:t>
      </w:r>
      <w:r>
        <w:rPr>
          <w:rFonts w:hint="eastAsia" w:eastAsiaTheme="minorEastAsia"/>
          <w:kern w:val="44"/>
          <w:szCs w:val="44"/>
          <w:highlight w:val="yellow"/>
        </w:rPr>
        <w:t>, n=6</w:t>
      </w:r>
      <w:r>
        <w:rPr>
          <w:rFonts w:hint="eastAsia"/>
          <w:highlight w:val="yellow"/>
        </w:rPr>
        <w:t xml:space="preserve">), antigen capture, </w:t>
      </w:r>
      <w:r>
        <w:rPr>
          <w:highlight w:val="yellow"/>
        </w:rPr>
        <w:t>detection antibody</w:t>
      </w:r>
      <w:r>
        <w:rPr>
          <w:rFonts w:hint="eastAsia"/>
          <w:highlight w:val="yellow"/>
        </w:rPr>
        <w:t xml:space="preserve"> incubation, washing, detection of </w:t>
      </w:r>
      <w:r>
        <w:rPr>
          <w:highlight w:val="yellow"/>
        </w:rPr>
        <w:t>gradient</w:t>
      </w:r>
      <w:r>
        <w:rPr>
          <w:rFonts w:hint="eastAsia"/>
          <w:highlight w:val="yellow"/>
        </w:rPr>
        <w:t xml:space="preserve"> standard and </w:t>
      </w:r>
      <w:r>
        <w:rPr>
          <w:highlight w:val="yellow"/>
        </w:rPr>
        <w:t>parameter settings</w:t>
      </w:r>
      <w:r>
        <w:rPr>
          <w:rFonts w:hint="eastAsia"/>
          <w:highlight w:val="yellow"/>
        </w:rPr>
        <w:t xml:space="preserve">, detection of samples by flow cytometry and finally analyzing the data </w:t>
      </w:r>
      <w:r>
        <w:rPr>
          <w:highlight w:val="yellow"/>
        </w:rPr>
        <w:t>with the Qognit software (https://legendplex.qognit.com/; BioLegend, Japan)</w:t>
      </w:r>
      <w:r>
        <w:rPr>
          <w:rFonts w:hint="eastAsia"/>
          <w:highlight w:val="yellow"/>
        </w:rPr>
        <w:t>.</w:t>
      </w:r>
      <w:r>
        <w:rPr>
          <w:highlight w:val="yellow"/>
        </w:rPr>
        <w:t xml:space="preserve"> </w:t>
      </w:r>
      <w:r>
        <w:rPr>
          <w:rFonts w:hint="eastAsia"/>
          <w:highlight w:val="yellow"/>
        </w:rPr>
        <w:t xml:space="preserve">IL-15 in the </w:t>
      </w:r>
      <w:r>
        <w:rPr>
          <w:highlight w:val="yellow"/>
        </w:rPr>
        <w:t>plasma of mice was detected by the</w:t>
      </w:r>
      <w:r>
        <w:rPr>
          <w:rFonts w:hint="eastAsia"/>
          <w:highlight w:val="yellow"/>
        </w:rPr>
        <w:t xml:space="preserve"> ELISA </w:t>
      </w:r>
      <w:r>
        <w:rPr>
          <w:highlight w:val="yellow"/>
        </w:rPr>
        <w:t>described above</w:t>
      </w:r>
      <w:r>
        <w:rPr>
          <w:rFonts w:hint="eastAsia"/>
          <w:highlight w:val="yellow"/>
        </w:rPr>
        <w:t>.</w:t>
      </w:r>
      <w:r>
        <w:rPr>
          <w:rFonts w:hint="eastAsia"/>
        </w:rPr>
        <w:t xml:space="preserve"> </w:t>
      </w:r>
    </w:p>
    <w:p w14:paraId="31DDDF7F">
      <w:pPr>
        <w:widowControl/>
        <w:spacing w:line="240" w:lineRule="auto"/>
        <w:jc w:val="left"/>
        <w:rPr>
          <w:b/>
          <w:sz w:val="24"/>
          <w:szCs w:val="24"/>
        </w:rPr>
      </w:pPr>
      <w:r>
        <w:rPr>
          <w:b/>
          <w:sz w:val="24"/>
          <w:szCs w:val="24"/>
        </w:rPr>
        <w:br w:type="page"/>
      </w:r>
    </w:p>
    <w:p w14:paraId="245D1D91">
      <w:pPr>
        <w:rPr>
          <w:b/>
          <w:sz w:val="24"/>
          <w:szCs w:val="24"/>
        </w:rPr>
      </w:pPr>
      <w:r>
        <w:rPr>
          <w:b/>
          <w:sz w:val="24"/>
          <w:szCs w:val="24"/>
        </w:rPr>
        <w:t xml:space="preserve">Supplementary Tables. </w:t>
      </w:r>
    </w:p>
    <w:p w14:paraId="22BC6E8E"/>
    <w:p w14:paraId="234413B4">
      <w:pPr>
        <w:rPr>
          <w:b/>
        </w:rPr>
      </w:pPr>
      <w:r>
        <w:rPr>
          <w:b/>
        </w:rPr>
        <w:t>Supplementary Table 1. Comparison of CD19 CAR-T or EBV scFv CAR-T with NKG2D CAR-T for treating EBV-PTLD</w:t>
      </w:r>
    </w:p>
    <w:tbl>
      <w:tblPr>
        <w:tblStyle w:val="6"/>
        <w:tblW w:w="8229" w:type="dxa"/>
        <w:tblInd w:w="135" w:type="dxa"/>
        <w:tblLayout w:type="fixed"/>
        <w:tblCellMar>
          <w:top w:w="0" w:type="dxa"/>
          <w:left w:w="0" w:type="dxa"/>
          <w:bottom w:w="0" w:type="dxa"/>
          <w:right w:w="0" w:type="dxa"/>
        </w:tblCellMar>
      </w:tblPr>
      <w:tblGrid>
        <w:gridCol w:w="1425"/>
        <w:gridCol w:w="3537"/>
        <w:gridCol w:w="3267"/>
      </w:tblGrid>
      <w:tr w14:paraId="35867C60">
        <w:tblPrEx>
          <w:tblCellMar>
            <w:top w:w="0" w:type="dxa"/>
            <w:left w:w="0" w:type="dxa"/>
            <w:bottom w:w="0" w:type="dxa"/>
            <w:right w:w="0" w:type="dxa"/>
          </w:tblCellMar>
        </w:tblPrEx>
        <w:trPr>
          <w:trHeight w:val="433" w:hRule="atLeast"/>
        </w:trPr>
        <w:tc>
          <w:tcPr>
            <w:tcW w:w="1425" w:type="dxa"/>
            <w:tcBorders>
              <w:top w:val="single" w:color="000000" w:sz="12" w:space="0"/>
              <w:left w:val="nil"/>
              <w:bottom w:val="single" w:color="000000" w:sz="4" w:space="0"/>
              <w:right w:val="nil"/>
            </w:tcBorders>
            <w:shd w:val="clear" w:color="auto" w:fill="FFFFFF"/>
            <w:tcMar>
              <w:top w:w="10" w:type="dxa"/>
              <w:left w:w="10" w:type="dxa"/>
              <w:bottom w:w="0" w:type="dxa"/>
              <w:right w:w="10" w:type="dxa"/>
            </w:tcMar>
            <w:vAlign w:val="center"/>
          </w:tcPr>
          <w:p w14:paraId="05B4AA93">
            <w:pPr>
              <w:pStyle w:val="5"/>
            </w:pPr>
            <w:r>
              <w:t>　</w:t>
            </w:r>
          </w:p>
        </w:tc>
        <w:tc>
          <w:tcPr>
            <w:tcW w:w="3537" w:type="dxa"/>
            <w:tcBorders>
              <w:top w:val="single" w:color="000000" w:sz="12" w:space="0"/>
              <w:left w:val="nil"/>
              <w:bottom w:val="single" w:color="000000" w:sz="4" w:space="0"/>
              <w:right w:val="nil"/>
            </w:tcBorders>
            <w:shd w:val="clear" w:color="auto" w:fill="FFFFFF"/>
            <w:tcMar>
              <w:top w:w="10" w:type="dxa"/>
              <w:left w:w="10" w:type="dxa"/>
              <w:bottom w:w="0" w:type="dxa"/>
              <w:right w:w="10" w:type="dxa"/>
            </w:tcMar>
            <w:vAlign w:val="center"/>
          </w:tcPr>
          <w:p w14:paraId="7F007622">
            <w:pPr>
              <w:pStyle w:val="5"/>
            </w:pPr>
            <w:r>
              <w:t>CD19 CAR-T vs NKG2D CAR-T</w:t>
            </w:r>
          </w:p>
        </w:tc>
        <w:tc>
          <w:tcPr>
            <w:tcW w:w="3267" w:type="dxa"/>
            <w:tcBorders>
              <w:top w:val="single" w:color="000000" w:sz="12" w:space="0"/>
              <w:left w:val="nil"/>
              <w:bottom w:val="single" w:color="000000" w:sz="4" w:space="0"/>
              <w:right w:val="nil"/>
            </w:tcBorders>
            <w:shd w:val="clear" w:color="auto" w:fill="FFFFFF"/>
            <w:tcMar>
              <w:top w:w="10" w:type="dxa"/>
              <w:left w:w="10" w:type="dxa"/>
              <w:bottom w:w="0" w:type="dxa"/>
              <w:right w:w="10" w:type="dxa"/>
            </w:tcMar>
            <w:vAlign w:val="center"/>
          </w:tcPr>
          <w:p w14:paraId="4FC0E10C">
            <w:pPr>
              <w:pStyle w:val="5"/>
            </w:pPr>
            <w:r>
              <w:t>EBV scFv CAR-T vs NKG2D CAR-T</w:t>
            </w:r>
          </w:p>
        </w:tc>
      </w:tr>
      <w:tr w14:paraId="5FEF7C51">
        <w:tblPrEx>
          <w:tblCellMar>
            <w:top w:w="0" w:type="dxa"/>
            <w:left w:w="0" w:type="dxa"/>
            <w:bottom w:w="0" w:type="dxa"/>
            <w:right w:w="0" w:type="dxa"/>
          </w:tblCellMar>
        </w:tblPrEx>
        <w:trPr>
          <w:trHeight w:val="885" w:hRule="atLeast"/>
        </w:trPr>
        <w:tc>
          <w:tcPr>
            <w:tcW w:w="1425" w:type="dxa"/>
            <w:tcBorders>
              <w:top w:val="single" w:color="000000" w:sz="4" w:space="0"/>
              <w:left w:val="nil"/>
              <w:bottom w:val="nil"/>
              <w:right w:val="nil"/>
            </w:tcBorders>
            <w:shd w:val="clear" w:color="auto" w:fill="FFFFFF"/>
            <w:tcMar>
              <w:top w:w="10" w:type="dxa"/>
              <w:left w:w="10" w:type="dxa"/>
              <w:bottom w:w="0" w:type="dxa"/>
              <w:right w:w="10" w:type="dxa"/>
            </w:tcMar>
          </w:tcPr>
          <w:p w14:paraId="035E41C0">
            <w:pPr>
              <w:pStyle w:val="5"/>
              <w:spacing w:before="156" w:beforeLines="50" w:beforeAutospacing="0" w:after="0" w:afterAutospacing="0" w:line="240" w:lineRule="auto"/>
              <w:rPr>
                <w:sz w:val="21"/>
                <w:szCs w:val="21"/>
              </w:rPr>
            </w:pPr>
            <w:r>
              <w:rPr>
                <w:sz w:val="21"/>
                <w:szCs w:val="21"/>
              </w:rPr>
              <w:t>Advantages</w:t>
            </w:r>
          </w:p>
        </w:tc>
        <w:tc>
          <w:tcPr>
            <w:tcW w:w="3537" w:type="dxa"/>
            <w:tcBorders>
              <w:top w:val="single" w:color="000000" w:sz="4" w:space="0"/>
              <w:left w:val="nil"/>
              <w:bottom w:val="nil"/>
              <w:right w:val="nil"/>
            </w:tcBorders>
            <w:shd w:val="clear" w:color="auto" w:fill="FFFFFF"/>
            <w:tcMar>
              <w:top w:w="10" w:type="dxa"/>
              <w:left w:w="10" w:type="dxa"/>
              <w:bottom w:w="0" w:type="dxa"/>
              <w:right w:w="10" w:type="dxa"/>
            </w:tcMar>
          </w:tcPr>
          <w:p w14:paraId="520D122E">
            <w:pPr>
              <w:pStyle w:val="5"/>
              <w:spacing w:before="156" w:beforeLines="50" w:beforeAutospacing="0" w:after="0" w:afterAutospacing="0" w:line="240" w:lineRule="auto"/>
              <w:rPr>
                <w:sz w:val="21"/>
                <w:szCs w:val="21"/>
              </w:rPr>
            </w:pPr>
            <w:r>
              <w:rPr>
                <w:sz w:val="21"/>
                <w:szCs w:val="21"/>
              </w:rPr>
              <w:t>The expression of B-LCL showed a 99% CD19 positivity, with enhanced targeting efficiency.</w:t>
            </w:r>
          </w:p>
        </w:tc>
        <w:tc>
          <w:tcPr>
            <w:tcW w:w="3267" w:type="dxa"/>
            <w:tcBorders>
              <w:top w:val="single" w:color="000000" w:sz="4" w:space="0"/>
              <w:left w:val="nil"/>
              <w:bottom w:val="nil"/>
              <w:right w:val="nil"/>
            </w:tcBorders>
            <w:shd w:val="clear" w:color="auto" w:fill="FFFFFF"/>
            <w:tcMar>
              <w:top w:w="10" w:type="dxa"/>
              <w:left w:w="10" w:type="dxa"/>
              <w:bottom w:w="0" w:type="dxa"/>
              <w:right w:w="10" w:type="dxa"/>
            </w:tcMar>
          </w:tcPr>
          <w:p w14:paraId="5A7F47B9">
            <w:pPr>
              <w:pStyle w:val="5"/>
              <w:spacing w:before="156" w:beforeLines="50" w:beforeAutospacing="0" w:after="0" w:afterAutospacing="0" w:line="240" w:lineRule="auto"/>
              <w:rPr>
                <w:sz w:val="21"/>
                <w:szCs w:val="21"/>
              </w:rPr>
            </w:pPr>
            <w:r>
              <w:rPr>
                <w:sz w:val="21"/>
                <w:szCs w:val="21"/>
              </w:rPr>
              <w:t>It exhibits antiviral activity against Epstein-Barr virus (EBV) infected host cells, targeting the lysate protein (LMP-1) or glycoprotein (gp350).</w:t>
            </w:r>
          </w:p>
        </w:tc>
      </w:tr>
      <w:tr w14:paraId="41570D49">
        <w:tblPrEx>
          <w:tblCellMar>
            <w:top w:w="0" w:type="dxa"/>
            <w:left w:w="0" w:type="dxa"/>
            <w:bottom w:w="0" w:type="dxa"/>
            <w:right w:w="0" w:type="dxa"/>
          </w:tblCellMar>
        </w:tblPrEx>
        <w:trPr>
          <w:trHeight w:val="4824" w:hRule="atLeast"/>
        </w:trPr>
        <w:tc>
          <w:tcPr>
            <w:tcW w:w="1425" w:type="dxa"/>
            <w:tcBorders>
              <w:top w:val="nil"/>
              <w:left w:val="nil"/>
              <w:bottom w:val="single" w:color="000000" w:sz="12" w:space="0"/>
              <w:right w:val="nil"/>
            </w:tcBorders>
            <w:shd w:val="clear" w:color="auto" w:fill="FFFFFF"/>
            <w:tcMar>
              <w:top w:w="10" w:type="dxa"/>
              <w:left w:w="10" w:type="dxa"/>
              <w:bottom w:w="0" w:type="dxa"/>
              <w:right w:w="10" w:type="dxa"/>
            </w:tcMar>
          </w:tcPr>
          <w:p w14:paraId="01810FCA">
            <w:pPr>
              <w:pStyle w:val="5"/>
              <w:spacing w:before="156" w:beforeLines="50" w:beforeAutospacing="0" w:after="0" w:afterAutospacing="0" w:line="240" w:lineRule="auto"/>
              <w:rPr>
                <w:sz w:val="21"/>
                <w:szCs w:val="21"/>
              </w:rPr>
            </w:pPr>
            <w:r>
              <w:rPr>
                <w:sz w:val="21"/>
                <w:szCs w:val="21"/>
              </w:rPr>
              <w:t>Disadvantages</w:t>
            </w:r>
          </w:p>
        </w:tc>
        <w:tc>
          <w:tcPr>
            <w:tcW w:w="3537" w:type="dxa"/>
            <w:tcBorders>
              <w:top w:val="nil"/>
              <w:left w:val="nil"/>
              <w:bottom w:val="single" w:color="000000" w:sz="12" w:space="0"/>
              <w:right w:val="nil"/>
            </w:tcBorders>
            <w:shd w:val="clear" w:color="auto" w:fill="FFFFFF"/>
            <w:tcMar>
              <w:top w:w="10" w:type="dxa"/>
              <w:left w:w="10" w:type="dxa"/>
              <w:bottom w:w="0" w:type="dxa"/>
              <w:right w:w="10" w:type="dxa"/>
            </w:tcMar>
            <w:vAlign w:val="center"/>
          </w:tcPr>
          <w:p w14:paraId="413437C3">
            <w:pPr>
              <w:pStyle w:val="5"/>
              <w:spacing w:before="156" w:beforeLines="50" w:beforeAutospacing="0" w:after="0" w:afterAutospacing="0" w:line="240" w:lineRule="auto"/>
              <w:rPr>
                <w:sz w:val="21"/>
                <w:szCs w:val="21"/>
              </w:rPr>
            </w:pPr>
            <w:r>
              <w:rPr>
                <w:sz w:val="21"/>
                <w:szCs w:val="21"/>
              </w:rPr>
              <w:t>(1) The reconstitution of B-type hematopoiesis was suppressed by CD19 CAR-T;</w:t>
            </w:r>
          </w:p>
          <w:p w14:paraId="7FA603C0">
            <w:pPr>
              <w:pStyle w:val="5"/>
              <w:spacing w:before="156" w:beforeLines="50" w:beforeAutospacing="0" w:after="0" w:afterAutospacing="0" w:line="240" w:lineRule="auto"/>
              <w:rPr>
                <w:sz w:val="21"/>
                <w:szCs w:val="21"/>
              </w:rPr>
            </w:pPr>
            <w:r>
              <w:rPr>
                <w:sz w:val="21"/>
                <w:szCs w:val="21"/>
              </w:rPr>
              <w:t>(2) The immune system will experience evasion due to the loss of antigens;</w:t>
            </w:r>
          </w:p>
          <w:p w14:paraId="1EEAD709">
            <w:pPr>
              <w:pStyle w:val="5"/>
              <w:spacing w:before="156" w:beforeLines="50" w:beforeAutospacing="0" w:after="0" w:afterAutospacing="0" w:line="240" w:lineRule="auto"/>
              <w:rPr>
                <w:sz w:val="21"/>
                <w:szCs w:val="21"/>
              </w:rPr>
            </w:pPr>
            <w:r>
              <w:rPr>
                <w:sz w:val="21"/>
                <w:szCs w:val="21"/>
              </w:rPr>
              <w:t>(3) No promoted antiviral effect;</w:t>
            </w:r>
          </w:p>
          <w:p w14:paraId="32483888">
            <w:pPr>
              <w:pStyle w:val="5"/>
              <w:spacing w:before="156" w:beforeLines="50" w:beforeAutospacing="0" w:after="0" w:afterAutospacing="0" w:line="240" w:lineRule="auto"/>
              <w:rPr>
                <w:sz w:val="21"/>
                <w:szCs w:val="21"/>
              </w:rPr>
            </w:pPr>
            <w:r>
              <w:rPr>
                <w:sz w:val="21"/>
                <w:szCs w:val="21"/>
              </w:rPr>
              <w:t>(4) The CD19 CAR-T therapy did not exhibit any impact on immunosuppressive cells, whereas NKG2D demonstrated the ability to specifically target myeloid-derived suppressor cells (MDSCs) and regulatory T cells (Tregs), as well as endothelial cells within the tumor microenvironment.</w:t>
            </w:r>
          </w:p>
        </w:tc>
        <w:tc>
          <w:tcPr>
            <w:tcW w:w="3267" w:type="dxa"/>
            <w:tcBorders>
              <w:top w:val="nil"/>
              <w:left w:val="nil"/>
              <w:bottom w:val="single" w:color="000000" w:sz="12" w:space="0"/>
              <w:right w:val="nil"/>
            </w:tcBorders>
            <w:shd w:val="clear" w:color="auto" w:fill="FFFFFF"/>
            <w:tcMar>
              <w:top w:w="10" w:type="dxa"/>
              <w:left w:w="10" w:type="dxa"/>
              <w:bottom w:w="0" w:type="dxa"/>
              <w:right w:w="10" w:type="dxa"/>
            </w:tcMar>
          </w:tcPr>
          <w:p w14:paraId="17AD7F18">
            <w:pPr>
              <w:pStyle w:val="5"/>
              <w:spacing w:before="156" w:beforeLines="50" w:beforeAutospacing="0" w:after="0" w:afterAutospacing="0" w:line="240" w:lineRule="auto"/>
              <w:rPr>
                <w:sz w:val="21"/>
                <w:szCs w:val="21"/>
              </w:rPr>
            </w:pPr>
            <w:r>
              <w:rPr>
                <w:sz w:val="21"/>
                <w:szCs w:val="21"/>
              </w:rPr>
              <w:t>(1) The stability of protein expression exhibits periodic fluctuations;</w:t>
            </w:r>
          </w:p>
          <w:p w14:paraId="75F16C58">
            <w:pPr>
              <w:pStyle w:val="5"/>
              <w:spacing w:before="156" w:beforeLines="50" w:beforeAutospacing="0" w:after="0" w:afterAutospacing="0" w:line="240" w:lineRule="auto"/>
              <w:rPr>
                <w:sz w:val="21"/>
                <w:szCs w:val="21"/>
              </w:rPr>
            </w:pPr>
            <w:r>
              <w:rPr>
                <w:sz w:val="21"/>
                <w:szCs w:val="21"/>
              </w:rPr>
              <w:t>(2) The scFv component is predominantly derived from mice or rabbits, whereas the NKG2D CAR structure originates from humans, thereby minimizing the potential for xenogenic immune response;</w:t>
            </w:r>
          </w:p>
          <w:p w14:paraId="49D667C0">
            <w:pPr>
              <w:pStyle w:val="5"/>
              <w:spacing w:before="156" w:beforeLines="50" w:beforeAutospacing="0" w:after="0" w:afterAutospacing="0" w:line="240" w:lineRule="auto"/>
              <w:rPr>
                <w:sz w:val="21"/>
                <w:szCs w:val="21"/>
              </w:rPr>
            </w:pPr>
            <w:r>
              <w:rPr>
                <w:sz w:val="21"/>
                <w:szCs w:val="21"/>
              </w:rPr>
              <w:t>(3) Did not exhibit any impact on immunosuppressive cells.</w:t>
            </w:r>
          </w:p>
        </w:tc>
      </w:tr>
    </w:tbl>
    <w:p w14:paraId="66ED8443"/>
    <w:p w14:paraId="77161ADB">
      <w:pPr>
        <w:widowControl/>
        <w:spacing w:line="240" w:lineRule="auto"/>
        <w:jc w:val="left"/>
      </w:pPr>
      <w:r>
        <w:br w:type="page"/>
      </w:r>
    </w:p>
    <w:p w14:paraId="49BDB6DE">
      <w:pPr>
        <w:rPr>
          <w:b/>
        </w:rPr>
      </w:pPr>
      <w:r>
        <w:rPr>
          <w:b/>
        </w:rPr>
        <w:t xml:space="preserve">Supplementary Table 2. Antibodies </w:t>
      </w:r>
      <w:r>
        <w:rPr>
          <w:rFonts w:hint="eastAsia"/>
          <w:b/>
        </w:rPr>
        <w:t>and kit</w:t>
      </w:r>
      <w:r>
        <w:rPr>
          <w:b/>
        </w:rPr>
        <w:t>s</w:t>
      </w:r>
      <w:r>
        <w:rPr>
          <w:rFonts w:hint="eastAsia"/>
          <w:b/>
        </w:rPr>
        <w:t xml:space="preserve"> </w:t>
      </w:r>
      <w:r>
        <w:rPr>
          <w:b/>
        </w:rPr>
        <w:t>used in flow cytometry</w:t>
      </w:r>
      <w:r>
        <w:rPr>
          <w:rFonts w:hint="eastAsia"/>
          <w:b/>
        </w:rPr>
        <w:t xml:space="preserve">, </w:t>
      </w:r>
      <w:r>
        <w:rPr>
          <w:b/>
        </w:rPr>
        <w:t>Western blot</w:t>
      </w:r>
      <w:r>
        <w:rPr>
          <w:rFonts w:hint="eastAsia"/>
          <w:b/>
        </w:rPr>
        <w:t xml:space="preserve"> and ELISA</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1"/>
        <w:gridCol w:w="1301"/>
        <w:gridCol w:w="1558"/>
        <w:gridCol w:w="1418"/>
        <w:gridCol w:w="1655"/>
      </w:tblGrid>
      <w:tr w14:paraId="3219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B6CFF07">
            <w:pPr>
              <w:rPr>
                <w:b/>
                <w:bCs/>
              </w:rPr>
            </w:pPr>
            <w:r>
              <w:rPr>
                <w:b/>
                <w:bCs/>
              </w:rPr>
              <w:t>Antigen</w:t>
            </w:r>
          </w:p>
        </w:tc>
        <w:tc>
          <w:tcPr>
            <w:tcW w:w="1274" w:type="dxa"/>
          </w:tcPr>
          <w:p w14:paraId="2F807C6C">
            <w:pPr>
              <w:rPr>
                <w:b/>
                <w:bCs/>
              </w:rPr>
            </w:pPr>
            <w:r>
              <w:rPr>
                <w:b/>
                <w:bCs/>
              </w:rPr>
              <w:t>Clone</w:t>
            </w:r>
          </w:p>
        </w:tc>
        <w:tc>
          <w:tcPr>
            <w:tcW w:w="1558" w:type="dxa"/>
          </w:tcPr>
          <w:p w14:paraId="6F31FCA5">
            <w:pPr>
              <w:rPr>
                <w:b/>
                <w:bCs/>
              </w:rPr>
            </w:pPr>
            <w:r>
              <w:rPr>
                <w:b/>
                <w:bCs/>
              </w:rPr>
              <w:t>Fluorochrome</w:t>
            </w:r>
          </w:p>
        </w:tc>
        <w:tc>
          <w:tcPr>
            <w:tcW w:w="1418" w:type="dxa"/>
          </w:tcPr>
          <w:p w14:paraId="6BB635BB">
            <w:pPr>
              <w:rPr>
                <w:b/>
                <w:bCs/>
              </w:rPr>
            </w:pPr>
            <w:r>
              <w:rPr>
                <w:b/>
                <w:bCs/>
              </w:rPr>
              <w:t>Source</w:t>
            </w:r>
          </w:p>
        </w:tc>
        <w:tc>
          <w:tcPr>
            <w:tcW w:w="1655" w:type="dxa"/>
          </w:tcPr>
          <w:p w14:paraId="4838476F">
            <w:pPr>
              <w:rPr>
                <w:b/>
                <w:bCs/>
              </w:rPr>
            </w:pPr>
            <w:r>
              <w:rPr>
                <w:b/>
                <w:bCs/>
              </w:rPr>
              <w:t>Catalog number</w:t>
            </w:r>
          </w:p>
        </w:tc>
      </w:tr>
      <w:tr w14:paraId="7855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11C2C5CA">
            <w:pPr>
              <w:rPr>
                <w:b/>
              </w:rPr>
            </w:pPr>
            <w:r>
              <w:t>MICA</w:t>
            </w:r>
          </w:p>
        </w:tc>
        <w:tc>
          <w:tcPr>
            <w:tcW w:w="1274" w:type="dxa"/>
          </w:tcPr>
          <w:p w14:paraId="782AA1FB">
            <w:pPr>
              <w:rPr>
                <w:b/>
              </w:rPr>
            </w:pPr>
            <w:r>
              <w:t>#159227</w:t>
            </w:r>
          </w:p>
        </w:tc>
        <w:tc>
          <w:tcPr>
            <w:tcW w:w="1558" w:type="dxa"/>
          </w:tcPr>
          <w:p w14:paraId="169524F4">
            <w:pPr>
              <w:rPr>
                <w:b/>
              </w:rPr>
            </w:pPr>
            <w:r>
              <w:t>PE</w:t>
            </w:r>
          </w:p>
        </w:tc>
        <w:tc>
          <w:tcPr>
            <w:tcW w:w="1418" w:type="dxa"/>
          </w:tcPr>
          <w:p w14:paraId="72B76766">
            <w:pPr>
              <w:rPr>
                <w:b/>
              </w:rPr>
            </w:pPr>
            <w:r>
              <w:t>R&amp;D systems</w:t>
            </w:r>
          </w:p>
        </w:tc>
        <w:tc>
          <w:tcPr>
            <w:tcW w:w="1655" w:type="dxa"/>
          </w:tcPr>
          <w:p w14:paraId="0106AE31">
            <w:pPr>
              <w:rPr>
                <w:b/>
              </w:rPr>
            </w:pPr>
            <w:r>
              <w:t>FAB1300P-025</w:t>
            </w:r>
          </w:p>
        </w:tc>
      </w:tr>
      <w:tr w14:paraId="6A64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7A290D4A">
            <w:pPr>
              <w:rPr>
                <w:b/>
              </w:rPr>
            </w:pPr>
            <w:r>
              <w:t xml:space="preserve">MICA/B </w:t>
            </w:r>
          </w:p>
        </w:tc>
        <w:tc>
          <w:tcPr>
            <w:tcW w:w="1274" w:type="dxa"/>
          </w:tcPr>
          <w:p w14:paraId="13EFCFCA">
            <w:pPr>
              <w:rPr>
                <w:b/>
              </w:rPr>
            </w:pPr>
            <w:r>
              <w:t>6D4</w:t>
            </w:r>
          </w:p>
        </w:tc>
        <w:tc>
          <w:tcPr>
            <w:tcW w:w="1558" w:type="dxa"/>
          </w:tcPr>
          <w:p w14:paraId="72032E41">
            <w:pPr>
              <w:rPr>
                <w:b/>
              </w:rPr>
            </w:pPr>
            <w:r>
              <w:t>APC</w:t>
            </w:r>
          </w:p>
        </w:tc>
        <w:tc>
          <w:tcPr>
            <w:tcW w:w="1418" w:type="dxa"/>
          </w:tcPr>
          <w:p w14:paraId="7F126474">
            <w:pPr>
              <w:rPr>
                <w:b/>
              </w:rPr>
            </w:pPr>
            <w:r>
              <w:t>BioLegend</w:t>
            </w:r>
          </w:p>
        </w:tc>
        <w:tc>
          <w:tcPr>
            <w:tcW w:w="1655" w:type="dxa"/>
          </w:tcPr>
          <w:p w14:paraId="7FA4A541">
            <w:pPr>
              <w:rPr>
                <w:b/>
              </w:rPr>
            </w:pPr>
            <w:r>
              <w:t>320907</w:t>
            </w:r>
          </w:p>
        </w:tc>
      </w:tr>
      <w:tr w14:paraId="4283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35BB40D8">
            <w:pPr>
              <w:rPr>
                <w:b/>
              </w:rPr>
            </w:pPr>
            <w:r>
              <w:t>ULBP-1</w:t>
            </w:r>
          </w:p>
        </w:tc>
        <w:tc>
          <w:tcPr>
            <w:tcW w:w="1274" w:type="dxa"/>
          </w:tcPr>
          <w:p w14:paraId="6BB366D9">
            <w:pPr>
              <w:rPr>
                <w:b/>
              </w:rPr>
            </w:pPr>
            <w:r>
              <w:t>#170818</w:t>
            </w:r>
          </w:p>
        </w:tc>
        <w:tc>
          <w:tcPr>
            <w:tcW w:w="1558" w:type="dxa"/>
          </w:tcPr>
          <w:p w14:paraId="5C7D7E81">
            <w:pPr>
              <w:rPr>
                <w:b/>
              </w:rPr>
            </w:pPr>
            <w:r>
              <w:t>FITC</w:t>
            </w:r>
          </w:p>
        </w:tc>
        <w:tc>
          <w:tcPr>
            <w:tcW w:w="1418" w:type="dxa"/>
          </w:tcPr>
          <w:p w14:paraId="556AF573">
            <w:pPr>
              <w:rPr>
                <w:b/>
              </w:rPr>
            </w:pPr>
            <w:r>
              <w:t>R&amp;D systems</w:t>
            </w:r>
          </w:p>
        </w:tc>
        <w:tc>
          <w:tcPr>
            <w:tcW w:w="1655" w:type="dxa"/>
          </w:tcPr>
          <w:p w14:paraId="03572DC6">
            <w:pPr>
              <w:rPr>
                <w:b/>
              </w:rPr>
            </w:pPr>
            <w:r>
              <w:t>FAB1380G</w:t>
            </w:r>
          </w:p>
        </w:tc>
      </w:tr>
      <w:tr w14:paraId="36FB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51C7C525">
            <w:pPr>
              <w:rPr>
                <w:b/>
              </w:rPr>
            </w:pPr>
            <w:r>
              <w:t>ULBP-3</w:t>
            </w:r>
          </w:p>
        </w:tc>
        <w:tc>
          <w:tcPr>
            <w:tcW w:w="1274" w:type="dxa"/>
          </w:tcPr>
          <w:p w14:paraId="77E2EB56">
            <w:pPr>
              <w:rPr>
                <w:b/>
              </w:rPr>
            </w:pPr>
            <w:r>
              <w:t>#166510</w:t>
            </w:r>
          </w:p>
        </w:tc>
        <w:tc>
          <w:tcPr>
            <w:tcW w:w="1558" w:type="dxa"/>
          </w:tcPr>
          <w:p w14:paraId="576B4CB5">
            <w:pPr>
              <w:rPr>
                <w:b/>
              </w:rPr>
            </w:pPr>
            <w:r>
              <w:t>PE</w:t>
            </w:r>
          </w:p>
        </w:tc>
        <w:tc>
          <w:tcPr>
            <w:tcW w:w="1418" w:type="dxa"/>
          </w:tcPr>
          <w:p w14:paraId="4A6AAF5E">
            <w:pPr>
              <w:rPr>
                <w:b/>
              </w:rPr>
            </w:pPr>
            <w:r>
              <w:t>R&amp;D systems</w:t>
            </w:r>
          </w:p>
        </w:tc>
        <w:tc>
          <w:tcPr>
            <w:tcW w:w="1655" w:type="dxa"/>
          </w:tcPr>
          <w:p w14:paraId="79D68D66">
            <w:pPr>
              <w:rPr>
                <w:b/>
              </w:rPr>
            </w:pPr>
            <w:r>
              <w:t>FAB1517P</w:t>
            </w:r>
          </w:p>
        </w:tc>
      </w:tr>
      <w:tr w14:paraId="185E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69F4AD65">
            <w:pPr>
              <w:jc w:val="left"/>
              <w:rPr>
                <w:b/>
              </w:rPr>
            </w:pPr>
            <w:r>
              <w:t xml:space="preserve">PE Human IgG1 Isotype Control </w:t>
            </w:r>
          </w:p>
        </w:tc>
        <w:tc>
          <w:tcPr>
            <w:tcW w:w="1274" w:type="dxa"/>
          </w:tcPr>
          <w:p w14:paraId="6AACDE98">
            <w:pPr>
              <w:rPr>
                <w:b/>
              </w:rPr>
            </w:pPr>
            <w:r>
              <w:t>QA16A12</w:t>
            </w:r>
          </w:p>
        </w:tc>
        <w:tc>
          <w:tcPr>
            <w:tcW w:w="1558" w:type="dxa"/>
          </w:tcPr>
          <w:p w14:paraId="04E4646F">
            <w:pPr>
              <w:rPr>
                <w:b/>
              </w:rPr>
            </w:pPr>
            <w:r>
              <w:t>PE</w:t>
            </w:r>
          </w:p>
        </w:tc>
        <w:tc>
          <w:tcPr>
            <w:tcW w:w="1418" w:type="dxa"/>
          </w:tcPr>
          <w:p w14:paraId="48EDA96D">
            <w:pPr>
              <w:rPr>
                <w:b/>
              </w:rPr>
            </w:pPr>
            <w:r>
              <w:t>BioLegend</w:t>
            </w:r>
          </w:p>
        </w:tc>
        <w:tc>
          <w:tcPr>
            <w:tcW w:w="1655" w:type="dxa"/>
          </w:tcPr>
          <w:p w14:paraId="60898FCA">
            <w:pPr>
              <w:rPr>
                <w:b/>
              </w:rPr>
            </w:pPr>
            <w:r>
              <w:t>403503</w:t>
            </w:r>
          </w:p>
        </w:tc>
      </w:tr>
      <w:tr w14:paraId="3C8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6EF32396">
            <w:pPr>
              <w:jc w:val="left"/>
              <w:rPr>
                <w:b/>
              </w:rPr>
            </w:pPr>
            <w:r>
              <w:t>APC Human IgG1 Isotype Control</w:t>
            </w:r>
          </w:p>
        </w:tc>
        <w:tc>
          <w:tcPr>
            <w:tcW w:w="1274" w:type="dxa"/>
          </w:tcPr>
          <w:p w14:paraId="00A93538">
            <w:pPr>
              <w:rPr>
                <w:b/>
              </w:rPr>
            </w:pPr>
            <w:r>
              <w:t>QA16A12</w:t>
            </w:r>
          </w:p>
        </w:tc>
        <w:tc>
          <w:tcPr>
            <w:tcW w:w="1558" w:type="dxa"/>
          </w:tcPr>
          <w:p w14:paraId="766B6568">
            <w:pPr>
              <w:rPr>
                <w:b/>
              </w:rPr>
            </w:pPr>
            <w:r>
              <w:t>APC</w:t>
            </w:r>
          </w:p>
        </w:tc>
        <w:tc>
          <w:tcPr>
            <w:tcW w:w="1418" w:type="dxa"/>
          </w:tcPr>
          <w:p w14:paraId="111E2C3D">
            <w:pPr>
              <w:rPr>
                <w:b/>
              </w:rPr>
            </w:pPr>
            <w:r>
              <w:t>BioLegend</w:t>
            </w:r>
          </w:p>
        </w:tc>
        <w:tc>
          <w:tcPr>
            <w:tcW w:w="1655" w:type="dxa"/>
          </w:tcPr>
          <w:p w14:paraId="4D93DCED">
            <w:pPr>
              <w:rPr>
                <w:b/>
              </w:rPr>
            </w:pPr>
            <w:r>
              <w:t>403505</w:t>
            </w:r>
          </w:p>
        </w:tc>
      </w:tr>
      <w:tr w14:paraId="1D77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61DD594B">
            <w:pPr>
              <w:jc w:val="left"/>
              <w:rPr>
                <w:b/>
              </w:rPr>
            </w:pPr>
            <w:r>
              <w:t>FITC Human IgG1 Isotype Control</w:t>
            </w:r>
          </w:p>
        </w:tc>
        <w:tc>
          <w:tcPr>
            <w:tcW w:w="1274" w:type="dxa"/>
          </w:tcPr>
          <w:p w14:paraId="03B78EEE">
            <w:pPr>
              <w:rPr>
                <w:b/>
              </w:rPr>
            </w:pPr>
            <w:r>
              <w:t>QA16A12</w:t>
            </w:r>
          </w:p>
        </w:tc>
        <w:tc>
          <w:tcPr>
            <w:tcW w:w="1558" w:type="dxa"/>
          </w:tcPr>
          <w:p w14:paraId="33F2FD87">
            <w:pPr>
              <w:rPr>
                <w:b/>
              </w:rPr>
            </w:pPr>
            <w:r>
              <w:t>FITC</w:t>
            </w:r>
          </w:p>
        </w:tc>
        <w:tc>
          <w:tcPr>
            <w:tcW w:w="1418" w:type="dxa"/>
          </w:tcPr>
          <w:p w14:paraId="0BF4FF4F">
            <w:pPr>
              <w:rPr>
                <w:b/>
              </w:rPr>
            </w:pPr>
            <w:r>
              <w:t>BioLegend</w:t>
            </w:r>
          </w:p>
        </w:tc>
        <w:tc>
          <w:tcPr>
            <w:tcW w:w="1655" w:type="dxa"/>
          </w:tcPr>
          <w:p w14:paraId="50F33651">
            <w:pPr>
              <w:rPr>
                <w:b/>
              </w:rPr>
            </w:pPr>
            <w:r>
              <w:t>403507</w:t>
            </w:r>
          </w:p>
        </w:tc>
      </w:tr>
      <w:tr w14:paraId="19CC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tcPr>
          <w:p w14:paraId="248B947C">
            <w:pPr>
              <w:rPr>
                <w:b/>
                <w:bCs/>
              </w:rPr>
            </w:pPr>
            <w:r>
              <w:rPr>
                <w:b/>
                <w:bCs/>
              </w:rPr>
              <w:t>CAR and</w:t>
            </w:r>
            <w:bookmarkStart w:id="24" w:name="OLE_LINK22"/>
            <w:r>
              <w:rPr>
                <w:b/>
                <w:bCs/>
              </w:rPr>
              <w:t xml:space="preserve"> IL-15/IL-15Rα </w:t>
            </w:r>
            <w:bookmarkEnd w:id="24"/>
            <w:r>
              <w:rPr>
                <w:b/>
                <w:bCs/>
              </w:rPr>
              <w:t>expression identified by Western blot analysis</w:t>
            </w:r>
          </w:p>
        </w:tc>
      </w:tr>
      <w:tr w14:paraId="4173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902A90F">
            <w:pPr>
              <w:rPr>
                <w:b/>
              </w:rPr>
            </w:pPr>
            <w:r>
              <w:t>Rabbit Anti-Human CD3ζ</w:t>
            </w:r>
          </w:p>
        </w:tc>
        <w:tc>
          <w:tcPr>
            <w:tcW w:w="1274" w:type="dxa"/>
          </w:tcPr>
          <w:p w14:paraId="061C8DA7">
            <w:pPr>
              <w:rPr>
                <w:b/>
              </w:rPr>
            </w:pPr>
            <w:r>
              <w:t>Polyclonal</w:t>
            </w:r>
          </w:p>
        </w:tc>
        <w:tc>
          <w:tcPr>
            <w:tcW w:w="1558" w:type="dxa"/>
          </w:tcPr>
          <w:p w14:paraId="1072F40C">
            <w:pPr>
              <w:rPr>
                <w:b/>
              </w:rPr>
            </w:pPr>
            <w:r>
              <w:t>/</w:t>
            </w:r>
          </w:p>
        </w:tc>
        <w:tc>
          <w:tcPr>
            <w:tcW w:w="1418" w:type="dxa"/>
          </w:tcPr>
          <w:p w14:paraId="25092290">
            <w:pPr>
              <w:rPr>
                <w:b/>
              </w:rPr>
            </w:pPr>
            <w:r>
              <w:t>Signalway Antibody</w:t>
            </w:r>
          </w:p>
        </w:tc>
        <w:tc>
          <w:tcPr>
            <w:tcW w:w="1655" w:type="dxa"/>
          </w:tcPr>
          <w:p w14:paraId="6A7FBC9C">
            <w:pPr>
              <w:rPr>
                <w:b/>
              </w:rPr>
            </w:pPr>
            <w:r>
              <w:t>32576</w:t>
            </w:r>
          </w:p>
        </w:tc>
      </w:tr>
      <w:tr w14:paraId="3041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0CAACB56">
            <w:pPr>
              <w:rPr>
                <w:b/>
              </w:rPr>
            </w:pPr>
            <w:bookmarkStart w:id="25" w:name="_Hlk172485068"/>
            <w:r>
              <w:t>Mouse His-Tag Antibody</w:t>
            </w:r>
            <w:bookmarkEnd w:id="25"/>
          </w:p>
        </w:tc>
        <w:tc>
          <w:tcPr>
            <w:tcW w:w="1274" w:type="dxa"/>
          </w:tcPr>
          <w:p w14:paraId="0F475D24">
            <w:pPr>
              <w:rPr>
                <w:b/>
              </w:rPr>
            </w:pPr>
            <w:r>
              <w:t>1B7G5</w:t>
            </w:r>
          </w:p>
        </w:tc>
        <w:tc>
          <w:tcPr>
            <w:tcW w:w="1558" w:type="dxa"/>
          </w:tcPr>
          <w:p w14:paraId="3FCCD8B6">
            <w:pPr>
              <w:rPr>
                <w:b/>
              </w:rPr>
            </w:pPr>
            <w:r>
              <w:t>/</w:t>
            </w:r>
          </w:p>
        </w:tc>
        <w:tc>
          <w:tcPr>
            <w:tcW w:w="1418" w:type="dxa"/>
          </w:tcPr>
          <w:p w14:paraId="30A2A585">
            <w:pPr>
              <w:rPr>
                <w:b/>
              </w:rPr>
            </w:pPr>
            <w:r>
              <w:t>Proteintech</w:t>
            </w:r>
          </w:p>
        </w:tc>
        <w:tc>
          <w:tcPr>
            <w:tcW w:w="1655" w:type="dxa"/>
          </w:tcPr>
          <w:p w14:paraId="6AB4AC44">
            <w:pPr>
              <w:rPr>
                <w:b/>
              </w:rPr>
            </w:pPr>
            <w:r>
              <w:t>66005-1-lg</w:t>
            </w:r>
          </w:p>
        </w:tc>
      </w:tr>
      <w:tr w14:paraId="6D64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5FF55016">
            <w:pPr>
              <w:rPr>
                <w:b/>
              </w:rPr>
            </w:pPr>
            <w:r>
              <w:t>Rabbit Anti-Human IL-15</w:t>
            </w:r>
          </w:p>
        </w:tc>
        <w:tc>
          <w:tcPr>
            <w:tcW w:w="1274" w:type="dxa"/>
          </w:tcPr>
          <w:p w14:paraId="610E3681">
            <w:pPr>
              <w:rPr>
                <w:b/>
              </w:rPr>
            </w:pPr>
            <w:r>
              <w:t>Polyclonal</w:t>
            </w:r>
          </w:p>
        </w:tc>
        <w:tc>
          <w:tcPr>
            <w:tcW w:w="1558" w:type="dxa"/>
          </w:tcPr>
          <w:p w14:paraId="794DDCE2">
            <w:pPr>
              <w:rPr>
                <w:b/>
              </w:rPr>
            </w:pPr>
            <w:r>
              <w:t>/</w:t>
            </w:r>
          </w:p>
        </w:tc>
        <w:tc>
          <w:tcPr>
            <w:tcW w:w="1418" w:type="dxa"/>
          </w:tcPr>
          <w:p w14:paraId="3B1FCB21">
            <w:pPr>
              <w:rPr>
                <w:b/>
              </w:rPr>
            </w:pPr>
            <w:r>
              <w:t>PeproTech</w:t>
            </w:r>
          </w:p>
        </w:tc>
        <w:tc>
          <w:tcPr>
            <w:tcW w:w="1655" w:type="dxa"/>
          </w:tcPr>
          <w:p w14:paraId="4DC082BC">
            <w:pPr>
              <w:rPr>
                <w:b/>
              </w:rPr>
            </w:pPr>
            <w:r>
              <w:t>500-P15-50ug</w:t>
            </w:r>
          </w:p>
        </w:tc>
      </w:tr>
      <w:tr w14:paraId="5F99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3AF76523">
            <w:pPr>
              <w:rPr>
                <w:b/>
              </w:rPr>
            </w:pPr>
            <w:r>
              <w:t>HRP Goat Anti Rabbit IgG(H+L)</w:t>
            </w:r>
          </w:p>
        </w:tc>
        <w:tc>
          <w:tcPr>
            <w:tcW w:w="1274" w:type="dxa"/>
          </w:tcPr>
          <w:p w14:paraId="3FEFBBEB">
            <w:pPr>
              <w:rPr>
                <w:b/>
              </w:rPr>
            </w:pPr>
            <w:r>
              <w:t>/</w:t>
            </w:r>
          </w:p>
        </w:tc>
        <w:tc>
          <w:tcPr>
            <w:tcW w:w="1558" w:type="dxa"/>
          </w:tcPr>
          <w:p w14:paraId="6B08F5CB">
            <w:pPr>
              <w:rPr>
                <w:b/>
              </w:rPr>
            </w:pPr>
            <w:r>
              <w:t>/</w:t>
            </w:r>
          </w:p>
        </w:tc>
        <w:tc>
          <w:tcPr>
            <w:tcW w:w="1418" w:type="dxa"/>
          </w:tcPr>
          <w:p w14:paraId="51CA5B44">
            <w:pPr>
              <w:rPr>
                <w:b/>
              </w:rPr>
            </w:pPr>
            <w:r>
              <w:t>Immunoway</w:t>
            </w:r>
          </w:p>
        </w:tc>
        <w:tc>
          <w:tcPr>
            <w:tcW w:w="1655" w:type="dxa"/>
          </w:tcPr>
          <w:p w14:paraId="5B1C168B">
            <w:pPr>
              <w:rPr>
                <w:b/>
              </w:rPr>
            </w:pPr>
            <w:r>
              <w:t>RS0002</w:t>
            </w:r>
          </w:p>
        </w:tc>
      </w:tr>
      <w:tr w14:paraId="4D2D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2874AE63">
            <w:pPr>
              <w:rPr>
                <w:b/>
              </w:rPr>
            </w:pPr>
            <w:r>
              <w:t>HRP Goat Anti-Mouse IgG1</w:t>
            </w:r>
          </w:p>
        </w:tc>
        <w:tc>
          <w:tcPr>
            <w:tcW w:w="1274" w:type="dxa"/>
          </w:tcPr>
          <w:p w14:paraId="1F52CB35">
            <w:pPr>
              <w:rPr>
                <w:b/>
              </w:rPr>
            </w:pPr>
            <w:r>
              <w:t>/</w:t>
            </w:r>
          </w:p>
        </w:tc>
        <w:tc>
          <w:tcPr>
            <w:tcW w:w="1558" w:type="dxa"/>
          </w:tcPr>
          <w:p w14:paraId="464A6F6B">
            <w:pPr>
              <w:rPr>
                <w:b/>
              </w:rPr>
            </w:pPr>
            <w:r>
              <w:t>/</w:t>
            </w:r>
          </w:p>
        </w:tc>
        <w:tc>
          <w:tcPr>
            <w:tcW w:w="1418" w:type="dxa"/>
          </w:tcPr>
          <w:p w14:paraId="30A13A6F">
            <w:pPr>
              <w:rPr>
                <w:b/>
              </w:rPr>
            </w:pPr>
            <w:r>
              <w:t>abcam</w:t>
            </w:r>
          </w:p>
        </w:tc>
        <w:tc>
          <w:tcPr>
            <w:tcW w:w="1655" w:type="dxa"/>
          </w:tcPr>
          <w:p w14:paraId="344B70A4">
            <w:pPr>
              <w:rPr>
                <w:b/>
              </w:rPr>
            </w:pPr>
            <w:r>
              <w:t>ab97240</w:t>
            </w:r>
          </w:p>
        </w:tc>
      </w:tr>
      <w:tr w14:paraId="2C28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tcPr>
          <w:p w14:paraId="109B2D5D">
            <w:pPr>
              <w:rPr>
                <w:b/>
                <w:bCs/>
              </w:rPr>
            </w:pPr>
            <w:r>
              <w:rPr>
                <w:b/>
                <w:bCs/>
              </w:rPr>
              <w:t>T cell phenotypic</w:t>
            </w:r>
          </w:p>
        </w:tc>
      </w:tr>
      <w:tr w14:paraId="1424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186F40B3">
            <w:pPr>
              <w:rPr>
                <w:b/>
              </w:rPr>
            </w:pPr>
            <w:r>
              <w:t>Anti-Human CD3</w:t>
            </w:r>
          </w:p>
        </w:tc>
        <w:tc>
          <w:tcPr>
            <w:tcW w:w="1274" w:type="dxa"/>
          </w:tcPr>
          <w:p w14:paraId="7F11D33D">
            <w:pPr>
              <w:rPr>
                <w:b/>
              </w:rPr>
            </w:pPr>
            <w:r>
              <w:t>UCHT1</w:t>
            </w:r>
          </w:p>
        </w:tc>
        <w:tc>
          <w:tcPr>
            <w:tcW w:w="1558" w:type="dxa"/>
          </w:tcPr>
          <w:p w14:paraId="69E1BE8C">
            <w:pPr>
              <w:rPr>
                <w:b/>
              </w:rPr>
            </w:pPr>
            <w:r>
              <w:t>BV421</w:t>
            </w:r>
          </w:p>
        </w:tc>
        <w:tc>
          <w:tcPr>
            <w:tcW w:w="1418" w:type="dxa"/>
          </w:tcPr>
          <w:p w14:paraId="1457F693">
            <w:pPr>
              <w:rPr>
                <w:b/>
              </w:rPr>
            </w:pPr>
            <w:r>
              <w:t>BioLegend</w:t>
            </w:r>
          </w:p>
        </w:tc>
        <w:tc>
          <w:tcPr>
            <w:tcW w:w="1655" w:type="dxa"/>
          </w:tcPr>
          <w:p w14:paraId="0D9B2698">
            <w:pPr>
              <w:rPr>
                <w:b/>
              </w:rPr>
            </w:pPr>
            <w:r>
              <w:t>300434</w:t>
            </w:r>
          </w:p>
        </w:tc>
      </w:tr>
      <w:tr w14:paraId="760B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F2DE486">
            <w:pPr>
              <w:rPr>
                <w:b/>
              </w:rPr>
            </w:pPr>
            <w:r>
              <w:t>Anti-Human CD4</w:t>
            </w:r>
          </w:p>
        </w:tc>
        <w:tc>
          <w:tcPr>
            <w:tcW w:w="1274" w:type="dxa"/>
          </w:tcPr>
          <w:p w14:paraId="2EA4D51A">
            <w:pPr>
              <w:rPr>
                <w:b/>
              </w:rPr>
            </w:pPr>
            <w:r>
              <w:t>OKT4</w:t>
            </w:r>
          </w:p>
        </w:tc>
        <w:tc>
          <w:tcPr>
            <w:tcW w:w="1558" w:type="dxa"/>
          </w:tcPr>
          <w:p w14:paraId="049019EB">
            <w:pPr>
              <w:rPr>
                <w:b/>
              </w:rPr>
            </w:pPr>
            <w:r>
              <w:t>PE</w:t>
            </w:r>
          </w:p>
        </w:tc>
        <w:tc>
          <w:tcPr>
            <w:tcW w:w="1418" w:type="dxa"/>
          </w:tcPr>
          <w:p w14:paraId="273F0D30">
            <w:pPr>
              <w:rPr>
                <w:b/>
              </w:rPr>
            </w:pPr>
            <w:r>
              <w:t>BioLegend</w:t>
            </w:r>
          </w:p>
        </w:tc>
        <w:tc>
          <w:tcPr>
            <w:tcW w:w="1655" w:type="dxa"/>
          </w:tcPr>
          <w:p w14:paraId="38E9A27C">
            <w:pPr>
              <w:rPr>
                <w:b/>
              </w:rPr>
            </w:pPr>
            <w:r>
              <w:t>317410</w:t>
            </w:r>
          </w:p>
        </w:tc>
      </w:tr>
      <w:tr w14:paraId="7BD3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293486EF">
            <w:pPr>
              <w:rPr>
                <w:b/>
              </w:rPr>
            </w:pPr>
            <w:r>
              <w:t>Anti-Human CD8</w:t>
            </w:r>
          </w:p>
        </w:tc>
        <w:tc>
          <w:tcPr>
            <w:tcW w:w="1274" w:type="dxa"/>
          </w:tcPr>
          <w:p w14:paraId="5F293DB0">
            <w:pPr>
              <w:rPr>
                <w:b/>
              </w:rPr>
            </w:pPr>
            <w:r>
              <w:t>SK1</w:t>
            </w:r>
          </w:p>
        </w:tc>
        <w:tc>
          <w:tcPr>
            <w:tcW w:w="1558" w:type="dxa"/>
          </w:tcPr>
          <w:p w14:paraId="4C3071FD">
            <w:pPr>
              <w:rPr>
                <w:b/>
              </w:rPr>
            </w:pPr>
            <w:r>
              <w:t>PE-Cy5</w:t>
            </w:r>
          </w:p>
        </w:tc>
        <w:tc>
          <w:tcPr>
            <w:tcW w:w="1418" w:type="dxa"/>
          </w:tcPr>
          <w:p w14:paraId="7991C3B5">
            <w:pPr>
              <w:rPr>
                <w:b/>
              </w:rPr>
            </w:pPr>
            <w:r>
              <w:t>BioLegend</w:t>
            </w:r>
          </w:p>
        </w:tc>
        <w:tc>
          <w:tcPr>
            <w:tcW w:w="1655" w:type="dxa"/>
          </w:tcPr>
          <w:p w14:paraId="680DFDEC">
            <w:pPr>
              <w:rPr>
                <w:b/>
              </w:rPr>
            </w:pPr>
            <w:r>
              <w:t>344769</w:t>
            </w:r>
          </w:p>
        </w:tc>
      </w:tr>
      <w:tr w14:paraId="4280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717DCC11">
            <w:pPr>
              <w:rPr>
                <w:b/>
              </w:rPr>
            </w:pPr>
            <w:r>
              <w:t>Anti-Human CCR-7</w:t>
            </w:r>
          </w:p>
        </w:tc>
        <w:tc>
          <w:tcPr>
            <w:tcW w:w="1274" w:type="dxa"/>
          </w:tcPr>
          <w:p w14:paraId="020A9966">
            <w:pPr>
              <w:rPr>
                <w:b/>
              </w:rPr>
            </w:pPr>
            <w:r>
              <w:t>G043H7</w:t>
            </w:r>
          </w:p>
        </w:tc>
        <w:tc>
          <w:tcPr>
            <w:tcW w:w="1558" w:type="dxa"/>
          </w:tcPr>
          <w:p w14:paraId="6BAB7CD9">
            <w:pPr>
              <w:rPr>
                <w:b/>
              </w:rPr>
            </w:pPr>
            <w:r>
              <w:t>PE-Cy7</w:t>
            </w:r>
          </w:p>
        </w:tc>
        <w:tc>
          <w:tcPr>
            <w:tcW w:w="1418" w:type="dxa"/>
          </w:tcPr>
          <w:p w14:paraId="2CE183C7">
            <w:pPr>
              <w:rPr>
                <w:b/>
              </w:rPr>
            </w:pPr>
            <w:r>
              <w:t>BioLegend</w:t>
            </w:r>
          </w:p>
        </w:tc>
        <w:tc>
          <w:tcPr>
            <w:tcW w:w="1655" w:type="dxa"/>
          </w:tcPr>
          <w:p w14:paraId="628925E8">
            <w:pPr>
              <w:rPr>
                <w:b/>
              </w:rPr>
            </w:pPr>
            <w:r>
              <w:t>353225</w:t>
            </w:r>
          </w:p>
        </w:tc>
      </w:tr>
      <w:tr w14:paraId="7408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B430B36">
            <w:pPr>
              <w:rPr>
                <w:b/>
              </w:rPr>
            </w:pPr>
            <w:r>
              <w:t>Anti-Human CD45RA</w:t>
            </w:r>
          </w:p>
        </w:tc>
        <w:tc>
          <w:tcPr>
            <w:tcW w:w="1274" w:type="dxa"/>
          </w:tcPr>
          <w:p w14:paraId="6611EC2F">
            <w:pPr>
              <w:rPr>
                <w:b/>
              </w:rPr>
            </w:pPr>
            <w:r>
              <w:t>HI100</w:t>
            </w:r>
          </w:p>
        </w:tc>
        <w:tc>
          <w:tcPr>
            <w:tcW w:w="1558" w:type="dxa"/>
          </w:tcPr>
          <w:p w14:paraId="589EB18C">
            <w:pPr>
              <w:rPr>
                <w:b/>
              </w:rPr>
            </w:pPr>
            <w:r>
              <w:t>APC</w:t>
            </w:r>
          </w:p>
        </w:tc>
        <w:tc>
          <w:tcPr>
            <w:tcW w:w="1418" w:type="dxa"/>
          </w:tcPr>
          <w:p w14:paraId="5B0E25F8">
            <w:pPr>
              <w:rPr>
                <w:b/>
              </w:rPr>
            </w:pPr>
            <w:r>
              <w:t>BioLegend</w:t>
            </w:r>
          </w:p>
        </w:tc>
        <w:tc>
          <w:tcPr>
            <w:tcW w:w="1655" w:type="dxa"/>
          </w:tcPr>
          <w:p w14:paraId="48D37A54">
            <w:pPr>
              <w:rPr>
                <w:b/>
              </w:rPr>
            </w:pPr>
            <w:r>
              <w:t>983004</w:t>
            </w:r>
          </w:p>
        </w:tc>
      </w:tr>
      <w:tr w14:paraId="75E7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0E4E97A8">
            <w:pPr>
              <w:rPr>
                <w:b/>
              </w:rPr>
            </w:pPr>
            <w:r>
              <w:t>Anti-Human CD25</w:t>
            </w:r>
          </w:p>
        </w:tc>
        <w:tc>
          <w:tcPr>
            <w:tcW w:w="1274" w:type="dxa"/>
          </w:tcPr>
          <w:p w14:paraId="781CCAF0">
            <w:pPr>
              <w:rPr>
                <w:b/>
              </w:rPr>
            </w:pPr>
            <w:r>
              <w:t>BC96</w:t>
            </w:r>
          </w:p>
        </w:tc>
        <w:tc>
          <w:tcPr>
            <w:tcW w:w="1558" w:type="dxa"/>
          </w:tcPr>
          <w:p w14:paraId="03A26143">
            <w:pPr>
              <w:rPr>
                <w:b/>
              </w:rPr>
            </w:pPr>
            <w:r>
              <w:t>PE-Cy5</w:t>
            </w:r>
          </w:p>
        </w:tc>
        <w:tc>
          <w:tcPr>
            <w:tcW w:w="1418" w:type="dxa"/>
          </w:tcPr>
          <w:p w14:paraId="0779F56D">
            <w:pPr>
              <w:rPr>
                <w:b/>
              </w:rPr>
            </w:pPr>
            <w:r>
              <w:t>BioLegend</w:t>
            </w:r>
          </w:p>
        </w:tc>
        <w:tc>
          <w:tcPr>
            <w:tcW w:w="1655" w:type="dxa"/>
          </w:tcPr>
          <w:p w14:paraId="6CC8FEE8">
            <w:pPr>
              <w:rPr>
                <w:b/>
              </w:rPr>
            </w:pPr>
            <w:r>
              <w:t>302608</w:t>
            </w:r>
          </w:p>
        </w:tc>
      </w:tr>
      <w:tr w14:paraId="03F4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604EDB28">
            <w:pPr>
              <w:rPr>
                <w:b/>
              </w:rPr>
            </w:pPr>
            <w:r>
              <w:t>Anti-Human CD69</w:t>
            </w:r>
          </w:p>
        </w:tc>
        <w:tc>
          <w:tcPr>
            <w:tcW w:w="1274" w:type="dxa"/>
          </w:tcPr>
          <w:p w14:paraId="4C3A77B4">
            <w:pPr>
              <w:rPr>
                <w:b/>
              </w:rPr>
            </w:pPr>
            <w:r>
              <w:t>FN50</w:t>
            </w:r>
          </w:p>
        </w:tc>
        <w:tc>
          <w:tcPr>
            <w:tcW w:w="1558" w:type="dxa"/>
          </w:tcPr>
          <w:p w14:paraId="7A0F1CFD">
            <w:pPr>
              <w:rPr>
                <w:b/>
              </w:rPr>
            </w:pPr>
            <w:r>
              <w:t>APC</w:t>
            </w:r>
          </w:p>
        </w:tc>
        <w:tc>
          <w:tcPr>
            <w:tcW w:w="1418" w:type="dxa"/>
          </w:tcPr>
          <w:p w14:paraId="30D805A1">
            <w:pPr>
              <w:rPr>
                <w:b/>
              </w:rPr>
            </w:pPr>
            <w:r>
              <w:t>BioLegend</w:t>
            </w:r>
          </w:p>
        </w:tc>
        <w:tc>
          <w:tcPr>
            <w:tcW w:w="1655" w:type="dxa"/>
          </w:tcPr>
          <w:p w14:paraId="6A5CC4BB">
            <w:pPr>
              <w:rPr>
                <w:b/>
              </w:rPr>
            </w:pPr>
            <w:r>
              <w:t>310910</w:t>
            </w:r>
          </w:p>
        </w:tc>
      </w:tr>
      <w:tr w14:paraId="06EE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A44CF73">
            <w:pPr>
              <w:rPr>
                <w:b/>
              </w:rPr>
            </w:pPr>
            <w:r>
              <w:t>Anti-Human PD-1</w:t>
            </w:r>
          </w:p>
        </w:tc>
        <w:tc>
          <w:tcPr>
            <w:tcW w:w="1274" w:type="dxa"/>
          </w:tcPr>
          <w:p w14:paraId="4CD74266">
            <w:pPr>
              <w:rPr>
                <w:b/>
              </w:rPr>
            </w:pPr>
            <w:r>
              <w:t>EH12.2H7</w:t>
            </w:r>
          </w:p>
        </w:tc>
        <w:tc>
          <w:tcPr>
            <w:tcW w:w="1558" w:type="dxa"/>
          </w:tcPr>
          <w:p w14:paraId="791B11CD">
            <w:pPr>
              <w:rPr>
                <w:b/>
              </w:rPr>
            </w:pPr>
            <w:r>
              <w:t>APC-Cy 7</w:t>
            </w:r>
          </w:p>
        </w:tc>
        <w:tc>
          <w:tcPr>
            <w:tcW w:w="1418" w:type="dxa"/>
          </w:tcPr>
          <w:p w14:paraId="1E86E201">
            <w:pPr>
              <w:rPr>
                <w:b/>
              </w:rPr>
            </w:pPr>
            <w:r>
              <w:t>BioLegend</w:t>
            </w:r>
          </w:p>
        </w:tc>
        <w:tc>
          <w:tcPr>
            <w:tcW w:w="1655" w:type="dxa"/>
          </w:tcPr>
          <w:p w14:paraId="37991602">
            <w:pPr>
              <w:rPr>
                <w:b/>
              </w:rPr>
            </w:pPr>
            <w:r>
              <w:t>329922</w:t>
            </w:r>
          </w:p>
        </w:tc>
      </w:tr>
      <w:tr w14:paraId="2B2D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76C759D2">
            <w:pPr>
              <w:rPr>
                <w:b/>
              </w:rPr>
            </w:pPr>
            <w:r>
              <w:t>Anti-Human LAG-3</w:t>
            </w:r>
          </w:p>
        </w:tc>
        <w:tc>
          <w:tcPr>
            <w:tcW w:w="1274" w:type="dxa"/>
          </w:tcPr>
          <w:p w14:paraId="58CDD342">
            <w:pPr>
              <w:rPr>
                <w:b/>
              </w:rPr>
            </w:pPr>
            <w:r>
              <w:t>11C3C65</w:t>
            </w:r>
          </w:p>
        </w:tc>
        <w:tc>
          <w:tcPr>
            <w:tcW w:w="1558" w:type="dxa"/>
          </w:tcPr>
          <w:p w14:paraId="6B2E827C">
            <w:pPr>
              <w:rPr>
                <w:b/>
              </w:rPr>
            </w:pPr>
            <w:r>
              <w:t>PE-Cy 7</w:t>
            </w:r>
          </w:p>
        </w:tc>
        <w:tc>
          <w:tcPr>
            <w:tcW w:w="1418" w:type="dxa"/>
          </w:tcPr>
          <w:p w14:paraId="7250C462">
            <w:pPr>
              <w:rPr>
                <w:b/>
              </w:rPr>
            </w:pPr>
            <w:r>
              <w:t>BioLegend</w:t>
            </w:r>
          </w:p>
        </w:tc>
        <w:tc>
          <w:tcPr>
            <w:tcW w:w="1655" w:type="dxa"/>
          </w:tcPr>
          <w:p w14:paraId="1F8ACED4">
            <w:pPr>
              <w:rPr>
                <w:b/>
              </w:rPr>
            </w:pPr>
            <w:r>
              <w:t>369310</w:t>
            </w:r>
          </w:p>
        </w:tc>
      </w:tr>
      <w:tr w14:paraId="1391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03C18E1B">
            <w:pPr>
              <w:rPr>
                <w:b/>
              </w:rPr>
            </w:pPr>
            <w:r>
              <w:t>Anti-Human TIM-3</w:t>
            </w:r>
          </w:p>
        </w:tc>
        <w:tc>
          <w:tcPr>
            <w:tcW w:w="1274" w:type="dxa"/>
          </w:tcPr>
          <w:p w14:paraId="33754FBE">
            <w:pPr>
              <w:rPr>
                <w:b/>
              </w:rPr>
            </w:pPr>
            <w:r>
              <w:t>F38-2E2</w:t>
            </w:r>
          </w:p>
        </w:tc>
        <w:tc>
          <w:tcPr>
            <w:tcW w:w="1558" w:type="dxa"/>
          </w:tcPr>
          <w:p w14:paraId="3680ECC3">
            <w:pPr>
              <w:rPr>
                <w:b/>
              </w:rPr>
            </w:pPr>
            <w:r>
              <w:t>PerCP Cy5.5</w:t>
            </w:r>
          </w:p>
        </w:tc>
        <w:tc>
          <w:tcPr>
            <w:tcW w:w="1418" w:type="dxa"/>
          </w:tcPr>
          <w:p w14:paraId="0B07CC49">
            <w:pPr>
              <w:rPr>
                <w:b/>
              </w:rPr>
            </w:pPr>
            <w:r>
              <w:t>BioLegend</w:t>
            </w:r>
          </w:p>
        </w:tc>
        <w:tc>
          <w:tcPr>
            <w:tcW w:w="1655" w:type="dxa"/>
          </w:tcPr>
          <w:p w14:paraId="4534BF05">
            <w:pPr>
              <w:rPr>
                <w:b/>
              </w:rPr>
            </w:pPr>
            <w:r>
              <w:t>345015</w:t>
            </w:r>
          </w:p>
        </w:tc>
      </w:tr>
      <w:tr w14:paraId="31C7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tcPr>
          <w:p w14:paraId="7D6BF5F4">
            <w:pPr>
              <w:rPr>
                <w:b/>
              </w:rPr>
            </w:pPr>
            <w:r>
              <w:rPr>
                <w:rFonts w:hint="eastAsia"/>
                <w:b/>
              </w:rPr>
              <w:t>I</w:t>
            </w:r>
            <w:r>
              <w:rPr>
                <w:b/>
              </w:rPr>
              <w:t>CS</w:t>
            </w:r>
          </w:p>
        </w:tc>
      </w:tr>
      <w:tr w14:paraId="2951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F050ADE">
            <w:pPr>
              <w:rPr>
                <w:b/>
              </w:rPr>
            </w:pPr>
            <w:r>
              <w:t>Anti-human CD3</w:t>
            </w:r>
          </w:p>
        </w:tc>
        <w:tc>
          <w:tcPr>
            <w:tcW w:w="1274" w:type="dxa"/>
          </w:tcPr>
          <w:p w14:paraId="0F7ED8B1">
            <w:pPr>
              <w:rPr>
                <w:b/>
              </w:rPr>
            </w:pPr>
            <w:r>
              <w:t>UCHT1</w:t>
            </w:r>
          </w:p>
        </w:tc>
        <w:tc>
          <w:tcPr>
            <w:tcW w:w="1558" w:type="dxa"/>
          </w:tcPr>
          <w:p w14:paraId="104BC350">
            <w:pPr>
              <w:rPr>
                <w:b/>
              </w:rPr>
            </w:pPr>
            <w:r>
              <w:t>BV421</w:t>
            </w:r>
          </w:p>
        </w:tc>
        <w:tc>
          <w:tcPr>
            <w:tcW w:w="1418" w:type="dxa"/>
          </w:tcPr>
          <w:p w14:paraId="459092B4">
            <w:pPr>
              <w:rPr>
                <w:b/>
              </w:rPr>
            </w:pPr>
            <w:r>
              <w:t>BioLegend</w:t>
            </w:r>
          </w:p>
        </w:tc>
        <w:tc>
          <w:tcPr>
            <w:tcW w:w="1655" w:type="dxa"/>
          </w:tcPr>
          <w:p w14:paraId="5658D789">
            <w:pPr>
              <w:rPr>
                <w:b/>
              </w:rPr>
            </w:pPr>
            <w:r>
              <w:t>300434</w:t>
            </w:r>
          </w:p>
        </w:tc>
      </w:tr>
      <w:tr w14:paraId="2358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360C5F82">
            <w:pPr>
              <w:rPr>
                <w:b/>
              </w:rPr>
            </w:pPr>
            <w:r>
              <w:t>Anti-human CD107a</w:t>
            </w:r>
          </w:p>
        </w:tc>
        <w:tc>
          <w:tcPr>
            <w:tcW w:w="1274" w:type="dxa"/>
          </w:tcPr>
          <w:p w14:paraId="13B8D658">
            <w:pPr>
              <w:rPr>
                <w:b/>
              </w:rPr>
            </w:pPr>
            <w:r>
              <w:t>H4A3</w:t>
            </w:r>
          </w:p>
        </w:tc>
        <w:tc>
          <w:tcPr>
            <w:tcW w:w="1558" w:type="dxa"/>
          </w:tcPr>
          <w:p w14:paraId="3503B8D3">
            <w:pPr>
              <w:rPr>
                <w:b/>
              </w:rPr>
            </w:pPr>
            <w:r>
              <w:t>PE-Cy 7</w:t>
            </w:r>
          </w:p>
        </w:tc>
        <w:tc>
          <w:tcPr>
            <w:tcW w:w="1418" w:type="dxa"/>
          </w:tcPr>
          <w:p w14:paraId="6AD63BBC">
            <w:pPr>
              <w:rPr>
                <w:b/>
              </w:rPr>
            </w:pPr>
            <w:r>
              <w:t>BioLegend</w:t>
            </w:r>
          </w:p>
        </w:tc>
        <w:tc>
          <w:tcPr>
            <w:tcW w:w="1655" w:type="dxa"/>
          </w:tcPr>
          <w:p w14:paraId="37BE8745">
            <w:pPr>
              <w:rPr>
                <w:b/>
              </w:rPr>
            </w:pPr>
            <w:r>
              <w:t>328618</w:t>
            </w:r>
          </w:p>
        </w:tc>
      </w:tr>
      <w:tr w14:paraId="2BA8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098955C5">
            <w:pPr>
              <w:rPr>
                <w:b/>
              </w:rPr>
            </w:pPr>
            <w:r>
              <w:t>Anti-human IFN-γ</w:t>
            </w:r>
          </w:p>
        </w:tc>
        <w:tc>
          <w:tcPr>
            <w:tcW w:w="1274" w:type="dxa"/>
          </w:tcPr>
          <w:p w14:paraId="74AC183E">
            <w:pPr>
              <w:rPr>
                <w:b/>
              </w:rPr>
            </w:pPr>
            <w:r>
              <w:t>4S.B3</w:t>
            </w:r>
          </w:p>
        </w:tc>
        <w:tc>
          <w:tcPr>
            <w:tcW w:w="1558" w:type="dxa"/>
          </w:tcPr>
          <w:p w14:paraId="092AECC7">
            <w:pPr>
              <w:rPr>
                <w:b/>
              </w:rPr>
            </w:pPr>
            <w:r>
              <w:t>PE</w:t>
            </w:r>
          </w:p>
        </w:tc>
        <w:tc>
          <w:tcPr>
            <w:tcW w:w="1418" w:type="dxa"/>
          </w:tcPr>
          <w:p w14:paraId="4ECA3149">
            <w:pPr>
              <w:rPr>
                <w:b/>
              </w:rPr>
            </w:pPr>
            <w:r>
              <w:t>BioLegend</w:t>
            </w:r>
          </w:p>
        </w:tc>
        <w:tc>
          <w:tcPr>
            <w:tcW w:w="1655" w:type="dxa"/>
          </w:tcPr>
          <w:p w14:paraId="3DD190B1">
            <w:pPr>
              <w:rPr>
                <w:b/>
              </w:rPr>
            </w:pPr>
            <w:r>
              <w:t>502508</w:t>
            </w:r>
          </w:p>
        </w:tc>
      </w:tr>
      <w:tr w14:paraId="6EB0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7F4C7FD6">
            <w:pPr>
              <w:rPr>
                <w:b/>
              </w:rPr>
            </w:pPr>
            <w:r>
              <w:t>Anti-human TNF-α</w:t>
            </w:r>
          </w:p>
        </w:tc>
        <w:tc>
          <w:tcPr>
            <w:tcW w:w="1274" w:type="dxa"/>
          </w:tcPr>
          <w:p w14:paraId="34D12E5A">
            <w:pPr>
              <w:rPr>
                <w:b/>
              </w:rPr>
            </w:pPr>
            <w:r>
              <w:t>MAb11</w:t>
            </w:r>
          </w:p>
        </w:tc>
        <w:tc>
          <w:tcPr>
            <w:tcW w:w="1558" w:type="dxa"/>
          </w:tcPr>
          <w:p w14:paraId="57EC050A">
            <w:pPr>
              <w:rPr>
                <w:b/>
              </w:rPr>
            </w:pPr>
            <w:r>
              <w:t>BV510</w:t>
            </w:r>
          </w:p>
        </w:tc>
        <w:tc>
          <w:tcPr>
            <w:tcW w:w="1418" w:type="dxa"/>
          </w:tcPr>
          <w:p w14:paraId="148A4260">
            <w:pPr>
              <w:rPr>
                <w:b/>
              </w:rPr>
            </w:pPr>
            <w:r>
              <w:t>BioLegend</w:t>
            </w:r>
          </w:p>
        </w:tc>
        <w:tc>
          <w:tcPr>
            <w:tcW w:w="1655" w:type="dxa"/>
          </w:tcPr>
          <w:p w14:paraId="17212C60">
            <w:pPr>
              <w:rPr>
                <w:b/>
              </w:rPr>
            </w:pPr>
            <w:r>
              <w:t>502950</w:t>
            </w:r>
          </w:p>
        </w:tc>
      </w:tr>
      <w:tr w14:paraId="3D86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77E188A5">
            <w:pPr>
              <w:rPr>
                <w:b/>
              </w:rPr>
            </w:pPr>
            <w:r>
              <w:t xml:space="preserve">Anti-human IL-2 </w:t>
            </w:r>
          </w:p>
        </w:tc>
        <w:tc>
          <w:tcPr>
            <w:tcW w:w="1274" w:type="dxa"/>
          </w:tcPr>
          <w:p w14:paraId="22440945">
            <w:pPr>
              <w:rPr>
                <w:b/>
              </w:rPr>
            </w:pPr>
            <w:r>
              <w:t>MQ1-17H12</w:t>
            </w:r>
          </w:p>
        </w:tc>
        <w:tc>
          <w:tcPr>
            <w:tcW w:w="1558" w:type="dxa"/>
          </w:tcPr>
          <w:p w14:paraId="27246220">
            <w:pPr>
              <w:rPr>
                <w:b/>
              </w:rPr>
            </w:pPr>
            <w:r>
              <w:t>APC</w:t>
            </w:r>
          </w:p>
        </w:tc>
        <w:tc>
          <w:tcPr>
            <w:tcW w:w="1418" w:type="dxa"/>
          </w:tcPr>
          <w:p w14:paraId="39D53919">
            <w:pPr>
              <w:rPr>
                <w:b/>
              </w:rPr>
            </w:pPr>
            <w:r>
              <w:t>BioLegend</w:t>
            </w:r>
          </w:p>
        </w:tc>
        <w:tc>
          <w:tcPr>
            <w:tcW w:w="1655" w:type="dxa"/>
          </w:tcPr>
          <w:p w14:paraId="43FC34E5">
            <w:pPr>
              <w:rPr>
                <w:b/>
              </w:rPr>
            </w:pPr>
            <w:r>
              <w:t>500310</w:t>
            </w:r>
          </w:p>
        </w:tc>
      </w:tr>
      <w:tr w14:paraId="1D3A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5BAACFB0">
            <w:pPr>
              <w:rPr>
                <w:b/>
              </w:rPr>
            </w:pPr>
            <w:r>
              <w:t>Anti-human Granzyme B</w:t>
            </w:r>
          </w:p>
        </w:tc>
        <w:tc>
          <w:tcPr>
            <w:tcW w:w="1274" w:type="dxa"/>
          </w:tcPr>
          <w:p w14:paraId="42EE7D7C">
            <w:pPr>
              <w:rPr>
                <w:b/>
              </w:rPr>
            </w:pPr>
            <w:r>
              <w:t>QA16A02</w:t>
            </w:r>
          </w:p>
        </w:tc>
        <w:tc>
          <w:tcPr>
            <w:tcW w:w="1558" w:type="dxa"/>
          </w:tcPr>
          <w:p w14:paraId="5250E320">
            <w:pPr>
              <w:rPr>
                <w:b/>
              </w:rPr>
            </w:pPr>
            <w:r>
              <w:t>PE-Texas Red</w:t>
            </w:r>
          </w:p>
        </w:tc>
        <w:tc>
          <w:tcPr>
            <w:tcW w:w="1418" w:type="dxa"/>
          </w:tcPr>
          <w:p w14:paraId="04261DBE">
            <w:pPr>
              <w:rPr>
                <w:b/>
              </w:rPr>
            </w:pPr>
            <w:r>
              <w:t>BioLegend</w:t>
            </w:r>
          </w:p>
        </w:tc>
        <w:tc>
          <w:tcPr>
            <w:tcW w:w="1655" w:type="dxa"/>
          </w:tcPr>
          <w:p w14:paraId="454FB0B4">
            <w:pPr>
              <w:rPr>
                <w:b/>
              </w:rPr>
            </w:pPr>
            <w:r>
              <w:t>372216</w:t>
            </w:r>
          </w:p>
        </w:tc>
      </w:tr>
      <w:tr w14:paraId="1E91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tcPr>
          <w:p w14:paraId="3A63B7DC">
            <w:pPr>
              <w:rPr>
                <w:b/>
              </w:rPr>
            </w:pPr>
            <w:r>
              <w:rPr>
                <w:rFonts w:hint="eastAsia"/>
                <w:b/>
              </w:rPr>
              <w:t>E</w:t>
            </w:r>
            <w:r>
              <w:rPr>
                <w:b/>
              </w:rPr>
              <w:t>LISA</w:t>
            </w:r>
          </w:p>
        </w:tc>
      </w:tr>
      <w:tr w14:paraId="287F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89676DD">
            <w:pPr>
              <w:rPr>
                <w:b/>
              </w:rPr>
            </w:pPr>
            <w:r>
              <w:t>IL-15</w:t>
            </w:r>
          </w:p>
        </w:tc>
        <w:tc>
          <w:tcPr>
            <w:tcW w:w="1274" w:type="dxa"/>
          </w:tcPr>
          <w:p w14:paraId="4F5AD5C0">
            <w:pPr>
              <w:rPr>
                <w:b/>
              </w:rPr>
            </w:pPr>
          </w:p>
        </w:tc>
        <w:tc>
          <w:tcPr>
            <w:tcW w:w="1558" w:type="dxa"/>
          </w:tcPr>
          <w:p w14:paraId="6AC6FBF1">
            <w:pPr>
              <w:rPr>
                <w:b/>
              </w:rPr>
            </w:pPr>
          </w:p>
        </w:tc>
        <w:tc>
          <w:tcPr>
            <w:tcW w:w="1418" w:type="dxa"/>
          </w:tcPr>
          <w:p w14:paraId="6EBC3A8B">
            <w:pPr>
              <w:rPr>
                <w:b/>
              </w:rPr>
            </w:pPr>
            <w:r>
              <w:t>MultiSciences</w:t>
            </w:r>
          </w:p>
        </w:tc>
        <w:tc>
          <w:tcPr>
            <w:tcW w:w="1655" w:type="dxa"/>
          </w:tcPr>
          <w:p w14:paraId="461ED936">
            <w:pPr>
              <w:rPr>
                <w:b/>
              </w:rPr>
            </w:pPr>
            <w:r>
              <w:t>EK115-96</w:t>
            </w:r>
          </w:p>
        </w:tc>
      </w:tr>
      <w:tr w14:paraId="5C39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97741F8">
            <w:pPr>
              <w:rPr>
                <w:b/>
              </w:rPr>
            </w:pPr>
            <w:r>
              <w:t>IL-2</w:t>
            </w:r>
          </w:p>
        </w:tc>
        <w:tc>
          <w:tcPr>
            <w:tcW w:w="1274" w:type="dxa"/>
          </w:tcPr>
          <w:p w14:paraId="7F2A9A7C">
            <w:pPr>
              <w:rPr>
                <w:b/>
              </w:rPr>
            </w:pPr>
          </w:p>
        </w:tc>
        <w:tc>
          <w:tcPr>
            <w:tcW w:w="1558" w:type="dxa"/>
          </w:tcPr>
          <w:p w14:paraId="20758D9F">
            <w:pPr>
              <w:rPr>
                <w:b/>
              </w:rPr>
            </w:pPr>
          </w:p>
        </w:tc>
        <w:tc>
          <w:tcPr>
            <w:tcW w:w="1418" w:type="dxa"/>
          </w:tcPr>
          <w:p w14:paraId="58C6C8EE">
            <w:pPr>
              <w:rPr>
                <w:b/>
              </w:rPr>
            </w:pPr>
            <w:r>
              <w:t>MultiSciences</w:t>
            </w:r>
          </w:p>
        </w:tc>
        <w:tc>
          <w:tcPr>
            <w:tcW w:w="1655" w:type="dxa"/>
          </w:tcPr>
          <w:p w14:paraId="5D1726D4">
            <w:pPr>
              <w:rPr>
                <w:b/>
              </w:rPr>
            </w:pPr>
            <w:r>
              <w:t>EK102HS-96</w:t>
            </w:r>
          </w:p>
        </w:tc>
      </w:tr>
      <w:tr w14:paraId="1419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2519FC50">
            <w:pPr>
              <w:rPr>
                <w:b/>
              </w:rPr>
            </w:pPr>
            <w:r>
              <w:t>IL-10</w:t>
            </w:r>
          </w:p>
        </w:tc>
        <w:tc>
          <w:tcPr>
            <w:tcW w:w="1274" w:type="dxa"/>
          </w:tcPr>
          <w:p w14:paraId="70F1624D">
            <w:pPr>
              <w:rPr>
                <w:b/>
              </w:rPr>
            </w:pPr>
          </w:p>
        </w:tc>
        <w:tc>
          <w:tcPr>
            <w:tcW w:w="1558" w:type="dxa"/>
          </w:tcPr>
          <w:p w14:paraId="77550A9F">
            <w:pPr>
              <w:rPr>
                <w:b/>
              </w:rPr>
            </w:pPr>
          </w:p>
        </w:tc>
        <w:tc>
          <w:tcPr>
            <w:tcW w:w="1418" w:type="dxa"/>
          </w:tcPr>
          <w:p w14:paraId="14857046">
            <w:pPr>
              <w:rPr>
                <w:b/>
              </w:rPr>
            </w:pPr>
            <w:r>
              <w:t>MultiSciences</w:t>
            </w:r>
          </w:p>
        </w:tc>
        <w:tc>
          <w:tcPr>
            <w:tcW w:w="1655" w:type="dxa"/>
          </w:tcPr>
          <w:p w14:paraId="5E30E04E">
            <w:pPr>
              <w:rPr>
                <w:b/>
              </w:rPr>
            </w:pPr>
            <w:r>
              <w:t>EK110HS-96</w:t>
            </w:r>
          </w:p>
        </w:tc>
      </w:tr>
      <w:tr w14:paraId="704F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3251BE8">
            <w:pPr>
              <w:rPr>
                <w:b/>
              </w:rPr>
            </w:pPr>
            <w:r>
              <w:t>IFN-γ</w:t>
            </w:r>
          </w:p>
        </w:tc>
        <w:tc>
          <w:tcPr>
            <w:tcW w:w="1274" w:type="dxa"/>
          </w:tcPr>
          <w:p w14:paraId="01AC5E83">
            <w:pPr>
              <w:rPr>
                <w:b/>
              </w:rPr>
            </w:pPr>
          </w:p>
        </w:tc>
        <w:tc>
          <w:tcPr>
            <w:tcW w:w="1558" w:type="dxa"/>
          </w:tcPr>
          <w:p w14:paraId="4CB28927">
            <w:pPr>
              <w:rPr>
                <w:b/>
              </w:rPr>
            </w:pPr>
          </w:p>
        </w:tc>
        <w:tc>
          <w:tcPr>
            <w:tcW w:w="1418" w:type="dxa"/>
          </w:tcPr>
          <w:p w14:paraId="78447489">
            <w:pPr>
              <w:rPr>
                <w:b/>
              </w:rPr>
            </w:pPr>
            <w:r>
              <w:t>MultiSciences</w:t>
            </w:r>
          </w:p>
        </w:tc>
        <w:tc>
          <w:tcPr>
            <w:tcW w:w="1655" w:type="dxa"/>
          </w:tcPr>
          <w:p w14:paraId="753794AB">
            <w:pPr>
              <w:rPr>
                <w:b/>
              </w:rPr>
            </w:pPr>
            <w:r>
              <w:t>EK180HS-96</w:t>
            </w:r>
          </w:p>
        </w:tc>
      </w:tr>
      <w:tr w14:paraId="2212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2CBDC475">
            <w:pPr>
              <w:rPr>
                <w:b/>
              </w:rPr>
            </w:pPr>
            <w:r>
              <w:t>GM-CSF</w:t>
            </w:r>
          </w:p>
        </w:tc>
        <w:tc>
          <w:tcPr>
            <w:tcW w:w="1274" w:type="dxa"/>
          </w:tcPr>
          <w:p w14:paraId="0726905A">
            <w:pPr>
              <w:rPr>
                <w:b/>
              </w:rPr>
            </w:pPr>
          </w:p>
        </w:tc>
        <w:tc>
          <w:tcPr>
            <w:tcW w:w="1558" w:type="dxa"/>
          </w:tcPr>
          <w:p w14:paraId="6D7C89FC">
            <w:pPr>
              <w:rPr>
                <w:b/>
              </w:rPr>
            </w:pPr>
          </w:p>
        </w:tc>
        <w:tc>
          <w:tcPr>
            <w:tcW w:w="1418" w:type="dxa"/>
          </w:tcPr>
          <w:p w14:paraId="5DC678B7">
            <w:pPr>
              <w:rPr>
                <w:b/>
              </w:rPr>
            </w:pPr>
            <w:r>
              <w:t>MultiSciences</w:t>
            </w:r>
          </w:p>
        </w:tc>
        <w:tc>
          <w:tcPr>
            <w:tcW w:w="1655" w:type="dxa"/>
          </w:tcPr>
          <w:p w14:paraId="2211DB2D">
            <w:pPr>
              <w:rPr>
                <w:b/>
              </w:rPr>
            </w:pPr>
            <w:r>
              <w:t>EK163HS-96</w:t>
            </w:r>
          </w:p>
        </w:tc>
      </w:tr>
      <w:tr w14:paraId="2529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289F45DA">
            <w:pPr>
              <w:rPr>
                <w:b/>
              </w:rPr>
            </w:pPr>
            <w:r>
              <w:t>TNF-α</w:t>
            </w:r>
          </w:p>
        </w:tc>
        <w:tc>
          <w:tcPr>
            <w:tcW w:w="1274" w:type="dxa"/>
          </w:tcPr>
          <w:p w14:paraId="01477AB1">
            <w:pPr>
              <w:rPr>
                <w:b/>
              </w:rPr>
            </w:pPr>
          </w:p>
        </w:tc>
        <w:tc>
          <w:tcPr>
            <w:tcW w:w="1558" w:type="dxa"/>
          </w:tcPr>
          <w:p w14:paraId="2E3A7826">
            <w:pPr>
              <w:rPr>
                <w:b/>
              </w:rPr>
            </w:pPr>
          </w:p>
        </w:tc>
        <w:tc>
          <w:tcPr>
            <w:tcW w:w="1418" w:type="dxa"/>
          </w:tcPr>
          <w:p w14:paraId="142004DA">
            <w:pPr>
              <w:rPr>
                <w:b/>
              </w:rPr>
            </w:pPr>
            <w:r>
              <w:t>MultiSciences</w:t>
            </w:r>
          </w:p>
        </w:tc>
        <w:tc>
          <w:tcPr>
            <w:tcW w:w="1655" w:type="dxa"/>
          </w:tcPr>
          <w:p w14:paraId="2B66E345">
            <w:pPr>
              <w:rPr>
                <w:b/>
              </w:rPr>
            </w:pPr>
            <w:r>
              <w:t>EK182HS-96</w:t>
            </w:r>
          </w:p>
        </w:tc>
      </w:tr>
      <w:tr w14:paraId="76CF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475990B4">
            <w:pPr>
              <w:rPr>
                <w:b/>
              </w:rPr>
            </w:pPr>
            <w:r>
              <w:t>IL-6</w:t>
            </w:r>
          </w:p>
        </w:tc>
        <w:tc>
          <w:tcPr>
            <w:tcW w:w="1274" w:type="dxa"/>
          </w:tcPr>
          <w:p w14:paraId="52111DDF">
            <w:pPr>
              <w:rPr>
                <w:b/>
              </w:rPr>
            </w:pPr>
          </w:p>
        </w:tc>
        <w:tc>
          <w:tcPr>
            <w:tcW w:w="1558" w:type="dxa"/>
          </w:tcPr>
          <w:p w14:paraId="75B3D950">
            <w:pPr>
              <w:rPr>
                <w:b/>
              </w:rPr>
            </w:pPr>
          </w:p>
        </w:tc>
        <w:tc>
          <w:tcPr>
            <w:tcW w:w="1418" w:type="dxa"/>
          </w:tcPr>
          <w:p w14:paraId="0FA4C215">
            <w:pPr>
              <w:rPr>
                <w:b/>
              </w:rPr>
            </w:pPr>
            <w:r>
              <w:t>MultiSciences</w:t>
            </w:r>
          </w:p>
        </w:tc>
        <w:tc>
          <w:tcPr>
            <w:tcW w:w="1655" w:type="dxa"/>
          </w:tcPr>
          <w:p w14:paraId="3EB66862">
            <w:pPr>
              <w:rPr>
                <w:b/>
              </w:rPr>
            </w:pPr>
            <w:r>
              <w:t>EK106HS-96</w:t>
            </w:r>
          </w:p>
        </w:tc>
      </w:tr>
      <w:tr w14:paraId="6F0F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tcPr>
          <w:p w14:paraId="2E7F91F4">
            <w:pPr>
              <w:rPr>
                <w:b/>
                <w:bCs/>
              </w:rPr>
            </w:pPr>
            <w:r>
              <w:rPr>
                <w:b/>
                <w:bCs/>
              </w:rPr>
              <w:t>Evaluation of tumor burden and T cells in blood and tissues</w:t>
            </w:r>
          </w:p>
        </w:tc>
      </w:tr>
      <w:tr w14:paraId="352F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311E7A31">
            <w:pPr>
              <w:rPr>
                <w:b/>
              </w:rPr>
            </w:pPr>
            <w:r>
              <w:t>Anti-human CD3</w:t>
            </w:r>
          </w:p>
        </w:tc>
        <w:tc>
          <w:tcPr>
            <w:tcW w:w="1274" w:type="dxa"/>
          </w:tcPr>
          <w:p w14:paraId="79428489">
            <w:pPr>
              <w:rPr>
                <w:b/>
              </w:rPr>
            </w:pPr>
            <w:r>
              <w:t>HIT3a</w:t>
            </w:r>
          </w:p>
        </w:tc>
        <w:tc>
          <w:tcPr>
            <w:tcW w:w="1558" w:type="dxa"/>
          </w:tcPr>
          <w:p w14:paraId="07E37AB4">
            <w:pPr>
              <w:rPr>
                <w:b/>
              </w:rPr>
            </w:pPr>
            <w:r>
              <w:t>PerCP Cy5.5</w:t>
            </w:r>
          </w:p>
        </w:tc>
        <w:tc>
          <w:tcPr>
            <w:tcW w:w="1418" w:type="dxa"/>
          </w:tcPr>
          <w:p w14:paraId="3CE6F37A">
            <w:pPr>
              <w:rPr>
                <w:b/>
              </w:rPr>
            </w:pPr>
            <w:r>
              <w:t>BioLegend</w:t>
            </w:r>
          </w:p>
        </w:tc>
        <w:tc>
          <w:tcPr>
            <w:tcW w:w="1655" w:type="dxa"/>
          </w:tcPr>
          <w:p w14:paraId="03176FFB">
            <w:pPr>
              <w:rPr>
                <w:b/>
              </w:rPr>
            </w:pPr>
            <w:r>
              <w:t>300326</w:t>
            </w:r>
          </w:p>
        </w:tc>
      </w:tr>
      <w:tr w14:paraId="5FE6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1" w:type="dxa"/>
          </w:tcPr>
          <w:p w14:paraId="0178071F">
            <w:pPr>
              <w:rPr>
                <w:b/>
              </w:rPr>
            </w:pPr>
            <w:r>
              <w:t>Anti-human CD19</w:t>
            </w:r>
          </w:p>
        </w:tc>
        <w:tc>
          <w:tcPr>
            <w:tcW w:w="1274" w:type="dxa"/>
          </w:tcPr>
          <w:p w14:paraId="74B5EADA">
            <w:pPr>
              <w:rPr>
                <w:b/>
              </w:rPr>
            </w:pPr>
            <w:r>
              <w:t>HIB19</w:t>
            </w:r>
          </w:p>
        </w:tc>
        <w:tc>
          <w:tcPr>
            <w:tcW w:w="1558" w:type="dxa"/>
          </w:tcPr>
          <w:p w14:paraId="01FFAF0D">
            <w:pPr>
              <w:rPr>
                <w:b/>
              </w:rPr>
            </w:pPr>
            <w:r>
              <w:t>PE</w:t>
            </w:r>
          </w:p>
        </w:tc>
        <w:tc>
          <w:tcPr>
            <w:tcW w:w="1418" w:type="dxa"/>
          </w:tcPr>
          <w:p w14:paraId="48EB3C7F">
            <w:pPr>
              <w:rPr>
                <w:b/>
              </w:rPr>
            </w:pPr>
            <w:r>
              <w:t>BioLegend</w:t>
            </w:r>
          </w:p>
        </w:tc>
        <w:tc>
          <w:tcPr>
            <w:tcW w:w="1655" w:type="dxa"/>
          </w:tcPr>
          <w:p w14:paraId="037CA584">
            <w:pPr>
              <w:rPr>
                <w:b/>
              </w:rPr>
            </w:pPr>
            <w:r>
              <w:t>302208</w:t>
            </w:r>
          </w:p>
        </w:tc>
      </w:tr>
    </w:tbl>
    <w:p w14:paraId="68367A0E">
      <w:pPr>
        <w:rPr>
          <w:b/>
        </w:rPr>
      </w:pPr>
      <w:r>
        <w:t>* Staining panel: Naïve/memory (CD3 BV421</w:t>
      </w:r>
      <w:r>
        <w:rPr>
          <w:rFonts w:hint="eastAsia"/>
        </w:rPr>
        <w:t>,</w:t>
      </w:r>
      <w:r>
        <w:t xml:space="preserve"> FITC</w:t>
      </w:r>
      <w:r>
        <w:rPr>
          <w:rFonts w:hint="eastAsia"/>
        </w:rPr>
        <w:t>,</w:t>
      </w:r>
      <w:r>
        <w:t xml:space="preserve"> CD4 PE</w:t>
      </w:r>
      <w:r>
        <w:rPr>
          <w:rFonts w:hint="eastAsia"/>
        </w:rPr>
        <w:t>,</w:t>
      </w:r>
      <w:r>
        <w:t xml:space="preserve"> CD8 PE-Cy5</w:t>
      </w:r>
      <w:r>
        <w:rPr>
          <w:rFonts w:hint="eastAsia"/>
        </w:rPr>
        <w:t>,</w:t>
      </w:r>
      <w:r>
        <w:t xml:space="preserve"> CCR-7 PE-Cy7</w:t>
      </w:r>
      <w:r>
        <w:rPr>
          <w:rFonts w:hint="eastAsia"/>
        </w:rPr>
        <w:t>,</w:t>
      </w:r>
      <w:r>
        <w:t xml:space="preserve"> CD45RA-APC), activation (CD3 BV421</w:t>
      </w:r>
      <w:r>
        <w:rPr>
          <w:rFonts w:hint="eastAsia"/>
        </w:rPr>
        <w:t>,</w:t>
      </w:r>
      <w:r>
        <w:t xml:space="preserve"> FITC</w:t>
      </w:r>
      <w:r>
        <w:rPr>
          <w:rFonts w:hint="eastAsia"/>
        </w:rPr>
        <w:t>,</w:t>
      </w:r>
      <w:r>
        <w:t xml:space="preserve"> CD25 PE-Cy5</w:t>
      </w:r>
      <w:r>
        <w:rPr>
          <w:rFonts w:hint="eastAsia"/>
        </w:rPr>
        <w:t>,</w:t>
      </w:r>
      <w:r>
        <w:t xml:space="preserve"> CD69 APC), exhaustion (CD3 BV421</w:t>
      </w:r>
      <w:r>
        <w:rPr>
          <w:rFonts w:hint="eastAsia"/>
        </w:rPr>
        <w:t>,</w:t>
      </w:r>
      <w:r>
        <w:t xml:space="preserve"> FITC</w:t>
      </w:r>
      <w:r>
        <w:rPr>
          <w:rFonts w:hint="eastAsia"/>
        </w:rPr>
        <w:t>,</w:t>
      </w:r>
      <w:r>
        <w:t xml:space="preserve"> PD-1 APC-Cy 7</w:t>
      </w:r>
      <w:r>
        <w:rPr>
          <w:rFonts w:hint="eastAsia"/>
        </w:rPr>
        <w:t>,</w:t>
      </w:r>
      <w:r>
        <w:t xml:space="preserve"> LAG-3 PE-Cy 7</w:t>
      </w:r>
      <w:r>
        <w:rPr>
          <w:rFonts w:hint="eastAsia"/>
        </w:rPr>
        <w:t>,</w:t>
      </w:r>
      <w:r>
        <w:t xml:space="preserve"> TIM-3 PerCP Cy5.5).</w:t>
      </w:r>
    </w:p>
    <w:p w14:paraId="5E5550B8"/>
    <w:p w14:paraId="7B4F57DC">
      <w:bookmarkStart w:id="26" w:name="_Hlk154335754"/>
    </w:p>
    <w:p w14:paraId="2DEA9DD7">
      <w:pPr>
        <w:ind w:firstLine="211" w:firstLineChars="100"/>
      </w:pPr>
      <w:r>
        <w:rPr>
          <w:b/>
        </w:rPr>
        <w:t>Supplementary T</w:t>
      </w:r>
      <w:r>
        <w:rPr>
          <w:rFonts w:hint="eastAsia"/>
          <w:b/>
        </w:rPr>
        <w:t>able</w:t>
      </w:r>
      <w:r>
        <w:rPr>
          <w:b/>
        </w:rPr>
        <w:t xml:space="preserve"> 3</w:t>
      </w:r>
      <w:r>
        <w:rPr>
          <w:rFonts w:hint="eastAsia"/>
          <w:b/>
        </w:rPr>
        <w:t>.</w:t>
      </w:r>
      <w:r>
        <w:rPr>
          <w:b/>
        </w:rPr>
        <w:t xml:space="preserve"> </w:t>
      </w:r>
      <w:bookmarkEnd w:id="26"/>
      <w:r>
        <w:rPr>
          <w:b/>
        </w:rPr>
        <w:t xml:space="preserve">IL-15/IL-15Rα expression detected by ELISA </w:t>
      </w:r>
      <w:r>
        <w:rPr>
          <w:rFonts w:hint="eastAsia"/>
          <w:b/>
        </w:rPr>
        <w:t>(pg</w:t>
      </w:r>
      <w:r>
        <w:rPr>
          <w:b/>
        </w:rPr>
        <w:t>/</w:t>
      </w:r>
      <w:r>
        <w:rPr>
          <w:rFonts w:hint="eastAsia"/>
          <w:b/>
        </w:rPr>
        <w:t>m</w:t>
      </w:r>
      <w:r>
        <w:rPr>
          <w:b/>
        </w:rPr>
        <w:t>L</w:t>
      </w:r>
      <w:r>
        <w:rPr>
          <w:rFonts w:hint="eastAsia"/>
          <w:b/>
        </w:rPr>
        <w:t>)</w:t>
      </w:r>
    </w:p>
    <w:tbl>
      <w:tblPr>
        <w:tblStyle w:val="6"/>
        <w:tblW w:w="7871" w:type="dxa"/>
        <w:jc w:val="center"/>
        <w:tblLayout w:type="autofit"/>
        <w:tblCellMar>
          <w:top w:w="0" w:type="dxa"/>
          <w:left w:w="0" w:type="dxa"/>
          <w:bottom w:w="0" w:type="dxa"/>
          <w:right w:w="0" w:type="dxa"/>
        </w:tblCellMar>
      </w:tblPr>
      <w:tblGrid>
        <w:gridCol w:w="3261"/>
        <w:gridCol w:w="1462"/>
        <w:gridCol w:w="1519"/>
        <w:gridCol w:w="1629"/>
      </w:tblGrid>
      <w:tr w14:paraId="41B2B7FD">
        <w:tblPrEx>
          <w:tblCellMar>
            <w:top w:w="0" w:type="dxa"/>
            <w:left w:w="0" w:type="dxa"/>
            <w:bottom w:w="0" w:type="dxa"/>
            <w:right w:w="0" w:type="dxa"/>
          </w:tblCellMar>
        </w:tblPrEx>
        <w:trPr>
          <w:trHeight w:val="140" w:hRule="atLeast"/>
          <w:jc w:val="center"/>
        </w:trPr>
        <w:tc>
          <w:tcPr>
            <w:tcW w:w="3261" w:type="dxa"/>
            <w:tcBorders>
              <w:top w:val="single" w:color="000000" w:sz="4" w:space="0"/>
              <w:left w:val="nil"/>
              <w:bottom w:val="single" w:color="000000" w:sz="4" w:space="0"/>
              <w:right w:val="nil"/>
            </w:tcBorders>
            <w:tcMar>
              <w:top w:w="10" w:type="dxa"/>
              <w:left w:w="10" w:type="dxa"/>
              <w:bottom w:w="0" w:type="dxa"/>
              <w:right w:w="10" w:type="dxa"/>
            </w:tcMar>
            <w:vAlign w:val="center"/>
          </w:tcPr>
          <w:p w14:paraId="1CB611F5">
            <w:r>
              <w:t>Group</w:t>
            </w:r>
          </w:p>
        </w:tc>
        <w:tc>
          <w:tcPr>
            <w:tcW w:w="1462" w:type="dxa"/>
            <w:tcBorders>
              <w:top w:val="single" w:color="000000" w:sz="4" w:space="0"/>
              <w:left w:val="nil"/>
              <w:bottom w:val="single" w:color="000000" w:sz="4" w:space="0"/>
              <w:right w:val="nil"/>
            </w:tcBorders>
            <w:tcMar>
              <w:top w:w="10" w:type="dxa"/>
              <w:left w:w="10" w:type="dxa"/>
              <w:bottom w:w="0" w:type="dxa"/>
              <w:right w:w="10" w:type="dxa"/>
            </w:tcMar>
            <w:vAlign w:val="center"/>
          </w:tcPr>
          <w:p w14:paraId="0FDB971C">
            <w:r>
              <w:t>24h</w:t>
            </w:r>
          </w:p>
        </w:tc>
        <w:tc>
          <w:tcPr>
            <w:tcW w:w="1519" w:type="dxa"/>
            <w:tcBorders>
              <w:top w:val="single" w:color="000000" w:sz="4" w:space="0"/>
              <w:left w:val="nil"/>
              <w:bottom w:val="single" w:color="000000" w:sz="4" w:space="0"/>
              <w:right w:val="nil"/>
            </w:tcBorders>
            <w:tcMar>
              <w:top w:w="10" w:type="dxa"/>
              <w:left w:w="10" w:type="dxa"/>
              <w:bottom w:w="0" w:type="dxa"/>
              <w:right w:w="10" w:type="dxa"/>
            </w:tcMar>
            <w:vAlign w:val="center"/>
          </w:tcPr>
          <w:p w14:paraId="7640BC00">
            <w:r>
              <w:t>48h</w:t>
            </w:r>
          </w:p>
        </w:tc>
        <w:tc>
          <w:tcPr>
            <w:tcW w:w="1629" w:type="dxa"/>
            <w:tcBorders>
              <w:top w:val="single" w:color="000000" w:sz="4" w:space="0"/>
              <w:left w:val="nil"/>
              <w:bottom w:val="single" w:color="000000" w:sz="4" w:space="0"/>
              <w:right w:val="nil"/>
            </w:tcBorders>
            <w:tcMar>
              <w:top w:w="10" w:type="dxa"/>
              <w:left w:w="10" w:type="dxa"/>
              <w:bottom w:w="0" w:type="dxa"/>
              <w:right w:w="10" w:type="dxa"/>
            </w:tcMar>
            <w:vAlign w:val="center"/>
          </w:tcPr>
          <w:p w14:paraId="2C7939FF">
            <w:r>
              <w:t>72h</w:t>
            </w:r>
          </w:p>
        </w:tc>
      </w:tr>
      <w:tr w14:paraId="460E8303">
        <w:tblPrEx>
          <w:tblCellMar>
            <w:top w:w="0" w:type="dxa"/>
            <w:left w:w="0" w:type="dxa"/>
            <w:bottom w:w="0" w:type="dxa"/>
            <w:right w:w="0" w:type="dxa"/>
          </w:tblCellMar>
        </w:tblPrEx>
        <w:trPr>
          <w:trHeight w:val="140" w:hRule="atLeast"/>
          <w:jc w:val="center"/>
        </w:trPr>
        <w:tc>
          <w:tcPr>
            <w:tcW w:w="3261" w:type="dxa"/>
            <w:tcBorders>
              <w:top w:val="single" w:color="000000" w:sz="4" w:space="0"/>
              <w:left w:val="nil"/>
              <w:bottom w:val="nil"/>
              <w:right w:val="nil"/>
            </w:tcBorders>
            <w:tcMar>
              <w:top w:w="10" w:type="dxa"/>
              <w:left w:w="10" w:type="dxa"/>
              <w:bottom w:w="0" w:type="dxa"/>
              <w:right w:w="10" w:type="dxa"/>
            </w:tcMar>
            <w:vAlign w:val="center"/>
          </w:tcPr>
          <w:p w14:paraId="00494246">
            <w:r>
              <w:t>NKG2D CAR-T cells</w:t>
            </w:r>
          </w:p>
        </w:tc>
        <w:tc>
          <w:tcPr>
            <w:tcW w:w="1462" w:type="dxa"/>
            <w:tcBorders>
              <w:top w:val="single" w:color="000000" w:sz="4" w:space="0"/>
              <w:left w:val="nil"/>
              <w:bottom w:val="nil"/>
              <w:right w:val="nil"/>
            </w:tcBorders>
            <w:tcMar>
              <w:top w:w="10" w:type="dxa"/>
              <w:left w:w="10" w:type="dxa"/>
              <w:bottom w:w="0" w:type="dxa"/>
              <w:right w:w="10" w:type="dxa"/>
            </w:tcMar>
            <w:vAlign w:val="center"/>
          </w:tcPr>
          <w:p w14:paraId="15803759">
            <w:r>
              <w:t>5.39±6.90</w:t>
            </w:r>
          </w:p>
        </w:tc>
        <w:tc>
          <w:tcPr>
            <w:tcW w:w="1519" w:type="dxa"/>
            <w:tcBorders>
              <w:top w:val="single" w:color="000000" w:sz="4" w:space="0"/>
              <w:left w:val="nil"/>
              <w:bottom w:val="nil"/>
              <w:right w:val="nil"/>
            </w:tcBorders>
            <w:tcMar>
              <w:top w:w="10" w:type="dxa"/>
              <w:left w:w="10" w:type="dxa"/>
              <w:bottom w:w="0" w:type="dxa"/>
              <w:right w:w="10" w:type="dxa"/>
            </w:tcMar>
            <w:vAlign w:val="center"/>
          </w:tcPr>
          <w:p w14:paraId="72D8027C">
            <w:r>
              <w:t>6.14±7.37</w:t>
            </w:r>
          </w:p>
        </w:tc>
        <w:tc>
          <w:tcPr>
            <w:tcW w:w="1629" w:type="dxa"/>
            <w:tcBorders>
              <w:top w:val="single" w:color="000000" w:sz="4" w:space="0"/>
              <w:left w:val="nil"/>
              <w:bottom w:val="nil"/>
              <w:right w:val="nil"/>
            </w:tcBorders>
            <w:tcMar>
              <w:top w:w="10" w:type="dxa"/>
              <w:left w:w="10" w:type="dxa"/>
              <w:bottom w:w="0" w:type="dxa"/>
              <w:right w:w="10" w:type="dxa"/>
            </w:tcMar>
            <w:vAlign w:val="center"/>
          </w:tcPr>
          <w:p w14:paraId="63E43D3F">
            <w:r>
              <w:t>1.75±2.36</w:t>
            </w:r>
          </w:p>
        </w:tc>
      </w:tr>
      <w:tr w14:paraId="69A3011D">
        <w:tblPrEx>
          <w:tblCellMar>
            <w:top w:w="0" w:type="dxa"/>
            <w:left w:w="0" w:type="dxa"/>
            <w:bottom w:w="0" w:type="dxa"/>
            <w:right w:w="0" w:type="dxa"/>
          </w:tblCellMar>
        </w:tblPrEx>
        <w:trPr>
          <w:trHeight w:val="140" w:hRule="atLeast"/>
          <w:jc w:val="center"/>
        </w:trPr>
        <w:tc>
          <w:tcPr>
            <w:tcW w:w="3261" w:type="dxa"/>
            <w:tcBorders>
              <w:top w:val="nil"/>
              <w:left w:val="nil"/>
              <w:bottom w:val="nil"/>
              <w:right w:val="nil"/>
            </w:tcBorders>
            <w:tcMar>
              <w:top w:w="10" w:type="dxa"/>
              <w:left w:w="10" w:type="dxa"/>
              <w:bottom w:w="0" w:type="dxa"/>
              <w:right w:w="10" w:type="dxa"/>
            </w:tcMar>
            <w:vAlign w:val="center"/>
          </w:tcPr>
          <w:p w14:paraId="35C4DDDC">
            <w:r>
              <w:t xml:space="preserve">IL-15/IL-15Rα-NKG2D CAR-T cells </w:t>
            </w:r>
          </w:p>
        </w:tc>
        <w:tc>
          <w:tcPr>
            <w:tcW w:w="1462" w:type="dxa"/>
            <w:tcBorders>
              <w:top w:val="nil"/>
              <w:left w:val="nil"/>
              <w:bottom w:val="nil"/>
              <w:right w:val="nil"/>
            </w:tcBorders>
            <w:tcMar>
              <w:top w:w="10" w:type="dxa"/>
              <w:left w:w="10" w:type="dxa"/>
              <w:bottom w:w="0" w:type="dxa"/>
              <w:right w:w="10" w:type="dxa"/>
            </w:tcMar>
            <w:vAlign w:val="center"/>
          </w:tcPr>
          <w:p w14:paraId="5C801D9B">
            <w:r>
              <w:t>2614.54±220.69</w:t>
            </w:r>
          </w:p>
        </w:tc>
        <w:tc>
          <w:tcPr>
            <w:tcW w:w="1519" w:type="dxa"/>
            <w:tcBorders>
              <w:top w:val="nil"/>
              <w:left w:val="nil"/>
              <w:bottom w:val="nil"/>
              <w:right w:val="nil"/>
            </w:tcBorders>
            <w:tcMar>
              <w:top w:w="10" w:type="dxa"/>
              <w:left w:w="10" w:type="dxa"/>
              <w:bottom w:w="0" w:type="dxa"/>
              <w:right w:w="10" w:type="dxa"/>
            </w:tcMar>
            <w:vAlign w:val="center"/>
          </w:tcPr>
          <w:p w14:paraId="39FCB799">
            <w:r>
              <w:t>2686.78±98.08</w:t>
            </w:r>
          </w:p>
        </w:tc>
        <w:tc>
          <w:tcPr>
            <w:tcW w:w="1629" w:type="dxa"/>
            <w:tcBorders>
              <w:top w:val="nil"/>
              <w:left w:val="nil"/>
              <w:bottom w:val="nil"/>
              <w:right w:val="nil"/>
            </w:tcBorders>
            <w:tcMar>
              <w:top w:w="10" w:type="dxa"/>
              <w:left w:w="10" w:type="dxa"/>
              <w:bottom w:w="0" w:type="dxa"/>
              <w:right w:w="10" w:type="dxa"/>
            </w:tcMar>
            <w:vAlign w:val="center"/>
          </w:tcPr>
          <w:p w14:paraId="2F1C3ED3">
            <w:r>
              <w:t>2569.83±198.32</w:t>
            </w:r>
          </w:p>
        </w:tc>
      </w:tr>
      <w:tr w14:paraId="39C53D61">
        <w:tblPrEx>
          <w:tblCellMar>
            <w:top w:w="0" w:type="dxa"/>
            <w:left w:w="0" w:type="dxa"/>
            <w:bottom w:w="0" w:type="dxa"/>
            <w:right w:w="0" w:type="dxa"/>
          </w:tblCellMar>
        </w:tblPrEx>
        <w:trPr>
          <w:trHeight w:val="140" w:hRule="atLeast"/>
          <w:jc w:val="center"/>
        </w:trPr>
        <w:tc>
          <w:tcPr>
            <w:tcW w:w="3261" w:type="dxa"/>
            <w:tcBorders>
              <w:top w:val="nil"/>
              <w:left w:val="nil"/>
              <w:bottom w:val="single" w:color="000000" w:sz="4" w:space="0"/>
              <w:right w:val="nil"/>
            </w:tcBorders>
            <w:tcMar>
              <w:top w:w="10" w:type="dxa"/>
              <w:left w:w="10" w:type="dxa"/>
              <w:bottom w:w="0" w:type="dxa"/>
              <w:right w:w="10" w:type="dxa"/>
            </w:tcMar>
            <w:vAlign w:val="center"/>
          </w:tcPr>
          <w:p w14:paraId="2D6E94EC">
            <w:r>
              <w:t>Non-transduced T cells</w:t>
            </w:r>
          </w:p>
        </w:tc>
        <w:tc>
          <w:tcPr>
            <w:tcW w:w="1462" w:type="dxa"/>
            <w:tcBorders>
              <w:top w:val="nil"/>
              <w:left w:val="nil"/>
              <w:bottom w:val="single" w:color="000000" w:sz="4" w:space="0"/>
              <w:right w:val="nil"/>
            </w:tcBorders>
            <w:tcMar>
              <w:top w:w="10" w:type="dxa"/>
              <w:left w:w="10" w:type="dxa"/>
              <w:bottom w:w="0" w:type="dxa"/>
              <w:right w:w="10" w:type="dxa"/>
            </w:tcMar>
            <w:vAlign w:val="center"/>
          </w:tcPr>
          <w:p w14:paraId="0653DDFB">
            <w:r>
              <w:t>8.11±9.67</w:t>
            </w:r>
          </w:p>
        </w:tc>
        <w:tc>
          <w:tcPr>
            <w:tcW w:w="1519" w:type="dxa"/>
            <w:tcBorders>
              <w:top w:val="nil"/>
              <w:left w:val="nil"/>
              <w:bottom w:val="single" w:color="000000" w:sz="4" w:space="0"/>
              <w:right w:val="nil"/>
            </w:tcBorders>
            <w:tcMar>
              <w:top w:w="10" w:type="dxa"/>
              <w:left w:w="10" w:type="dxa"/>
              <w:bottom w:w="0" w:type="dxa"/>
              <w:right w:w="10" w:type="dxa"/>
            </w:tcMar>
            <w:vAlign w:val="center"/>
          </w:tcPr>
          <w:p w14:paraId="5A779B28">
            <w:r>
              <w:t>0.31±0.62</w:t>
            </w:r>
          </w:p>
        </w:tc>
        <w:tc>
          <w:tcPr>
            <w:tcW w:w="1629" w:type="dxa"/>
            <w:tcBorders>
              <w:top w:val="nil"/>
              <w:left w:val="nil"/>
              <w:bottom w:val="single" w:color="000000" w:sz="4" w:space="0"/>
              <w:right w:val="nil"/>
            </w:tcBorders>
            <w:tcMar>
              <w:top w:w="10" w:type="dxa"/>
              <w:left w:w="10" w:type="dxa"/>
              <w:bottom w:w="0" w:type="dxa"/>
              <w:right w:w="10" w:type="dxa"/>
            </w:tcMar>
            <w:vAlign w:val="center"/>
          </w:tcPr>
          <w:p w14:paraId="3988377B">
            <w:r>
              <w:t>3.83±6.09</w:t>
            </w:r>
          </w:p>
        </w:tc>
      </w:tr>
    </w:tbl>
    <w:p w14:paraId="5ED087F4"/>
    <w:p w14:paraId="00FC940E">
      <w:r>
        <w:br w:type="page"/>
      </w:r>
    </w:p>
    <w:p w14:paraId="74C88C96">
      <w:r>
        <w:rPr>
          <w:b/>
        </w:rPr>
        <w:t>Supplementary T</w:t>
      </w:r>
      <w:r>
        <w:rPr>
          <w:rFonts w:hint="eastAsia"/>
          <w:b/>
        </w:rPr>
        <w:t>able</w:t>
      </w:r>
      <w:r>
        <w:rPr>
          <w:b/>
        </w:rPr>
        <w:t xml:space="preserve"> 4</w:t>
      </w:r>
      <w:r>
        <w:rPr>
          <w:rFonts w:hint="eastAsia"/>
          <w:b/>
        </w:rPr>
        <w:t>.</w:t>
      </w:r>
      <w:r>
        <w:rPr>
          <w:b/>
        </w:rPr>
        <w:t xml:space="preserve"> RNA concentration, purity and integrity of T cell samples</w:t>
      </w:r>
    </w:p>
    <w:tbl>
      <w:tblPr>
        <w:tblStyle w:val="6"/>
        <w:tblW w:w="8222" w:type="dxa"/>
        <w:tblInd w:w="0" w:type="dxa"/>
        <w:tblLayout w:type="autofit"/>
        <w:tblCellMar>
          <w:top w:w="0" w:type="dxa"/>
          <w:left w:w="108" w:type="dxa"/>
          <w:bottom w:w="0" w:type="dxa"/>
          <w:right w:w="108" w:type="dxa"/>
        </w:tblCellMar>
      </w:tblPr>
      <w:tblGrid>
        <w:gridCol w:w="1080"/>
        <w:gridCol w:w="1047"/>
        <w:gridCol w:w="1417"/>
        <w:gridCol w:w="866"/>
        <w:gridCol w:w="876"/>
        <w:gridCol w:w="951"/>
        <w:gridCol w:w="1134"/>
        <w:gridCol w:w="851"/>
      </w:tblGrid>
      <w:tr w14:paraId="02695B6C">
        <w:tblPrEx>
          <w:tblCellMar>
            <w:top w:w="0" w:type="dxa"/>
            <w:left w:w="108" w:type="dxa"/>
            <w:bottom w:w="0" w:type="dxa"/>
            <w:right w:w="108" w:type="dxa"/>
          </w:tblCellMar>
        </w:tblPrEx>
        <w:trPr>
          <w:trHeight w:val="254" w:hRule="atLeast"/>
        </w:trPr>
        <w:tc>
          <w:tcPr>
            <w:tcW w:w="1080" w:type="dxa"/>
            <w:tcBorders>
              <w:top w:val="single" w:color="auto" w:sz="4" w:space="0"/>
              <w:left w:val="nil"/>
              <w:bottom w:val="single" w:color="auto" w:sz="4" w:space="0"/>
              <w:right w:val="nil"/>
            </w:tcBorders>
            <w:noWrap/>
            <w:vAlign w:val="center"/>
          </w:tcPr>
          <w:p w14:paraId="4CC65CD7">
            <w:r>
              <w:t>Group</w:t>
            </w:r>
          </w:p>
        </w:tc>
        <w:tc>
          <w:tcPr>
            <w:tcW w:w="1047" w:type="dxa"/>
            <w:tcBorders>
              <w:top w:val="single" w:color="auto" w:sz="4" w:space="0"/>
              <w:left w:val="nil"/>
              <w:bottom w:val="single" w:color="auto" w:sz="4" w:space="0"/>
              <w:right w:val="nil"/>
            </w:tcBorders>
            <w:noWrap/>
            <w:vAlign w:val="center"/>
          </w:tcPr>
          <w:p w14:paraId="70E47D58">
            <w:r>
              <w:t>Sample</w:t>
            </w:r>
          </w:p>
        </w:tc>
        <w:tc>
          <w:tcPr>
            <w:tcW w:w="1417" w:type="dxa"/>
            <w:tcBorders>
              <w:top w:val="single" w:color="auto" w:sz="4" w:space="0"/>
              <w:left w:val="nil"/>
              <w:bottom w:val="single" w:color="auto" w:sz="4" w:space="0"/>
              <w:right w:val="nil"/>
            </w:tcBorders>
            <w:noWrap/>
            <w:vAlign w:val="center"/>
          </w:tcPr>
          <w:p w14:paraId="08A97FA0">
            <w:r>
              <w:t>Concentration</w:t>
            </w:r>
          </w:p>
          <w:p w14:paraId="6991CAE7">
            <w:r>
              <w:t>(ng/μL)</w:t>
            </w:r>
          </w:p>
        </w:tc>
        <w:tc>
          <w:tcPr>
            <w:tcW w:w="866" w:type="dxa"/>
            <w:tcBorders>
              <w:top w:val="single" w:color="auto" w:sz="4" w:space="0"/>
              <w:left w:val="nil"/>
              <w:bottom w:val="single" w:color="auto" w:sz="4" w:space="0"/>
              <w:right w:val="nil"/>
            </w:tcBorders>
            <w:noWrap/>
            <w:vAlign w:val="center"/>
          </w:tcPr>
          <w:p w14:paraId="1921FF73">
            <w:r>
              <w:t>Volume (μL)</w:t>
            </w:r>
          </w:p>
        </w:tc>
        <w:tc>
          <w:tcPr>
            <w:tcW w:w="876" w:type="dxa"/>
            <w:tcBorders>
              <w:top w:val="single" w:color="auto" w:sz="4" w:space="0"/>
              <w:left w:val="nil"/>
              <w:bottom w:val="single" w:color="auto" w:sz="4" w:space="0"/>
              <w:right w:val="nil"/>
            </w:tcBorders>
            <w:noWrap/>
            <w:vAlign w:val="center"/>
          </w:tcPr>
          <w:p w14:paraId="48519819">
            <w:pPr>
              <w:rPr>
                <w:color w:val="000000"/>
                <w:kern w:val="0"/>
                <w:sz w:val="22"/>
              </w:rPr>
            </w:pPr>
            <w:r>
              <w:drawing>
                <wp:inline distT="0" distB="0" distL="0" distR="0">
                  <wp:extent cx="419100" cy="304800"/>
                  <wp:effectExtent l="0" t="0" r="0" b="0"/>
                  <wp:docPr id="2183039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03988"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19100" cy="304800"/>
                          </a:xfrm>
                          <a:prstGeom prst="rect">
                            <a:avLst/>
                          </a:prstGeom>
                          <a:noFill/>
                          <a:ln>
                            <a:noFill/>
                          </a:ln>
                        </pic:spPr>
                      </pic:pic>
                    </a:graphicData>
                  </a:graphic>
                </wp:inline>
              </w:drawing>
            </w:r>
          </w:p>
        </w:tc>
        <w:tc>
          <w:tcPr>
            <w:tcW w:w="951" w:type="dxa"/>
            <w:tcBorders>
              <w:top w:val="single" w:color="auto" w:sz="4" w:space="0"/>
              <w:left w:val="nil"/>
              <w:bottom w:val="single" w:color="auto" w:sz="4" w:space="0"/>
              <w:right w:val="nil"/>
            </w:tcBorders>
            <w:noWrap/>
            <w:vAlign w:val="center"/>
          </w:tcPr>
          <w:p w14:paraId="7D44CF32">
            <w:pPr>
              <w:rPr>
                <w:color w:val="000000"/>
                <w:kern w:val="0"/>
                <w:sz w:val="22"/>
              </w:rPr>
            </w:pPr>
            <w:r>
              <w:drawing>
                <wp:inline distT="0" distB="0" distL="0" distR="0">
                  <wp:extent cx="419100" cy="304800"/>
                  <wp:effectExtent l="0" t="0" r="0" b="0"/>
                  <wp:docPr id="1813822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22122"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19100" cy="304800"/>
                          </a:xfrm>
                          <a:prstGeom prst="rect">
                            <a:avLst/>
                          </a:prstGeom>
                          <a:noFill/>
                          <a:ln>
                            <a:noFill/>
                          </a:ln>
                        </pic:spPr>
                      </pic:pic>
                    </a:graphicData>
                  </a:graphic>
                </wp:inline>
              </w:drawing>
            </w:r>
          </w:p>
        </w:tc>
        <w:tc>
          <w:tcPr>
            <w:tcW w:w="1134" w:type="dxa"/>
            <w:tcBorders>
              <w:top w:val="single" w:color="auto" w:sz="4" w:space="0"/>
              <w:left w:val="nil"/>
              <w:bottom w:val="single" w:color="auto" w:sz="4" w:space="0"/>
              <w:right w:val="nil"/>
            </w:tcBorders>
            <w:noWrap/>
            <w:vAlign w:val="center"/>
          </w:tcPr>
          <w:p w14:paraId="53CDA261">
            <w:r>
              <w:t>Total RNA (μg)</w:t>
            </w:r>
          </w:p>
        </w:tc>
        <w:tc>
          <w:tcPr>
            <w:tcW w:w="851" w:type="dxa"/>
            <w:tcBorders>
              <w:top w:val="single" w:color="auto" w:sz="4" w:space="0"/>
              <w:left w:val="nil"/>
              <w:bottom w:val="single" w:color="auto" w:sz="4" w:space="0"/>
              <w:right w:val="nil"/>
            </w:tcBorders>
            <w:noWrap/>
            <w:vAlign w:val="center"/>
          </w:tcPr>
          <w:p w14:paraId="12DB4EC3">
            <w:r>
              <w:t>RIN</w:t>
            </w:r>
          </w:p>
        </w:tc>
      </w:tr>
      <w:tr w14:paraId="00A790A7">
        <w:tblPrEx>
          <w:tblCellMar>
            <w:top w:w="0" w:type="dxa"/>
            <w:left w:w="108" w:type="dxa"/>
            <w:bottom w:w="0" w:type="dxa"/>
            <w:right w:w="108" w:type="dxa"/>
          </w:tblCellMar>
        </w:tblPrEx>
        <w:trPr>
          <w:trHeight w:val="254" w:hRule="atLeast"/>
        </w:trPr>
        <w:tc>
          <w:tcPr>
            <w:tcW w:w="1080" w:type="dxa"/>
            <w:vMerge w:val="restart"/>
            <w:tcBorders>
              <w:top w:val="nil"/>
              <w:left w:val="nil"/>
              <w:bottom w:val="nil"/>
              <w:right w:val="nil"/>
            </w:tcBorders>
            <w:noWrap/>
          </w:tcPr>
          <w:p w14:paraId="1EE4E3C7">
            <w:r>
              <w:t>N</w:t>
            </w:r>
          </w:p>
        </w:tc>
        <w:tc>
          <w:tcPr>
            <w:tcW w:w="1047" w:type="dxa"/>
            <w:tcBorders>
              <w:top w:val="nil"/>
              <w:left w:val="nil"/>
              <w:bottom w:val="nil"/>
              <w:right w:val="nil"/>
            </w:tcBorders>
            <w:noWrap/>
            <w:vAlign w:val="center"/>
          </w:tcPr>
          <w:p w14:paraId="4E02FCD8">
            <w:r>
              <w:t>AN</w:t>
            </w:r>
          </w:p>
        </w:tc>
        <w:tc>
          <w:tcPr>
            <w:tcW w:w="1417" w:type="dxa"/>
            <w:tcBorders>
              <w:top w:val="nil"/>
              <w:left w:val="nil"/>
              <w:bottom w:val="nil"/>
              <w:right w:val="nil"/>
            </w:tcBorders>
            <w:vAlign w:val="center"/>
          </w:tcPr>
          <w:p w14:paraId="63AADA1C">
            <w:r>
              <w:t>143.52</w:t>
            </w:r>
          </w:p>
        </w:tc>
        <w:tc>
          <w:tcPr>
            <w:tcW w:w="866" w:type="dxa"/>
            <w:tcBorders>
              <w:top w:val="nil"/>
              <w:left w:val="nil"/>
              <w:bottom w:val="nil"/>
              <w:right w:val="nil"/>
            </w:tcBorders>
            <w:vAlign w:val="center"/>
          </w:tcPr>
          <w:p w14:paraId="2C7E56BD">
            <w:r>
              <w:t>38</w:t>
            </w:r>
          </w:p>
        </w:tc>
        <w:tc>
          <w:tcPr>
            <w:tcW w:w="876" w:type="dxa"/>
            <w:tcBorders>
              <w:top w:val="nil"/>
              <w:left w:val="nil"/>
              <w:bottom w:val="nil"/>
              <w:right w:val="nil"/>
            </w:tcBorders>
            <w:vAlign w:val="center"/>
          </w:tcPr>
          <w:p w14:paraId="05D26017">
            <w:r>
              <w:t>2.02</w:t>
            </w:r>
          </w:p>
        </w:tc>
        <w:tc>
          <w:tcPr>
            <w:tcW w:w="951" w:type="dxa"/>
            <w:tcBorders>
              <w:top w:val="nil"/>
              <w:left w:val="nil"/>
              <w:bottom w:val="nil"/>
              <w:right w:val="nil"/>
            </w:tcBorders>
            <w:vAlign w:val="center"/>
          </w:tcPr>
          <w:p w14:paraId="72BCF425">
            <w:r>
              <w:t>0.55</w:t>
            </w:r>
          </w:p>
        </w:tc>
        <w:tc>
          <w:tcPr>
            <w:tcW w:w="1134" w:type="dxa"/>
            <w:tcBorders>
              <w:top w:val="nil"/>
              <w:left w:val="nil"/>
              <w:bottom w:val="nil"/>
              <w:right w:val="nil"/>
            </w:tcBorders>
            <w:vAlign w:val="bottom"/>
          </w:tcPr>
          <w:p w14:paraId="55EF2C92">
            <w:r>
              <w:t>5.45</w:t>
            </w:r>
          </w:p>
        </w:tc>
        <w:tc>
          <w:tcPr>
            <w:tcW w:w="851" w:type="dxa"/>
            <w:tcBorders>
              <w:top w:val="nil"/>
              <w:left w:val="nil"/>
              <w:bottom w:val="nil"/>
              <w:right w:val="nil"/>
            </w:tcBorders>
            <w:vAlign w:val="center"/>
          </w:tcPr>
          <w:p w14:paraId="538DC411">
            <w:r>
              <w:t>9.6</w:t>
            </w:r>
          </w:p>
        </w:tc>
      </w:tr>
      <w:tr w14:paraId="1C4548FC">
        <w:tblPrEx>
          <w:tblCellMar>
            <w:top w:w="0" w:type="dxa"/>
            <w:left w:w="108" w:type="dxa"/>
            <w:bottom w:w="0" w:type="dxa"/>
            <w:right w:w="108" w:type="dxa"/>
          </w:tblCellMar>
        </w:tblPrEx>
        <w:trPr>
          <w:trHeight w:val="254" w:hRule="atLeast"/>
        </w:trPr>
        <w:tc>
          <w:tcPr>
            <w:tcW w:w="0" w:type="auto"/>
            <w:vMerge w:val="continue"/>
            <w:tcBorders>
              <w:top w:val="nil"/>
              <w:left w:val="nil"/>
              <w:bottom w:val="nil"/>
              <w:right w:val="nil"/>
            </w:tcBorders>
            <w:vAlign w:val="center"/>
          </w:tcPr>
          <w:p w14:paraId="37650D4B"/>
        </w:tc>
        <w:tc>
          <w:tcPr>
            <w:tcW w:w="1047" w:type="dxa"/>
            <w:tcBorders>
              <w:top w:val="nil"/>
              <w:left w:val="nil"/>
              <w:bottom w:val="nil"/>
              <w:right w:val="nil"/>
            </w:tcBorders>
            <w:noWrap/>
            <w:vAlign w:val="center"/>
          </w:tcPr>
          <w:p w14:paraId="3ABBB9AF">
            <w:r>
              <w:t>BN</w:t>
            </w:r>
          </w:p>
        </w:tc>
        <w:tc>
          <w:tcPr>
            <w:tcW w:w="1417" w:type="dxa"/>
            <w:tcBorders>
              <w:top w:val="nil"/>
              <w:left w:val="nil"/>
              <w:bottom w:val="nil"/>
              <w:right w:val="nil"/>
            </w:tcBorders>
            <w:vAlign w:val="center"/>
          </w:tcPr>
          <w:p w14:paraId="4ECF3FCC">
            <w:r>
              <w:t>195.84</w:t>
            </w:r>
          </w:p>
        </w:tc>
        <w:tc>
          <w:tcPr>
            <w:tcW w:w="866" w:type="dxa"/>
            <w:tcBorders>
              <w:top w:val="nil"/>
              <w:left w:val="nil"/>
              <w:bottom w:val="nil"/>
              <w:right w:val="nil"/>
            </w:tcBorders>
            <w:vAlign w:val="center"/>
          </w:tcPr>
          <w:p w14:paraId="7FCF4B0C">
            <w:r>
              <w:t>38</w:t>
            </w:r>
          </w:p>
        </w:tc>
        <w:tc>
          <w:tcPr>
            <w:tcW w:w="876" w:type="dxa"/>
            <w:tcBorders>
              <w:top w:val="nil"/>
              <w:left w:val="nil"/>
              <w:bottom w:val="nil"/>
              <w:right w:val="nil"/>
            </w:tcBorders>
            <w:vAlign w:val="center"/>
          </w:tcPr>
          <w:p w14:paraId="4E7F18AC">
            <w:r>
              <w:t>2.06</w:t>
            </w:r>
          </w:p>
        </w:tc>
        <w:tc>
          <w:tcPr>
            <w:tcW w:w="951" w:type="dxa"/>
            <w:tcBorders>
              <w:top w:val="nil"/>
              <w:left w:val="nil"/>
              <w:bottom w:val="nil"/>
              <w:right w:val="nil"/>
            </w:tcBorders>
            <w:vAlign w:val="center"/>
          </w:tcPr>
          <w:p w14:paraId="7CE26E80">
            <w:r>
              <w:t>0.65</w:t>
            </w:r>
          </w:p>
        </w:tc>
        <w:tc>
          <w:tcPr>
            <w:tcW w:w="1134" w:type="dxa"/>
            <w:tcBorders>
              <w:top w:val="nil"/>
              <w:left w:val="nil"/>
              <w:bottom w:val="nil"/>
              <w:right w:val="nil"/>
            </w:tcBorders>
            <w:vAlign w:val="bottom"/>
          </w:tcPr>
          <w:p w14:paraId="15B6138C">
            <w:r>
              <w:t>7.44</w:t>
            </w:r>
          </w:p>
        </w:tc>
        <w:tc>
          <w:tcPr>
            <w:tcW w:w="851" w:type="dxa"/>
            <w:tcBorders>
              <w:top w:val="nil"/>
              <w:left w:val="nil"/>
              <w:bottom w:val="nil"/>
              <w:right w:val="nil"/>
            </w:tcBorders>
            <w:vAlign w:val="center"/>
          </w:tcPr>
          <w:p w14:paraId="05189CD5">
            <w:r>
              <w:t>9.6</w:t>
            </w:r>
          </w:p>
        </w:tc>
      </w:tr>
      <w:tr w14:paraId="3E97F1B9">
        <w:tblPrEx>
          <w:tblCellMar>
            <w:top w:w="0" w:type="dxa"/>
            <w:left w:w="108" w:type="dxa"/>
            <w:bottom w:w="0" w:type="dxa"/>
            <w:right w:w="108" w:type="dxa"/>
          </w:tblCellMar>
        </w:tblPrEx>
        <w:trPr>
          <w:trHeight w:val="254" w:hRule="atLeast"/>
        </w:trPr>
        <w:tc>
          <w:tcPr>
            <w:tcW w:w="0" w:type="auto"/>
            <w:vMerge w:val="continue"/>
            <w:tcBorders>
              <w:top w:val="nil"/>
              <w:left w:val="nil"/>
              <w:bottom w:val="nil"/>
              <w:right w:val="nil"/>
            </w:tcBorders>
            <w:vAlign w:val="center"/>
          </w:tcPr>
          <w:p w14:paraId="290DA877"/>
        </w:tc>
        <w:tc>
          <w:tcPr>
            <w:tcW w:w="1047" w:type="dxa"/>
            <w:tcBorders>
              <w:top w:val="nil"/>
              <w:left w:val="nil"/>
              <w:bottom w:val="nil"/>
              <w:right w:val="nil"/>
            </w:tcBorders>
            <w:noWrap/>
            <w:vAlign w:val="center"/>
          </w:tcPr>
          <w:p w14:paraId="0C04AA8F">
            <w:r>
              <w:t>CN</w:t>
            </w:r>
          </w:p>
        </w:tc>
        <w:tc>
          <w:tcPr>
            <w:tcW w:w="1417" w:type="dxa"/>
            <w:tcBorders>
              <w:top w:val="nil"/>
              <w:left w:val="nil"/>
              <w:bottom w:val="nil"/>
              <w:right w:val="nil"/>
            </w:tcBorders>
            <w:vAlign w:val="center"/>
          </w:tcPr>
          <w:p w14:paraId="2A0FF4CF">
            <w:r>
              <w:t>149.72</w:t>
            </w:r>
          </w:p>
        </w:tc>
        <w:tc>
          <w:tcPr>
            <w:tcW w:w="866" w:type="dxa"/>
            <w:tcBorders>
              <w:top w:val="nil"/>
              <w:left w:val="nil"/>
              <w:bottom w:val="nil"/>
              <w:right w:val="nil"/>
            </w:tcBorders>
            <w:vAlign w:val="center"/>
          </w:tcPr>
          <w:p w14:paraId="412F8044">
            <w:r>
              <w:t>38</w:t>
            </w:r>
          </w:p>
        </w:tc>
        <w:tc>
          <w:tcPr>
            <w:tcW w:w="876" w:type="dxa"/>
            <w:tcBorders>
              <w:top w:val="nil"/>
              <w:left w:val="nil"/>
              <w:bottom w:val="nil"/>
              <w:right w:val="nil"/>
            </w:tcBorders>
            <w:vAlign w:val="center"/>
          </w:tcPr>
          <w:p w14:paraId="56588D17">
            <w:r>
              <w:t>2.09</w:t>
            </w:r>
          </w:p>
        </w:tc>
        <w:tc>
          <w:tcPr>
            <w:tcW w:w="951" w:type="dxa"/>
            <w:tcBorders>
              <w:top w:val="nil"/>
              <w:left w:val="nil"/>
              <w:bottom w:val="nil"/>
              <w:right w:val="nil"/>
            </w:tcBorders>
            <w:vAlign w:val="center"/>
          </w:tcPr>
          <w:p w14:paraId="1E2983C6">
            <w:r>
              <w:t>1.51</w:t>
            </w:r>
          </w:p>
        </w:tc>
        <w:tc>
          <w:tcPr>
            <w:tcW w:w="1134" w:type="dxa"/>
            <w:tcBorders>
              <w:top w:val="nil"/>
              <w:left w:val="nil"/>
              <w:bottom w:val="nil"/>
              <w:right w:val="nil"/>
            </w:tcBorders>
            <w:vAlign w:val="bottom"/>
          </w:tcPr>
          <w:p w14:paraId="39B1034B">
            <w:r>
              <w:t>5.69</w:t>
            </w:r>
          </w:p>
        </w:tc>
        <w:tc>
          <w:tcPr>
            <w:tcW w:w="851" w:type="dxa"/>
            <w:tcBorders>
              <w:top w:val="nil"/>
              <w:left w:val="nil"/>
              <w:bottom w:val="nil"/>
              <w:right w:val="nil"/>
            </w:tcBorders>
            <w:vAlign w:val="center"/>
          </w:tcPr>
          <w:p w14:paraId="56D82F35">
            <w:r>
              <w:t>9.7</w:t>
            </w:r>
          </w:p>
        </w:tc>
      </w:tr>
      <w:tr w14:paraId="0065B4D9">
        <w:tblPrEx>
          <w:tblCellMar>
            <w:top w:w="0" w:type="dxa"/>
            <w:left w:w="108" w:type="dxa"/>
            <w:bottom w:w="0" w:type="dxa"/>
            <w:right w:w="108" w:type="dxa"/>
          </w:tblCellMar>
        </w:tblPrEx>
        <w:trPr>
          <w:trHeight w:val="254" w:hRule="atLeast"/>
        </w:trPr>
        <w:tc>
          <w:tcPr>
            <w:tcW w:w="1080" w:type="dxa"/>
            <w:vMerge w:val="restart"/>
            <w:tcBorders>
              <w:top w:val="nil"/>
              <w:left w:val="nil"/>
              <w:bottom w:val="nil"/>
              <w:right w:val="nil"/>
            </w:tcBorders>
            <w:noWrap/>
          </w:tcPr>
          <w:p w14:paraId="66212E81">
            <w:r>
              <w:t>N15</w:t>
            </w:r>
          </w:p>
        </w:tc>
        <w:tc>
          <w:tcPr>
            <w:tcW w:w="1047" w:type="dxa"/>
            <w:tcBorders>
              <w:top w:val="nil"/>
              <w:left w:val="nil"/>
              <w:bottom w:val="nil"/>
              <w:right w:val="nil"/>
            </w:tcBorders>
            <w:noWrap/>
            <w:vAlign w:val="center"/>
          </w:tcPr>
          <w:p w14:paraId="22020513">
            <w:r>
              <w:t>AN15</w:t>
            </w:r>
          </w:p>
        </w:tc>
        <w:tc>
          <w:tcPr>
            <w:tcW w:w="1417" w:type="dxa"/>
            <w:tcBorders>
              <w:top w:val="nil"/>
              <w:left w:val="nil"/>
              <w:bottom w:val="nil"/>
              <w:right w:val="nil"/>
            </w:tcBorders>
            <w:vAlign w:val="center"/>
          </w:tcPr>
          <w:p w14:paraId="42896732">
            <w:r>
              <w:t>165.16</w:t>
            </w:r>
          </w:p>
        </w:tc>
        <w:tc>
          <w:tcPr>
            <w:tcW w:w="866" w:type="dxa"/>
            <w:tcBorders>
              <w:top w:val="nil"/>
              <w:left w:val="nil"/>
              <w:bottom w:val="nil"/>
              <w:right w:val="nil"/>
            </w:tcBorders>
            <w:vAlign w:val="center"/>
          </w:tcPr>
          <w:p w14:paraId="2C48B2F8">
            <w:r>
              <w:t>38</w:t>
            </w:r>
          </w:p>
        </w:tc>
        <w:tc>
          <w:tcPr>
            <w:tcW w:w="876" w:type="dxa"/>
            <w:tcBorders>
              <w:top w:val="nil"/>
              <w:left w:val="nil"/>
              <w:bottom w:val="nil"/>
              <w:right w:val="nil"/>
            </w:tcBorders>
            <w:vAlign w:val="center"/>
          </w:tcPr>
          <w:p w14:paraId="7C06AAB5">
            <w:r>
              <w:t>2.1</w:t>
            </w:r>
          </w:p>
        </w:tc>
        <w:tc>
          <w:tcPr>
            <w:tcW w:w="951" w:type="dxa"/>
            <w:tcBorders>
              <w:top w:val="nil"/>
              <w:left w:val="nil"/>
              <w:bottom w:val="nil"/>
              <w:right w:val="nil"/>
            </w:tcBorders>
            <w:vAlign w:val="center"/>
          </w:tcPr>
          <w:p w14:paraId="26CFE10F">
            <w:r>
              <w:t>2.08</w:t>
            </w:r>
          </w:p>
        </w:tc>
        <w:tc>
          <w:tcPr>
            <w:tcW w:w="1134" w:type="dxa"/>
            <w:tcBorders>
              <w:top w:val="nil"/>
              <w:left w:val="nil"/>
              <w:bottom w:val="nil"/>
              <w:right w:val="nil"/>
            </w:tcBorders>
            <w:vAlign w:val="bottom"/>
          </w:tcPr>
          <w:p w14:paraId="0FF9C74E">
            <w:r>
              <w:t>6.28</w:t>
            </w:r>
          </w:p>
        </w:tc>
        <w:tc>
          <w:tcPr>
            <w:tcW w:w="851" w:type="dxa"/>
            <w:tcBorders>
              <w:top w:val="nil"/>
              <w:left w:val="nil"/>
              <w:bottom w:val="nil"/>
              <w:right w:val="nil"/>
            </w:tcBorders>
            <w:vAlign w:val="center"/>
          </w:tcPr>
          <w:p w14:paraId="7C5FC06B">
            <w:r>
              <w:t>9.6</w:t>
            </w:r>
          </w:p>
        </w:tc>
      </w:tr>
      <w:tr w14:paraId="1FA5B4A8">
        <w:tblPrEx>
          <w:tblCellMar>
            <w:top w:w="0" w:type="dxa"/>
            <w:left w:w="108" w:type="dxa"/>
            <w:bottom w:w="0" w:type="dxa"/>
            <w:right w:w="108" w:type="dxa"/>
          </w:tblCellMar>
        </w:tblPrEx>
        <w:trPr>
          <w:trHeight w:val="254" w:hRule="atLeast"/>
        </w:trPr>
        <w:tc>
          <w:tcPr>
            <w:tcW w:w="0" w:type="auto"/>
            <w:vMerge w:val="continue"/>
            <w:tcBorders>
              <w:top w:val="nil"/>
              <w:left w:val="nil"/>
              <w:bottom w:val="nil"/>
              <w:right w:val="nil"/>
            </w:tcBorders>
            <w:vAlign w:val="center"/>
          </w:tcPr>
          <w:p w14:paraId="58D79291"/>
        </w:tc>
        <w:tc>
          <w:tcPr>
            <w:tcW w:w="1047" w:type="dxa"/>
            <w:tcBorders>
              <w:top w:val="nil"/>
              <w:left w:val="nil"/>
              <w:bottom w:val="nil"/>
              <w:right w:val="nil"/>
            </w:tcBorders>
            <w:noWrap/>
            <w:vAlign w:val="center"/>
          </w:tcPr>
          <w:p w14:paraId="611EA52F">
            <w:r>
              <w:t xml:space="preserve">BN15 </w:t>
            </w:r>
          </w:p>
        </w:tc>
        <w:tc>
          <w:tcPr>
            <w:tcW w:w="1417" w:type="dxa"/>
            <w:tcBorders>
              <w:top w:val="nil"/>
              <w:left w:val="nil"/>
              <w:bottom w:val="nil"/>
              <w:right w:val="nil"/>
            </w:tcBorders>
            <w:vAlign w:val="center"/>
          </w:tcPr>
          <w:p w14:paraId="6FB3E280">
            <w:r>
              <w:t>292.84</w:t>
            </w:r>
          </w:p>
        </w:tc>
        <w:tc>
          <w:tcPr>
            <w:tcW w:w="866" w:type="dxa"/>
            <w:tcBorders>
              <w:top w:val="nil"/>
              <w:left w:val="nil"/>
              <w:bottom w:val="nil"/>
              <w:right w:val="nil"/>
            </w:tcBorders>
            <w:vAlign w:val="center"/>
          </w:tcPr>
          <w:p w14:paraId="63052DF3">
            <w:r>
              <w:t>38</w:t>
            </w:r>
          </w:p>
        </w:tc>
        <w:tc>
          <w:tcPr>
            <w:tcW w:w="876" w:type="dxa"/>
            <w:tcBorders>
              <w:top w:val="nil"/>
              <w:left w:val="nil"/>
              <w:bottom w:val="nil"/>
              <w:right w:val="nil"/>
            </w:tcBorders>
            <w:vAlign w:val="center"/>
          </w:tcPr>
          <w:p w14:paraId="58C0C161">
            <w:r>
              <w:t>2.08</w:t>
            </w:r>
          </w:p>
        </w:tc>
        <w:tc>
          <w:tcPr>
            <w:tcW w:w="951" w:type="dxa"/>
            <w:tcBorders>
              <w:top w:val="nil"/>
              <w:left w:val="nil"/>
              <w:bottom w:val="nil"/>
              <w:right w:val="nil"/>
            </w:tcBorders>
            <w:vAlign w:val="center"/>
          </w:tcPr>
          <w:p w14:paraId="75C79AF9">
            <w:r>
              <w:t>1.29</w:t>
            </w:r>
          </w:p>
        </w:tc>
        <w:tc>
          <w:tcPr>
            <w:tcW w:w="1134" w:type="dxa"/>
            <w:tcBorders>
              <w:top w:val="nil"/>
              <w:left w:val="nil"/>
              <w:bottom w:val="nil"/>
              <w:right w:val="nil"/>
            </w:tcBorders>
            <w:vAlign w:val="bottom"/>
          </w:tcPr>
          <w:p w14:paraId="05914283">
            <w:r>
              <w:t>11.13</w:t>
            </w:r>
          </w:p>
        </w:tc>
        <w:tc>
          <w:tcPr>
            <w:tcW w:w="851" w:type="dxa"/>
            <w:tcBorders>
              <w:top w:val="nil"/>
              <w:left w:val="nil"/>
              <w:bottom w:val="nil"/>
              <w:right w:val="nil"/>
            </w:tcBorders>
            <w:vAlign w:val="center"/>
          </w:tcPr>
          <w:p w14:paraId="30B15F67">
            <w:r>
              <w:t>8.9</w:t>
            </w:r>
          </w:p>
        </w:tc>
      </w:tr>
      <w:tr w14:paraId="7AC87B13">
        <w:tblPrEx>
          <w:tblCellMar>
            <w:top w:w="0" w:type="dxa"/>
            <w:left w:w="108" w:type="dxa"/>
            <w:bottom w:w="0" w:type="dxa"/>
            <w:right w:w="108" w:type="dxa"/>
          </w:tblCellMar>
        </w:tblPrEx>
        <w:trPr>
          <w:trHeight w:val="254" w:hRule="atLeast"/>
        </w:trPr>
        <w:tc>
          <w:tcPr>
            <w:tcW w:w="0" w:type="auto"/>
            <w:vMerge w:val="continue"/>
            <w:tcBorders>
              <w:top w:val="nil"/>
              <w:left w:val="nil"/>
              <w:bottom w:val="nil"/>
              <w:right w:val="nil"/>
            </w:tcBorders>
            <w:vAlign w:val="center"/>
          </w:tcPr>
          <w:p w14:paraId="33105A63"/>
        </w:tc>
        <w:tc>
          <w:tcPr>
            <w:tcW w:w="1047" w:type="dxa"/>
            <w:tcBorders>
              <w:top w:val="nil"/>
              <w:left w:val="nil"/>
              <w:bottom w:val="nil"/>
              <w:right w:val="nil"/>
            </w:tcBorders>
            <w:noWrap/>
            <w:vAlign w:val="center"/>
          </w:tcPr>
          <w:p w14:paraId="15685B23">
            <w:r>
              <w:t xml:space="preserve">CN15 </w:t>
            </w:r>
          </w:p>
        </w:tc>
        <w:tc>
          <w:tcPr>
            <w:tcW w:w="1417" w:type="dxa"/>
            <w:tcBorders>
              <w:top w:val="nil"/>
              <w:left w:val="nil"/>
              <w:bottom w:val="nil"/>
              <w:right w:val="nil"/>
            </w:tcBorders>
            <w:vAlign w:val="center"/>
          </w:tcPr>
          <w:p w14:paraId="5F7D1904">
            <w:r>
              <w:t>141.04</w:t>
            </w:r>
          </w:p>
        </w:tc>
        <w:tc>
          <w:tcPr>
            <w:tcW w:w="866" w:type="dxa"/>
            <w:tcBorders>
              <w:top w:val="nil"/>
              <w:left w:val="nil"/>
              <w:bottom w:val="nil"/>
              <w:right w:val="nil"/>
            </w:tcBorders>
            <w:vAlign w:val="center"/>
          </w:tcPr>
          <w:p w14:paraId="5D359D58">
            <w:r>
              <w:t>38</w:t>
            </w:r>
          </w:p>
        </w:tc>
        <w:tc>
          <w:tcPr>
            <w:tcW w:w="876" w:type="dxa"/>
            <w:tcBorders>
              <w:top w:val="nil"/>
              <w:left w:val="nil"/>
              <w:bottom w:val="nil"/>
              <w:right w:val="nil"/>
            </w:tcBorders>
            <w:vAlign w:val="center"/>
          </w:tcPr>
          <w:p w14:paraId="6CE23293">
            <w:r>
              <w:t>2.1</w:t>
            </w:r>
          </w:p>
        </w:tc>
        <w:tc>
          <w:tcPr>
            <w:tcW w:w="951" w:type="dxa"/>
            <w:tcBorders>
              <w:top w:val="nil"/>
              <w:left w:val="nil"/>
              <w:bottom w:val="nil"/>
              <w:right w:val="nil"/>
            </w:tcBorders>
            <w:vAlign w:val="center"/>
          </w:tcPr>
          <w:p w14:paraId="3CBB2A0A">
            <w:r>
              <w:t>0.68</w:t>
            </w:r>
          </w:p>
        </w:tc>
        <w:tc>
          <w:tcPr>
            <w:tcW w:w="1134" w:type="dxa"/>
            <w:tcBorders>
              <w:top w:val="nil"/>
              <w:left w:val="nil"/>
              <w:bottom w:val="nil"/>
              <w:right w:val="nil"/>
            </w:tcBorders>
            <w:vAlign w:val="bottom"/>
          </w:tcPr>
          <w:p w14:paraId="73488630">
            <w:r>
              <w:t>5.36</w:t>
            </w:r>
          </w:p>
        </w:tc>
        <w:tc>
          <w:tcPr>
            <w:tcW w:w="851" w:type="dxa"/>
            <w:tcBorders>
              <w:top w:val="nil"/>
              <w:left w:val="nil"/>
              <w:bottom w:val="nil"/>
              <w:right w:val="nil"/>
            </w:tcBorders>
            <w:vAlign w:val="center"/>
          </w:tcPr>
          <w:p w14:paraId="4050E75C">
            <w:r>
              <w:t>7.6</w:t>
            </w:r>
          </w:p>
        </w:tc>
      </w:tr>
      <w:tr w14:paraId="750B16FF">
        <w:tblPrEx>
          <w:tblCellMar>
            <w:top w:w="0" w:type="dxa"/>
            <w:left w:w="108" w:type="dxa"/>
            <w:bottom w:w="0" w:type="dxa"/>
            <w:right w:w="108" w:type="dxa"/>
          </w:tblCellMar>
        </w:tblPrEx>
        <w:trPr>
          <w:trHeight w:val="254" w:hRule="atLeast"/>
        </w:trPr>
        <w:tc>
          <w:tcPr>
            <w:tcW w:w="1080" w:type="dxa"/>
            <w:vMerge w:val="restart"/>
            <w:tcBorders>
              <w:top w:val="nil"/>
              <w:left w:val="nil"/>
              <w:bottom w:val="single" w:color="000000" w:sz="4" w:space="0"/>
              <w:right w:val="nil"/>
            </w:tcBorders>
            <w:noWrap/>
          </w:tcPr>
          <w:p w14:paraId="7826931E">
            <w:r>
              <w:t>NT</w:t>
            </w:r>
          </w:p>
        </w:tc>
        <w:tc>
          <w:tcPr>
            <w:tcW w:w="1047" w:type="dxa"/>
            <w:tcBorders>
              <w:top w:val="nil"/>
              <w:left w:val="nil"/>
              <w:bottom w:val="nil"/>
              <w:right w:val="nil"/>
            </w:tcBorders>
            <w:noWrap/>
            <w:vAlign w:val="center"/>
          </w:tcPr>
          <w:p w14:paraId="7AE6D29E">
            <w:r>
              <w:t>ANT</w:t>
            </w:r>
          </w:p>
        </w:tc>
        <w:tc>
          <w:tcPr>
            <w:tcW w:w="1417" w:type="dxa"/>
            <w:tcBorders>
              <w:top w:val="nil"/>
              <w:left w:val="nil"/>
              <w:bottom w:val="nil"/>
              <w:right w:val="nil"/>
            </w:tcBorders>
            <w:vAlign w:val="center"/>
          </w:tcPr>
          <w:p w14:paraId="042AE6D2">
            <w:r>
              <w:t>178.76</w:t>
            </w:r>
          </w:p>
        </w:tc>
        <w:tc>
          <w:tcPr>
            <w:tcW w:w="866" w:type="dxa"/>
            <w:tcBorders>
              <w:top w:val="nil"/>
              <w:left w:val="nil"/>
              <w:bottom w:val="nil"/>
              <w:right w:val="nil"/>
            </w:tcBorders>
            <w:vAlign w:val="center"/>
          </w:tcPr>
          <w:p w14:paraId="7CE5BDA8">
            <w:r>
              <w:t>38</w:t>
            </w:r>
          </w:p>
        </w:tc>
        <w:tc>
          <w:tcPr>
            <w:tcW w:w="876" w:type="dxa"/>
            <w:tcBorders>
              <w:top w:val="nil"/>
              <w:left w:val="nil"/>
              <w:bottom w:val="nil"/>
              <w:right w:val="nil"/>
            </w:tcBorders>
            <w:vAlign w:val="center"/>
          </w:tcPr>
          <w:p w14:paraId="14A9DF27">
            <w:r>
              <w:t>2.09</w:t>
            </w:r>
          </w:p>
        </w:tc>
        <w:tc>
          <w:tcPr>
            <w:tcW w:w="951" w:type="dxa"/>
            <w:tcBorders>
              <w:top w:val="nil"/>
              <w:left w:val="nil"/>
              <w:bottom w:val="nil"/>
              <w:right w:val="nil"/>
            </w:tcBorders>
            <w:vAlign w:val="center"/>
          </w:tcPr>
          <w:p w14:paraId="53E29E3A">
            <w:r>
              <w:t>2.01</w:t>
            </w:r>
          </w:p>
        </w:tc>
        <w:tc>
          <w:tcPr>
            <w:tcW w:w="1134" w:type="dxa"/>
            <w:tcBorders>
              <w:top w:val="nil"/>
              <w:left w:val="nil"/>
              <w:bottom w:val="nil"/>
              <w:right w:val="nil"/>
            </w:tcBorders>
            <w:vAlign w:val="bottom"/>
          </w:tcPr>
          <w:p w14:paraId="37DD06B7">
            <w:r>
              <w:t>6.79</w:t>
            </w:r>
          </w:p>
        </w:tc>
        <w:tc>
          <w:tcPr>
            <w:tcW w:w="851" w:type="dxa"/>
            <w:tcBorders>
              <w:top w:val="nil"/>
              <w:left w:val="nil"/>
              <w:bottom w:val="nil"/>
              <w:right w:val="nil"/>
            </w:tcBorders>
            <w:vAlign w:val="center"/>
          </w:tcPr>
          <w:p w14:paraId="355766AF">
            <w:r>
              <w:t>9.6</w:t>
            </w:r>
          </w:p>
        </w:tc>
      </w:tr>
      <w:tr w14:paraId="5C2A3C46">
        <w:tblPrEx>
          <w:tblCellMar>
            <w:top w:w="0" w:type="dxa"/>
            <w:left w:w="108" w:type="dxa"/>
            <w:bottom w:w="0" w:type="dxa"/>
            <w:right w:w="108" w:type="dxa"/>
          </w:tblCellMar>
        </w:tblPrEx>
        <w:trPr>
          <w:trHeight w:val="254" w:hRule="atLeast"/>
        </w:trPr>
        <w:tc>
          <w:tcPr>
            <w:tcW w:w="0" w:type="auto"/>
            <w:vMerge w:val="continue"/>
            <w:tcBorders>
              <w:top w:val="nil"/>
              <w:left w:val="nil"/>
              <w:bottom w:val="single" w:color="000000" w:sz="4" w:space="0"/>
              <w:right w:val="nil"/>
            </w:tcBorders>
            <w:vAlign w:val="center"/>
          </w:tcPr>
          <w:p w14:paraId="457E2328"/>
        </w:tc>
        <w:tc>
          <w:tcPr>
            <w:tcW w:w="1047" w:type="dxa"/>
            <w:tcBorders>
              <w:top w:val="nil"/>
              <w:left w:val="nil"/>
              <w:bottom w:val="nil"/>
              <w:right w:val="nil"/>
            </w:tcBorders>
            <w:noWrap/>
            <w:vAlign w:val="center"/>
          </w:tcPr>
          <w:p w14:paraId="13178C60">
            <w:r>
              <w:t>BNT</w:t>
            </w:r>
          </w:p>
        </w:tc>
        <w:tc>
          <w:tcPr>
            <w:tcW w:w="1417" w:type="dxa"/>
            <w:tcBorders>
              <w:top w:val="nil"/>
              <w:left w:val="nil"/>
              <w:bottom w:val="nil"/>
              <w:right w:val="nil"/>
            </w:tcBorders>
            <w:vAlign w:val="center"/>
          </w:tcPr>
          <w:p w14:paraId="0971065C">
            <w:r>
              <w:t>188.24</w:t>
            </w:r>
          </w:p>
        </w:tc>
        <w:tc>
          <w:tcPr>
            <w:tcW w:w="866" w:type="dxa"/>
            <w:tcBorders>
              <w:top w:val="nil"/>
              <w:left w:val="nil"/>
              <w:bottom w:val="nil"/>
              <w:right w:val="nil"/>
            </w:tcBorders>
            <w:vAlign w:val="center"/>
          </w:tcPr>
          <w:p w14:paraId="500DB5D6">
            <w:r>
              <w:t>38</w:t>
            </w:r>
          </w:p>
        </w:tc>
        <w:tc>
          <w:tcPr>
            <w:tcW w:w="876" w:type="dxa"/>
            <w:tcBorders>
              <w:top w:val="nil"/>
              <w:left w:val="nil"/>
              <w:bottom w:val="nil"/>
              <w:right w:val="nil"/>
            </w:tcBorders>
            <w:vAlign w:val="center"/>
          </w:tcPr>
          <w:p w14:paraId="3905B858">
            <w:r>
              <w:t>2</w:t>
            </w:r>
          </w:p>
        </w:tc>
        <w:tc>
          <w:tcPr>
            <w:tcW w:w="951" w:type="dxa"/>
            <w:tcBorders>
              <w:top w:val="nil"/>
              <w:left w:val="nil"/>
              <w:bottom w:val="nil"/>
              <w:right w:val="nil"/>
            </w:tcBorders>
            <w:vAlign w:val="center"/>
          </w:tcPr>
          <w:p w14:paraId="2B7DED80">
            <w:r>
              <w:t>0.43</w:t>
            </w:r>
          </w:p>
        </w:tc>
        <w:tc>
          <w:tcPr>
            <w:tcW w:w="1134" w:type="dxa"/>
            <w:tcBorders>
              <w:top w:val="nil"/>
              <w:left w:val="nil"/>
              <w:bottom w:val="nil"/>
              <w:right w:val="nil"/>
            </w:tcBorders>
            <w:vAlign w:val="bottom"/>
          </w:tcPr>
          <w:p w14:paraId="190CFFB3">
            <w:r>
              <w:t>7.15</w:t>
            </w:r>
          </w:p>
        </w:tc>
        <w:tc>
          <w:tcPr>
            <w:tcW w:w="851" w:type="dxa"/>
            <w:tcBorders>
              <w:top w:val="nil"/>
              <w:left w:val="nil"/>
              <w:bottom w:val="nil"/>
              <w:right w:val="nil"/>
            </w:tcBorders>
            <w:vAlign w:val="center"/>
          </w:tcPr>
          <w:p w14:paraId="22BA3259">
            <w:r>
              <w:t>10</w:t>
            </w:r>
          </w:p>
        </w:tc>
      </w:tr>
      <w:tr w14:paraId="3DA6CA79">
        <w:tblPrEx>
          <w:tblCellMar>
            <w:top w:w="0" w:type="dxa"/>
            <w:left w:w="108" w:type="dxa"/>
            <w:bottom w:w="0" w:type="dxa"/>
            <w:right w:w="108" w:type="dxa"/>
          </w:tblCellMar>
        </w:tblPrEx>
        <w:trPr>
          <w:trHeight w:val="254" w:hRule="atLeast"/>
        </w:trPr>
        <w:tc>
          <w:tcPr>
            <w:tcW w:w="0" w:type="auto"/>
            <w:vMerge w:val="continue"/>
            <w:tcBorders>
              <w:top w:val="nil"/>
              <w:left w:val="nil"/>
              <w:bottom w:val="single" w:color="000000" w:sz="4" w:space="0"/>
              <w:right w:val="nil"/>
            </w:tcBorders>
            <w:vAlign w:val="center"/>
          </w:tcPr>
          <w:p w14:paraId="5B572F42"/>
        </w:tc>
        <w:tc>
          <w:tcPr>
            <w:tcW w:w="1047" w:type="dxa"/>
            <w:tcBorders>
              <w:top w:val="nil"/>
              <w:left w:val="nil"/>
              <w:bottom w:val="single" w:color="auto" w:sz="4" w:space="0"/>
              <w:right w:val="nil"/>
            </w:tcBorders>
            <w:noWrap/>
            <w:vAlign w:val="center"/>
          </w:tcPr>
          <w:p w14:paraId="3ABCCB0C">
            <w:r>
              <w:t>CNT</w:t>
            </w:r>
          </w:p>
        </w:tc>
        <w:tc>
          <w:tcPr>
            <w:tcW w:w="1417" w:type="dxa"/>
            <w:tcBorders>
              <w:top w:val="nil"/>
              <w:left w:val="nil"/>
              <w:bottom w:val="single" w:color="auto" w:sz="4" w:space="0"/>
              <w:right w:val="nil"/>
            </w:tcBorders>
            <w:vAlign w:val="center"/>
          </w:tcPr>
          <w:p w14:paraId="77C65D8D">
            <w:r>
              <w:t>136.28</w:t>
            </w:r>
          </w:p>
        </w:tc>
        <w:tc>
          <w:tcPr>
            <w:tcW w:w="866" w:type="dxa"/>
            <w:tcBorders>
              <w:top w:val="nil"/>
              <w:left w:val="nil"/>
              <w:bottom w:val="single" w:color="auto" w:sz="4" w:space="0"/>
              <w:right w:val="nil"/>
            </w:tcBorders>
            <w:vAlign w:val="center"/>
          </w:tcPr>
          <w:p w14:paraId="0FFFF465">
            <w:r>
              <w:t>38</w:t>
            </w:r>
          </w:p>
        </w:tc>
        <w:tc>
          <w:tcPr>
            <w:tcW w:w="876" w:type="dxa"/>
            <w:tcBorders>
              <w:top w:val="nil"/>
              <w:left w:val="nil"/>
              <w:bottom w:val="single" w:color="auto" w:sz="4" w:space="0"/>
              <w:right w:val="nil"/>
            </w:tcBorders>
            <w:vAlign w:val="center"/>
          </w:tcPr>
          <w:p w14:paraId="694F7811">
            <w:r>
              <w:t>1.88</w:t>
            </w:r>
          </w:p>
        </w:tc>
        <w:tc>
          <w:tcPr>
            <w:tcW w:w="951" w:type="dxa"/>
            <w:tcBorders>
              <w:top w:val="nil"/>
              <w:left w:val="nil"/>
              <w:bottom w:val="single" w:color="auto" w:sz="4" w:space="0"/>
              <w:right w:val="nil"/>
            </w:tcBorders>
            <w:vAlign w:val="center"/>
          </w:tcPr>
          <w:p w14:paraId="28BE18EA">
            <w:r>
              <w:t>0.52</w:t>
            </w:r>
          </w:p>
        </w:tc>
        <w:tc>
          <w:tcPr>
            <w:tcW w:w="1134" w:type="dxa"/>
            <w:tcBorders>
              <w:top w:val="nil"/>
              <w:left w:val="nil"/>
              <w:bottom w:val="single" w:color="auto" w:sz="4" w:space="0"/>
              <w:right w:val="nil"/>
            </w:tcBorders>
            <w:vAlign w:val="bottom"/>
          </w:tcPr>
          <w:p w14:paraId="1FCEA2B3">
            <w:r>
              <w:t>5.18</w:t>
            </w:r>
          </w:p>
        </w:tc>
        <w:tc>
          <w:tcPr>
            <w:tcW w:w="851" w:type="dxa"/>
            <w:tcBorders>
              <w:top w:val="nil"/>
              <w:left w:val="nil"/>
              <w:bottom w:val="single" w:color="auto" w:sz="4" w:space="0"/>
              <w:right w:val="nil"/>
            </w:tcBorders>
            <w:vAlign w:val="center"/>
          </w:tcPr>
          <w:p w14:paraId="554470C3">
            <w:r>
              <w:t>10</w:t>
            </w:r>
          </w:p>
        </w:tc>
      </w:tr>
    </w:tbl>
    <w:p w14:paraId="42B2516F"/>
    <w:p w14:paraId="4DEAE21F">
      <w:bookmarkStart w:id="27" w:name="OLE_LINK4"/>
      <w:r>
        <w:br w:type="page"/>
      </w:r>
    </w:p>
    <w:p w14:paraId="46F18E16">
      <w:pPr>
        <w:rPr>
          <w:b/>
        </w:rPr>
      </w:pPr>
      <w:r>
        <w:rPr>
          <w:b/>
        </w:rPr>
        <w:t>Supplementary Table</w:t>
      </w:r>
      <w:bookmarkEnd w:id="27"/>
      <w:r>
        <w:rPr>
          <w:b/>
        </w:rPr>
        <w:t xml:space="preserve"> 5. N_</w:t>
      </w:r>
      <w:r>
        <w:rPr>
          <w:b/>
          <w:i/>
          <w:iCs/>
        </w:rPr>
        <w:t>vs</w:t>
      </w:r>
      <w:r>
        <w:rPr>
          <w:b/>
        </w:rPr>
        <w:t>_NT GO Enrichment (Molecular Function)</w:t>
      </w:r>
    </w:p>
    <w:tbl>
      <w:tblPr>
        <w:tblStyle w:val="6"/>
        <w:tblW w:w="8364" w:type="dxa"/>
        <w:jc w:val="center"/>
        <w:tblLayout w:type="fixed"/>
        <w:tblCellMar>
          <w:top w:w="0" w:type="dxa"/>
          <w:left w:w="108" w:type="dxa"/>
          <w:bottom w:w="0" w:type="dxa"/>
          <w:right w:w="108" w:type="dxa"/>
        </w:tblCellMar>
      </w:tblPr>
      <w:tblGrid>
        <w:gridCol w:w="1418"/>
        <w:gridCol w:w="1984"/>
        <w:gridCol w:w="1276"/>
        <w:gridCol w:w="1418"/>
        <w:gridCol w:w="1134"/>
        <w:gridCol w:w="1134"/>
      </w:tblGrid>
      <w:tr w14:paraId="570076D7">
        <w:tblPrEx>
          <w:tblCellMar>
            <w:top w:w="0" w:type="dxa"/>
            <w:left w:w="108" w:type="dxa"/>
            <w:bottom w:w="0" w:type="dxa"/>
            <w:right w:w="108" w:type="dxa"/>
          </w:tblCellMar>
        </w:tblPrEx>
        <w:trPr>
          <w:trHeight w:val="483" w:hRule="atLeast"/>
          <w:jc w:val="center"/>
        </w:trPr>
        <w:tc>
          <w:tcPr>
            <w:tcW w:w="1418" w:type="dxa"/>
            <w:tcBorders>
              <w:top w:val="single" w:color="auto" w:sz="4" w:space="0"/>
              <w:left w:val="nil"/>
              <w:bottom w:val="single" w:color="auto" w:sz="4" w:space="0"/>
              <w:right w:val="nil"/>
            </w:tcBorders>
            <w:shd w:val="clear" w:color="auto" w:fill="auto"/>
            <w:vAlign w:val="center"/>
          </w:tcPr>
          <w:p w14:paraId="3BE4BF21">
            <w:r>
              <w:t>GO ID</w:t>
            </w:r>
          </w:p>
        </w:tc>
        <w:tc>
          <w:tcPr>
            <w:tcW w:w="1984" w:type="dxa"/>
            <w:tcBorders>
              <w:top w:val="single" w:color="auto" w:sz="4" w:space="0"/>
              <w:left w:val="nil"/>
              <w:bottom w:val="single" w:color="auto" w:sz="4" w:space="0"/>
              <w:right w:val="nil"/>
            </w:tcBorders>
            <w:shd w:val="clear" w:color="auto" w:fill="auto"/>
            <w:vAlign w:val="center"/>
          </w:tcPr>
          <w:p w14:paraId="5185265C">
            <w:r>
              <w:t>Description</w:t>
            </w:r>
          </w:p>
        </w:tc>
        <w:tc>
          <w:tcPr>
            <w:tcW w:w="1276" w:type="dxa"/>
            <w:tcBorders>
              <w:top w:val="single" w:color="auto" w:sz="4" w:space="0"/>
              <w:left w:val="nil"/>
              <w:bottom w:val="single" w:color="auto" w:sz="4" w:space="0"/>
              <w:right w:val="nil"/>
            </w:tcBorders>
            <w:shd w:val="clear" w:color="auto" w:fill="auto"/>
            <w:vAlign w:val="center"/>
          </w:tcPr>
          <w:p w14:paraId="7C1D7B4C">
            <w:r>
              <w:t>GeneRatio (251)</w:t>
            </w:r>
          </w:p>
        </w:tc>
        <w:tc>
          <w:tcPr>
            <w:tcW w:w="1418" w:type="dxa"/>
            <w:tcBorders>
              <w:top w:val="single" w:color="auto" w:sz="4" w:space="0"/>
              <w:left w:val="nil"/>
              <w:bottom w:val="single" w:color="auto" w:sz="4" w:space="0"/>
              <w:right w:val="nil"/>
            </w:tcBorders>
            <w:shd w:val="clear" w:color="auto" w:fill="auto"/>
            <w:vAlign w:val="center"/>
          </w:tcPr>
          <w:p w14:paraId="121017AF">
            <w:r>
              <w:t>BgRatio (1871)</w:t>
            </w:r>
          </w:p>
        </w:tc>
        <w:tc>
          <w:tcPr>
            <w:tcW w:w="1134" w:type="dxa"/>
            <w:tcBorders>
              <w:top w:val="single" w:color="auto" w:sz="4" w:space="0"/>
              <w:left w:val="nil"/>
              <w:bottom w:val="single" w:color="auto" w:sz="4" w:space="0"/>
              <w:right w:val="nil"/>
            </w:tcBorders>
            <w:shd w:val="clear" w:color="auto" w:fill="auto"/>
            <w:vAlign w:val="center"/>
          </w:tcPr>
          <w:p w14:paraId="0E695ED5">
            <w:r>
              <w:t>P value</w:t>
            </w:r>
          </w:p>
        </w:tc>
        <w:tc>
          <w:tcPr>
            <w:tcW w:w="1134" w:type="dxa"/>
            <w:tcBorders>
              <w:top w:val="single" w:color="auto" w:sz="4" w:space="0"/>
              <w:left w:val="nil"/>
              <w:bottom w:val="single" w:color="auto" w:sz="4" w:space="0"/>
              <w:right w:val="nil"/>
            </w:tcBorders>
            <w:shd w:val="clear" w:color="auto" w:fill="auto"/>
            <w:vAlign w:val="center"/>
          </w:tcPr>
          <w:p w14:paraId="7B67C513">
            <w:r>
              <w:t>q value</w:t>
            </w:r>
          </w:p>
        </w:tc>
      </w:tr>
      <w:tr w14:paraId="51B4CBB4">
        <w:tblPrEx>
          <w:tblCellMar>
            <w:top w:w="0" w:type="dxa"/>
            <w:left w:w="108" w:type="dxa"/>
            <w:bottom w:w="0" w:type="dxa"/>
            <w:right w:w="108" w:type="dxa"/>
          </w:tblCellMar>
        </w:tblPrEx>
        <w:trPr>
          <w:trHeight w:val="394" w:hRule="atLeast"/>
          <w:jc w:val="center"/>
        </w:trPr>
        <w:tc>
          <w:tcPr>
            <w:tcW w:w="1418" w:type="dxa"/>
            <w:tcBorders>
              <w:top w:val="nil"/>
              <w:left w:val="nil"/>
              <w:bottom w:val="nil"/>
              <w:right w:val="nil"/>
            </w:tcBorders>
            <w:shd w:val="clear" w:color="auto" w:fill="auto"/>
          </w:tcPr>
          <w:p w14:paraId="47DC0992">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F.html" \l "gene1" \o "click to view genes" </w:instrText>
            </w:r>
            <w:r>
              <w:fldChar w:fldCharType="separate"/>
            </w:r>
            <w:r>
              <w:t>GO:0016301</w:t>
            </w:r>
            <w:r>
              <w:fldChar w:fldCharType="end"/>
            </w:r>
          </w:p>
        </w:tc>
        <w:tc>
          <w:tcPr>
            <w:tcW w:w="1984" w:type="dxa"/>
            <w:tcBorders>
              <w:top w:val="nil"/>
              <w:left w:val="nil"/>
              <w:bottom w:val="nil"/>
              <w:right w:val="nil"/>
            </w:tcBorders>
            <w:shd w:val="clear" w:color="auto" w:fill="auto"/>
          </w:tcPr>
          <w:p w14:paraId="5F67FC5B">
            <w:r>
              <w:t>kinase activity</w:t>
            </w:r>
          </w:p>
        </w:tc>
        <w:tc>
          <w:tcPr>
            <w:tcW w:w="1276" w:type="dxa"/>
            <w:tcBorders>
              <w:top w:val="nil"/>
              <w:left w:val="nil"/>
              <w:bottom w:val="nil"/>
              <w:right w:val="nil"/>
            </w:tcBorders>
            <w:shd w:val="clear" w:color="auto" w:fill="auto"/>
          </w:tcPr>
          <w:p w14:paraId="3349127D">
            <w:r>
              <w:t>27 (10.76%)</w:t>
            </w:r>
          </w:p>
        </w:tc>
        <w:tc>
          <w:tcPr>
            <w:tcW w:w="1418" w:type="dxa"/>
            <w:tcBorders>
              <w:top w:val="nil"/>
              <w:left w:val="nil"/>
              <w:bottom w:val="nil"/>
              <w:right w:val="nil"/>
            </w:tcBorders>
            <w:shd w:val="clear" w:color="auto" w:fill="auto"/>
          </w:tcPr>
          <w:p w14:paraId="155720AD">
            <w:r>
              <w:t>100 (5.34%)</w:t>
            </w:r>
          </w:p>
        </w:tc>
        <w:tc>
          <w:tcPr>
            <w:tcW w:w="1134" w:type="dxa"/>
            <w:tcBorders>
              <w:top w:val="nil"/>
              <w:left w:val="nil"/>
              <w:bottom w:val="nil"/>
              <w:right w:val="nil"/>
            </w:tcBorders>
            <w:shd w:val="clear" w:color="auto" w:fill="auto"/>
          </w:tcPr>
          <w:p w14:paraId="4A8D4977">
            <w:r>
              <w:t>0.000153</w:t>
            </w:r>
          </w:p>
        </w:tc>
        <w:tc>
          <w:tcPr>
            <w:tcW w:w="1134" w:type="dxa"/>
            <w:tcBorders>
              <w:top w:val="nil"/>
              <w:left w:val="nil"/>
              <w:bottom w:val="nil"/>
              <w:right w:val="nil"/>
            </w:tcBorders>
            <w:shd w:val="clear" w:color="auto" w:fill="auto"/>
          </w:tcPr>
          <w:p w14:paraId="2948320C">
            <w:r>
              <w:t>0.008405</w:t>
            </w:r>
          </w:p>
        </w:tc>
      </w:tr>
      <w:tr w14:paraId="06DE36F3">
        <w:tblPrEx>
          <w:tblCellMar>
            <w:top w:w="0" w:type="dxa"/>
            <w:left w:w="108" w:type="dxa"/>
            <w:bottom w:w="0" w:type="dxa"/>
            <w:right w:w="108" w:type="dxa"/>
          </w:tblCellMar>
        </w:tblPrEx>
        <w:trPr>
          <w:trHeight w:val="1143" w:hRule="atLeast"/>
          <w:jc w:val="center"/>
        </w:trPr>
        <w:tc>
          <w:tcPr>
            <w:tcW w:w="1418" w:type="dxa"/>
            <w:tcBorders>
              <w:top w:val="nil"/>
              <w:left w:val="nil"/>
              <w:bottom w:val="nil"/>
              <w:right w:val="nil"/>
            </w:tcBorders>
            <w:shd w:val="clear" w:color="auto" w:fill="auto"/>
          </w:tcPr>
          <w:p w14:paraId="1FF78DF6">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F.html" \l "gene2" \o "click to view genes" </w:instrText>
            </w:r>
            <w:r>
              <w:fldChar w:fldCharType="separate"/>
            </w:r>
            <w:r>
              <w:t>GO:0016772</w:t>
            </w:r>
            <w:r>
              <w:fldChar w:fldCharType="end"/>
            </w:r>
          </w:p>
        </w:tc>
        <w:tc>
          <w:tcPr>
            <w:tcW w:w="1984" w:type="dxa"/>
            <w:tcBorders>
              <w:top w:val="nil"/>
              <w:left w:val="nil"/>
              <w:bottom w:val="nil"/>
              <w:right w:val="nil"/>
            </w:tcBorders>
            <w:shd w:val="clear" w:color="auto" w:fill="auto"/>
          </w:tcPr>
          <w:p w14:paraId="770DDA79">
            <w:r>
              <w:t>transferase activity, transferring phosphorus-containing groups</w:t>
            </w:r>
          </w:p>
        </w:tc>
        <w:tc>
          <w:tcPr>
            <w:tcW w:w="1276" w:type="dxa"/>
            <w:tcBorders>
              <w:top w:val="nil"/>
              <w:left w:val="nil"/>
              <w:bottom w:val="nil"/>
              <w:right w:val="nil"/>
            </w:tcBorders>
            <w:shd w:val="clear" w:color="auto" w:fill="auto"/>
          </w:tcPr>
          <w:p w14:paraId="6983586E">
            <w:r>
              <w:t>29 (11.55%)</w:t>
            </w:r>
          </w:p>
        </w:tc>
        <w:tc>
          <w:tcPr>
            <w:tcW w:w="1418" w:type="dxa"/>
            <w:tcBorders>
              <w:top w:val="nil"/>
              <w:left w:val="nil"/>
              <w:bottom w:val="nil"/>
              <w:right w:val="nil"/>
            </w:tcBorders>
            <w:shd w:val="clear" w:color="auto" w:fill="auto"/>
          </w:tcPr>
          <w:p w14:paraId="6EE45331">
            <w:r>
              <w:t>115 (6.15%)</w:t>
            </w:r>
          </w:p>
        </w:tc>
        <w:tc>
          <w:tcPr>
            <w:tcW w:w="1134" w:type="dxa"/>
            <w:tcBorders>
              <w:top w:val="nil"/>
              <w:left w:val="nil"/>
              <w:bottom w:val="nil"/>
              <w:right w:val="nil"/>
            </w:tcBorders>
            <w:shd w:val="clear" w:color="auto" w:fill="auto"/>
          </w:tcPr>
          <w:p w14:paraId="485879D5">
            <w:r>
              <w:t>0.000319</w:t>
            </w:r>
          </w:p>
        </w:tc>
        <w:tc>
          <w:tcPr>
            <w:tcW w:w="1134" w:type="dxa"/>
            <w:tcBorders>
              <w:top w:val="nil"/>
              <w:left w:val="nil"/>
              <w:bottom w:val="nil"/>
              <w:right w:val="nil"/>
            </w:tcBorders>
            <w:shd w:val="clear" w:color="auto" w:fill="auto"/>
          </w:tcPr>
          <w:p w14:paraId="0546C41D">
            <w:r>
              <w:t>0.008784</w:t>
            </w:r>
          </w:p>
        </w:tc>
      </w:tr>
      <w:tr w14:paraId="585F5244">
        <w:tblPrEx>
          <w:tblCellMar>
            <w:top w:w="0" w:type="dxa"/>
            <w:left w:w="108" w:type="dxa"/>
            <w:bottom w:w="0" w:type="dxa"/>
            <w:right w:w="108" w:type="dxa"/>
          </w:tblCellMar>
        </w:tblPrEx>
        <w:trPr>
          <w:trHeight w:val="724" w:hRule="atLeast"/>
          <w:jc w:val="center"/>
        </w:trPr>
        <w:tc>
          <w:tcPr>
            <w:tcW w:w="1418" w:type="dxa"/>
            <w:tcBorders>
              <w:top w:val="nil"/>
              <w:left w:val="nil"/>
              <w:bottom w:val="nil"/>
              <w:right w:val="nil"/>
            </w:tcBorders>
            <w:shd w:val="clear" w:color="auto" w:fill="auto"/>
          </w:tcPr>
          <w:p w14:paraId="15EEB46A">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F.html" \l "gene3" \o "click to view genes" </w:instrText>
            </w:r>
            <w:r>
              <w:fldChar w:fldCharType="separate"/>
            </w:r>
            <w:r>
              <w:t>GO:0004871</w:t>
            </w:r>
            <w:r>
              <w:fldChar w:fldCharType="end"/>
            </w:r>
          </w:p>
        </w:tc>
        <w:tc>
          <w:tcPr>
            <w:tcW w:w="1984" w:type="dxa"/>
            <w:tcBorders>
              <w:top w:val="nil"/>
              <w:left w:val="nil"/>
              <w:bottom w:val="nil"/>
              <w:right w:val="nil"/>
            </w:tcBorders>
            <w:shd w:val="clear" w:color="auto" w:fill="auto"/>
          </w:tcPr>
          <w:p w14:paraId="018BF977">
            <w:r>
              <w:t>signal transducer activity</w:t>
            </w:r>
          </w:p>
        </w:tc>
        <w:tc>
          <w:tcPr>
            <w:tcW w:w="1276" w:type="dxa"/>
            <w:tcBorders>
              <w:top w:val="nil"/>
              <w:left w:val="nil"/>
              <w:bottom w:val="nil"/>
              <w:right w:val="nil"/>
            </w:tcBorders>
            <w:shd w:val="clear" w:color="auto" w:fill="auto"/>
          </w:tcPr>
          <w:p w14:paraId="71EDEB1F">
            <w:r>
              <w:t>36 (14.34%)</w:t>
            </w:r>
          </w:p>
        </w:tc>
        <w:tc>
          <w:tcPr>
            <w:tcW w:w="1418" w:type="dxa"/>
            <w:tcBorders>
              <w:top w:val="nil"/>
              <w:left w:val="nil"/>
              <w:bottom w:val="nil"/>
              <w:right w:val="nil"/>
            </w:tcBorders>
            <w:shd w:val="clear" w:color="auto" w:fill="auto"/>
          </w:tcPr>
          <w:p w14:paraId="4F61FA80">
            <w:r>
              <w:t>188 (10.05%)</w:t>
            </w:r>
          </w:p>
        </w:tc>
        <w:tc>
          <w:tcPr>
            <w:tcW w:w="1134" w:type="dxa"/>
            <w:tcBorders>
              <w:top w:val="nil"/>
              <w:left w:val="nil"/>
              <w:bottom w:val="nil"/>
              <w:right w:val="nil"/>
            </w:tcBorders>
            <w:shd w:val="clear" w:color="auto" w:fill="auto"/>
          </w:tcPr>
          <w:p w14:paraId="7CD3D7A3">
            <w:r>
              <w:t>0.012573</w:t>
            </w:r>
          </w:p>
        </w:tc>
        <w:tc>
          <w:tcPr>
            <w:tcW w:w="1134" w:type="dxa"/>
            <w:tcBorders>
              <w:top w:val="nil"/>
              <w:left w:val="nil"/>
              <w:bottom w:val="nil"/>
              <w:right w:val="nil"/>
            </w:tcBorders>
            <w:shd w:val="clear" w:color="auto" w:fill="auto"/>
          </w:tcPr>
          <w:p w14:paraId="660491EE">
            <w:r>
              <w:t>0.230509</w:t>
            </w:r>
          </w:p>
        </w:tc>
      </w:tr>
      <w:tr w14:paraId="786CF1A0">
        <w:tblPrEx>
          <w:tblCellMar>
            <w:top w:w="0" w:type="dxa"/>
            <w:left w:w="108" w:type="dxa"/>
            <w:bottom w:w="0" w:type="dxa"/>
            <w:right w:w="108" w:type="dxa"/>
          </w:tblCellMar>
        </w:tblPrEx>
        <w:trPr>
          <w:trHeight w:val="483" w:hRule="atLeast"/>
          <w:jc w:val="center"/>
        </w:trPr>
        <w:tc>
          <w:tcPr>
            <w:tcW w:w="1418" w:type="dxa"/>
            <w:tcBorders>
              <w:top w:val="nil"/>
              <w:left w:val="nil"/>
              <w:bottom w:val="nil"/>
              <w:right w:val="nil"/>
            </w:tcBorders>
            <w:shd w:val="clear" w:color="auto" w:fill="auto"/>
          </w:tcPr>
          <w:p w14:paraId="5BE3EFBD">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F.html" \l "gene4" \o "click to view genes" </w:instrText>
            </w:r>
            <w:r>
              <w:fldChar w:fldCharType="separate"/>
            </w:r>
            <w:r>
              <w:t>GO:0008289</w:t>
            </w:r>
            <w:r>
              <w:fldChar w:fldCharType="end"/>
            </w:r>
          </w:p>
        </w:tc>
        <w:tc>
          <w:tcPr>
            <w:tcW w:w="1984" w:type="dxa"/>
            <w:tcBorders>
              <w:top w:val="nil"/>
              <w:left w:val="nil"/>
              <w:bottom w:val="nil"/>
              <w:right w:val="nil"/>
            </w:tcBorders>
            <w:shd w:val="clear" w:color="auto" w:fill="auto"/>
          </w:tcPr>
          <w:p w14:paraId="52711B39">
            <w:r>
              <w:t>lipid binding</w:t>
            </w:r>
          </w:p>
        </w:tc>
        <w:tc>
          <w:tcPr>
            <w:tcW w:w="1276" w:type="dxa"/>
            <w:tcBorders>
              <w:top w:val="nil"/>
              <w:left w:val="nil"/>
              <w:bottom w:val="nil"/>
              <w:right w:val="nil"/>
            </w:tcBorders>
            <w:shd w:val="clear" w:color="auto" w:fill="auto"/>
          </w:tcPr>
          <w:p w14:paraId="582E3352">
            <w:r>
              <w:t>14 (5.58%)</w:t>
            </w:r>
          </w:p>
        </w:tc>
        <w:tc>
          <w:tcPr>
            <w:tcW w:w="1418" w:type="dxa"/>
            <w:tcBorders>
              <w:top w:val="nil"/>
              <w:left w:val="nil"/>
              <w:bottom w:val="nil"/>
              <w:right w:val="nil"/>
            </w:tcBorders>
            <w:shd w:val="clear" w:color="auto" w:fill="auto"/>
          </w:tcPr>
          <w:p w14:paraId="7F73B3EA">
            <w:r>
              <w:t>59 (3.15%)</w:t>
            </w:r>
          </w:p>
        </w:tc>
        <w:tc>
          <w:tcPr>
            <w:tcW w:w="1134" w:type="dxa"/>
            <w:tcBorders>
              <w:top w:val="nil"/>
              <w:left w:val="nil"/>
              <w:bottom w:val="nil"/>
              <w:right w:val="nil"/>
            </w:tcBorders>
            <w:shd w:val="clear" w:color="auto" w:fill="auto"/>
          </w:tcPr>
          <w:p w14:paraId="14CA2420">
            <w:r>
              <w:t>0.020378</w:t>
            </w:r>
          </w:p>
        </w:tc>
        <w:tc>
          <w:tcPr>
            <w:tcW w:w="1134" w:type="dxa"/>
            <w:tcBorders>
              <w:top w:val="nil"/>
              <w:left w:val="nil"/>
              <w:bottom w:val="nil"/>
              <w:right w:val="nil"/>
            </w:tcBorders>
            <w:shd w:val="clear" w:color="auto" w:fill="auto"/>
          </w:tcPr>
          <w:p w14:paraId="29D8ACE1">
            <w:r>
              <w:t>0.280202</w:t>
            </w:r>
          </w:p>
        </w:tc>
      </w:tr>
      <w:tr w14:paraId="4AA804E0">
        <w:tblPrEx>
          <w:tblCellMar>
            <w:top w:w="0" w:type="dxa"/>
            <w:left w:w="108" w:type="dxa"/>
            <w:bottom w:w="0" w:type="dxa"/>
            <w:right w:w="108" w:type="dxa"/>
          </w:tblCellMar>
        </w:tblPrEx>
        <w:trPr>
          <w:trHeight w:val="343" w:hRule="atLeast"/>
          <w:jc w:val="center"/>
        </w:trPr>
        <w:tc>
          <w:tcPr>
            <w:tcW w:w="1418" w:type="dxa"/>
            <w:tcBorders>
              <w:top w:val="nil"/>
              <w:left w:val="nil"/>
              <w:bottom w:val="single" w:color="auto" w:sz="4" w:space="0"/>
              <w:right w:val="nil"/>
            </w:tcBorders>
            <w:shd w:val="clear" w:color="auto" w:fill="auto"/>
          </w:tcPr>
          <w:p w14:paraId="067E88AE">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F.html" \l "gene5" \o "click to view genes" </w:instrText>
            </w:r>
            <w:r>
              <w:fldChar w:fldCharType="separate"/>
            </w:r>
            <w:r>
              <w:t>GO:0043167</w:t>
            </w:r>
            <w:r>
              <w:fldChar w:fldCharType="end"/>
            </w:r>
          </w:p>
        </w:tc>
        <w:tc>
          <w:tcPr>
            <w:tcW w:w="1984" w:type="dxa"/>
            <w:tcBorders>
              <w:top w:val="nil"/>
              <w:left w:val="nil"/>
              <w:bottom w:val="single" w:color="auto" w:sz="4" w:space="0"/>
              <w:right w:val="nil"/>
            </w:tcBorders>
            <w:shd w:val="clear" w:color="auto" w:fill="auto"/>
          </w:tcPr>
          <w:p w14:paraId="3F4E30EF">
            <w:r>
              <w:t>ion binding</w:t>
            </w:r>
          </w:p>
        </w:tc>
        <w:tc>
          <w:tcPr>
            <w:tcW w:w="1276" w:type="dxa"/>
            <w:tcBorders>
              <w:top w:val="nil"/>
              <w:left w:val="nil"/>
              <w:bottom w:val="single" w:color="auto" w:sz="4" w:space="0"/>
              <w:right w:val="nil"/>
            </w:tcBorders>
            <w:shd w:val="clear" w:color="auto" w:fill="auto"/>
          </w:tcPr>
          <w:p w14:paraId="35B823BB">
            <w:r>
              <w:t>98 (39.04%)</w:t>
            </w:r>
          </w:p>
        </w:tc>
        <w:tc>
          <w:tcPr>
            <w:tcW w:w="1418" w:type="dxa"/>
            <w:tcBorders>
              <w:top w:val="nil"/>
              <w:left w:val="nil"/>
              <w:bottom w:val="single" w:color="auto" w:sz="4" w:space="0"/>
              <w:right w:val="nil"/>
            </w:tcBorders>
            <w:shd w:val="clear" w:color="auto" w:fill="auto"/>
          </w:tcPr>
          <w:p w14:paraId="743F8DC7">
            <w:r>
              <w:t>629 (33.62%)</w:t>
            </w:r>
          </w:p>
        </w:tc>
        <w:tc>
          <w:tcPr>
            <w:tcW w:w="1134" w:type="dxa"/>
            <w:tcBorders>
              <w:top w:val="nil"/>
              <w:left w:val="nil"/>
              <w:bottom w:val="single" w:color="auto" w:sz="4" w:space="0"/>
              <w:right w:val="nil"/>
            </w:tcBorders>
            <w:shd w:val="clear" w:color="auto" w:fill="auto"/>
          </w:tcPr>
          <w:p w14:paraId="452F0B1F">
            <w:r>
              <w:t>0.030695</w:t>
            </w:r>
          </w:p>
        </w:tc>
        <w:tc>
          <w:tcPr>
            <w:tcW w:w="1134" w:type="dxa"/>
            <w:tcBorders>
              <w:top w:val="nil"/>
              <w:left w:val="nil"/>
              <w:bottom w:val="single" w:color="auto" w:sz="4" w:space="0"/>
              <w:right w:val="nil"/>
            </w:tcBorders>
            <w:shd w:val="clear" w:color="auto" w:fill="auto"/>
          </w:tcPr>
          <w:p w14:paraId="38CA799B">
            <w:r>
              <w:t>0.337647</w:t>
            </w:r>
          </w:p>
        </w:tc>
      </w:tr>
    </w:tbl>
    <w:p w14:paraId="2ACFEFDA"/>
    <w:p w14:paraId="063135F2">
      <w:r>
        <w:br w:type="page"/>
      </w:r>
    </w:p>
    <w:p w14:paraId="28EF3DC9">
      <w:pPr>
        <w:rPr>
          <w:b/>
        </w:rPr>
      </w:pPr>
      <w:r>
        <w:rPr>
          <w:b/>
        </w:rPr>
        <w:t>Supplementary Table 6. N_</w:t>
      </w:r>
      <w:r>
        <w:rPr>
          <w:b/>
          <w:i/>
          <w:iCs/>
        </w:rPr>
        <w:t>vs</w:t>
      </w:r>
      <w:r>
        <w:rPr>
          <w:b/>
        </w:rPr>
        <w:t>_NT GO Enrichment (Cellular Component)</w:t>
      </w:r>
    </w:p>
    <w:tbl>
      <w:tblPr>
        <w:tblStyle w:val="6"/>
        <w:tblW w:w="8222" w:type="dxa"/>
        <w:tblInd w:w="0" w:type="dxa"/>
        <w:tblLayout w:type="fixed"/>
        <w:tblCellMar>
          <w:top w:w="0" w:type="dxa"/>
          <w:left w:w="108" w:type="dxa"/>
          <w:bottom w:w="0" w:type="dxa"/>
          <w:right w:w="108" w:type="dxa"/>
        </w:tblCellMar>
      </w:tblPr>
      <w:tblGrid>
        <w:gridCol w:w="1418"/>
        <w:gridCol w:w="1843"/>
        <w:gridCol w:w="1275"/>
        <w:gridCol w:w="1418"/>
        <w:gridCol w:w="1134"/>
        <w:gridCol w:w="1134"/>
      </w:tblGrid>
      <w:tr w14:paraId="61002397">
        <w:tblPrEx>
          <w:tblCellMar>
            <w:top w:w="0" w:type="dxa"/>
            <w:left w:w="108" w:type="dxa"/>
            <w:bottom w:w="0" w:type="dxa"/>
            <w:right w:w="108" w:type="dxa"/>
          </w:tblCellMar>
        </w:tblPrEx>
        <w:trPr>
          <w:trHeight w:val="482" w:hRule="atLeast"/>
        </w:trPr>
        <w:tc>
          <w:tcPr>
            <w:tcW w:w="1418" w:type="dxa"/>
            <w:tcBorders>
              <w:top w:val="single" w:color="auto" w:sz="4" w:space="0"/>
              <w:left w:val="nil"/>
              <w:bottom w:val="single" w:color="auto" w:sz="4" w:space="0"/>
              <w:right w:val="nil"/>
            </w:tcBorders>
            <w:shd w:val="clear" w:color="auto" w:fill="auto"/>
            <w:vAlign w:val="center"/>
          </w:tcPr>
          <w:p w14:paraId="7D221CAF">
            <w:r>
              <w:t>GO ID</w:t>
            </w:r>
          </w:p>
        </w:tc>
        <w:tc>
          <w:tcPr>
            <w:tcW w:w="1843" w:type="dxa"/>
            <w:tcBorders>
              <w:top w:val="single" w:color="auto" w:sz="4" w:space="0"/>
              <w:left w:val="nil"/>
              <w:bottom w:val="single" w:color="auto" w:sz="4" w:space="0"/>
              <w:right w:val="nil"/>
            </w:tcBorders>
            <w:shd w:val="clear" w:color="auto" w:fill="auto"/>
            <w:vAlign w:val="center"/>
          </w:tcPr>
          <w:p w14:paraId="20B36F85">
            <w:r>
              <w:t>Description</w:t>
            </w:r>
          </w:p>
        </w:tc>
        <w:tc>
          <w:tcPr>
            <w:tcW w:w="1275" w:type="dxa"/>
            <w:tcBorders>
              <w:top w:val="single" w:color="auto" w:sz="4" w:space="0"/>
              <w:left w:val="nil"/>
              <w:bottom w:val="single" w:color="auto" w:sz="4" w:space="0"/>
              <w:right w:val="nil"/>
            </w:tcBorders>
            <w:shd w:val="clear" w:color="auto" w:fill="auto"/>
            <w:vAlign w:val="center"/>
          </w:tcPr>
          <w:p w14:paraId="1ECA043B">
            <w:r>
              <w:t>GeneRatio (232)</w:t>
            </w:r>
          </w:p>
        </w:tc>
        <w:tc>
          <w:tcPr>
            <w:tcW w:w="1418" w:type="dxa"/>
            <w:tcBorders>
              <w:top w:val="single" w:color="auto" w:sz="4" w:space="0"/>
              <w:left w:val="nil"/>
              <w:bottom w:val="single" w:color="auto" w:sz="4" w:space="0"/>
              <w:right w:val="nil"/>
            </w:tcBorders>
            <w:shd w:val="clear" w:color="auto" w:fill="auto"/>
            <w:vAlign w:val="center"/>
          </w:tcPr>
          <w:p w14:paraId="471106C7">
            <w:r>
              <w:t>BgRatio (1873)</w:t>
            </w:r>
          </w:p>
        </w:tc>
        <w:tc>
          <w:tcPr>
            <w:tcW w:w="1134" w:type="dxa"/>
            <w:tcBorders>
              <w:top w:val="single" w:color="auto" w:sz="4" w:space="0"/>
              <w:left w:val="nil"/>
              <w:bottom w:val="single" w:color="auto" w:sz="4" w:space="0"/>
              <w:right w:val="nil"/>
            </w:tcBorders>
            <w:shd w:val="clear" w:color="auto" w:fill="auto"/>
            <w:vAlign w:val="center"/>
          </w:tcPr>
          <w:p w14:paraId="733DD4BC">
            <w:r>
              <w:t>P value</w:t>
            </w:r>
          </w:p>
        </w:tc>
        <w:tc>
          <w:tcPr>
            <w:tcW w:w="1134" w:type="dxa"/>
            <w:tcBorders>
              <w:top w:val="single" w:color="auto" w:sz="4" w:space="0"/>
              <w:left w:val="nil"/>
              <w:bottom w:val="single" w:color="auto" w:sz="4" w:space="0"/>
              <w:right w:val="nil"/>
            </w:tcBorders>
            <w:shd w:val="clear" w:color="auto" w:fill="auto"/>
            <w:vAlign w:val="center"/>
          </w:tcPr>
          <w:p w14:paraId="26172556">
            <w:r>
              <w:t>q value</w:t>
            </w:r>
          </w:p>
        </w:tc>
      </w:tr>
      <w:tr w14:paraId="3819DEE5">
        <w:tblPrEx>
          <w:tblCellMar>
            <w:top w:w="0" w:type="dxa"/>
            <w:left w:w="108" w:type="dxa"/>
            <w:bottom w:w="0" w:type="dxa"/>
            <w:right w:w="108" w:type="dxa"/>
          </w:tblCellMar>
        </w:tblPrEx>
        <w:trPr>
          <w:trHeight w:val="393" w:hRule="atLeast"/>
        </w:trPr>
        <w:tc>
          <w:tcPr>
            <w:tcW w:w="1418" w:type="dxa"/>
            <w:tcBorders>
              <w:top w:val="nil"/>
              <w:left w:val="nil"/>
              <w:bottom w:val="nil"/>
              <w:right w:val="nil"/>
            </w:tcBorders>
            <w:shd w:val="clear" w:color="auto" w:fill="auto"/>
          </w:tcPr>
          <w:p w14:paraId="5D623F68">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"gene1" \o "click to view genes" </w:instrText>
            </w:r>
            <w:r>
              <w:fldChar w:fldCharType="separate"/>
            </w:r>
            <w:r>
              <w:t>GO:0005886</w:t>
            </w:r>
            <w:r>
              <w:fldChar w:fldCharType="end"/>
            </w:r>
          </w:p>
        </w:tc>
        <w:tc>
          <w:tcPr>
            <w:tcW w:w="1843" w:type="dxa"/>
            <w:tcBorders>
              <w:top w:val="nil"/>
              <w:left w:val="nil"/>
              <w:bottom w:val="nil"/>
              <w:right w:val="nil"/>
            </w:tcBorders>
            <w:shd w:val="clear" w:color="auto" w:fill="auto"/>
          </w:tcPr>
          <w:p w14:paraId="1D2753AC">
            <w:r>
              <w:t>plasma membrane</w:t>
            </w:r>
          </w:p>
        </w:tc>
        <w:tc>
          <w:tcPr>
            <w:tcW w:w="1275" w:type="dxa"/>
            <w:tcBorders>
              <w:top w:val="nil"/>
              <w:left w:val="nil"/>
              <w:bottom w:val="nil"/>
              <w:right w:val="nil"/>
            </w:tcBorders>
            <w:shd w:val="clear" w:color="auto" w:fill="auto"/>
          </w:tcPr>
          <w:p w14:paraId="08C1ADA0">
            <w:r>
              <w:t>80 (34.48%)</w:t>
            </w:r>
          </w:p>
        </w:tc>
        <w:tc>
          <w:tcPr>
            <w:tcW w:w="1418" w:type="dxa"/>
            <w:tcBorders>
              <w:top w:val="nil"/>
              <w:left w:val="nil"/>
              <w:bottom w:val="nil"/>
              <w:right w:val="nil"/>
            </w:tcBorders>
            <w:shd w:val="clear" w:color="auto" w:fill="auto"/>
          </w:tcPr>
          <w:p w14:paraId="092E9930">
            <w:r>
              <w:t>450 (24.03%)</w:t>
            </w:r>
          </w:p>
        </w:tc>
        <w:tc>
          <w:tcPr>
            <w:tcW w:w="1134" w:type="dxa"/>
            <w:tcBorders>
              <w:top w:val="nil"/>
              <w:left w:val="nil"/>
              <w:bottom w:val="nil"/>
              <w:right w:val="nil"/>
            </w:tcBorders>
            <w:shd w:val="clear" w:color="auto" w:fill="auto"/>
          </w:tcPr>
          <w:p w14:paraId="5BB7738B">
            <w:r>
              <w:t>0.000079</w:t>
            </w:r>
          </w:p>
        </w:tc>
        <w:tc>
          <w:tcPr>
            <w:tcW w:w="1134" w:type="dxa"/>
            <w:tcBorders>
              <w:top w:val="nil"/>
              <w:left w:val="nil"/>
              <w:bottom w:val="nil"/>
              <w:right w:val="nil"/>
            </w:tcBorders>
            <w:shd w:val="clear" w:color="auto" w:fill="auto"/>
          </w:tcPr>
          <w:p w14:paraId="27D882AD">
            <w:r>
              <w:t>0.001378</w:t>
            </w:r>
          </w:p>
        </w:tc>
      </w:tr>
      <w:tr w14:paraId="45AAE786">
        <w:tblPrEx>
          <w:tblCellMar>
            <w:top w:w="0" w:type="dxa"/>
            <w:left w:w="108" w:type="dxa"/>
            <w:bottom w:w="0" w:type="dxa"/>
            <w:right w:w="108" w:type="dxa"/>
          </w:tblCellMar>
        </w:tblPrEx>
        <w:trPr>
          <w:trHeight w:val="482" w:hRule="atLeast"/>
        </w:trPr>
        <w:tc>
          <w:tcPr>
            <w:tcW w:w="1418" w:type="dxa"/>
            <w:tcBorders>
              <w:top w:val="nil"/>
              <w:left w:val="nil"/>
              <w:bottom w:val="nil"/>
              <w:right w:val="nil"/>
            </w:tcBorders>
            <w:shd w:val="clear" w:color="auto" w:fill="auto"/>
          </w:tcPr>
          <w:p w14:paraId="5388CBEF">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"gene2" \o "click to view genes" </w:instrText>
            </w:r>
            <w:r>
              <w:fldChar w:fldCharType="separate"/>
            </w:r>
            <w:r>
              <w:t>GO:0016020</w:t>
            </w:r>
            <w:r>
              <w:fldChar w:fldCharType="end"/>
            </w:r>
          </w:p>
        </w:tc>
        <w:tc>
          <w:tcPr>
            <w:tcW w:w="1843" w:type="dxa"/>
            <w:tcBorders>
              <w:top w:val="nil"/>
              <w:left w:val="nil"/>
              <w:bottom w:val="nil"/>
              <w:right w:val="nil"/>
            </w:tcBorders>
            <w:shd w:val="clear" w:color="auto" w:fill="auto"/>
          </w:tcPr>
          <w:p w14:paraId="42047A5F">
            <w:r>
              <w:t>membrane</w:t>
            </w:r>
          </w:p>
        </w:tc>
        <w:tc>
          <w:tcPr>
            <w:tcW w:w="1275" w:type="dxa"/>
            <w:tcBorders>
              <w:top w:val="nil"/>
              <w:left w:val="nil"/>
              <w:bottom w:val="nil"/>
              <w:right w:val="nil"/>
            </w:tcBorders>
            <w:shd w:val="clear" w:color="auto" w:fill="auto"/>
          </w:tcPr>
          <w:p w14:paraId="40D77397">
            <w:r>
              <w:t>80 (34.48%)</w:t>
            </w:r>
          </w:p>
        </w:tc>
        <w:tc>
          <w:tcPr>
            <w:tcW w:w="1418" w:type="dxa"/>
            <w:tcBorders>
              <w:top w:val="nil"/>
              <w:left w:val="nil"/>
              <w:bottom w:val="nil"/>
              <w:right w:val="nil"/>
            </w:tcBorders>
            <w:shd w:val="clear" w:color="auto" w:fill="auto"/>
          </w:tcPr>
          <w:p w14:paraId="247A42F8">
            <w:r>
              <w:t>450 (24.03%)</w:t>
            </w:r>
          </w:p>
        </w:tc>
        <w:tc>
          <w:tcPr>
            <w:tcW w:w="1134" w:type="dxa"/>
            <w:tcBorders>
              <w:top w:val="nil"/>
              <w:left w:val="nil"/>
              <w:bottom w:val="nil"/>
              <w:right w:val="nil"/>
            </w:tcBorders>
            <w:shd w:val="clear" w:color="auto" w:fill="auto"/>
          </w:tcPr>
          <w:p w14:paraId="0167F924">
            <w:r>
              <w:t>0.000079</w:t>
            </w:r>
          </w:p>
        </w:tc>
        <w:tc>
          <w:tcPr>
            <w:tcW w:w="1134" w:type="dxa"/>
            <w:tcBorders>
              <w:top w:val="nil"/>
              <w:left w:val="nil"/>
              <w:bottom w:val="nil"/>
              <w:right w:val="nil"/>
            </w:tcBorders>
            <w:shd w:val="clear" w:color="auto" w:fill="auto"/>
          </w:tcPr>
          <w:p w14:paraId="0CCD93C7">
            <w:r>
              <w:t>0.001378</w:t>
            </w:r>
          </w:p>
        </w:tc>
      </w:tr>
      <w:tr w14:paraId="61FE1213">
        <w:tblPrEx>
          <w:tblCellMar>
            <w:top w:w="0" w:type="dxa"/>
            <w:left w:w="108" w:type="dxa"/>
            <w:bottom w:w="0" w:type="dxa"/>
            <w:right w:w="108" w:type="dxa"/>
          </w:tblCellMar>
        </w:tblPrEx>
        <w:trPr>
          <w:trHeight w:val="482" w:hRule="atLeast"/>
        </w:trPr>
        <w:tc>
          <w:tcPr>
            <w:tcW w:w="1418" w:type="dxa"/>
            <w:tcBorders>
              <w:top w:val="nil"/>
              <w:left w:val="nil"/>
              <w:bottom w:val="nil"/>
              <w:right w:val="nil"/>
            </w:tcBorders>
            <w:shd w:val="clear" w:color="auto" w:fill="auto"/>
          </w:tcPr>
          <w:p w14:paraId="4880E7CB">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"gene3" \o "click to view genes" </w:instrText>
            </w:r>
            <w:r>
              <w:fldChar w:fldCharType="separate"/>
            </w:r>
            <w:r>
              <w:t>GO:0071944</w:t>
            </w:r>
            <w:r>
              <w:fldChar w:fldCharType="end"/>
            </w:r>
          </w:p>
        </w:tc>
        <w:tc>
          <w:tcPr>
            <w:tcW w:w="1843" w:type="dxa"/>
            <w:tcBorders>
              <w:top w:val="nil"/>
              <w:left w:val="nil"/>
              <w:bottom w:val="nil"/>
              <w:right w:val="nil"/>
            </w:tcBorders>
            <w:shd w:val="clear" w:color="auto" w:fill="auto"/>
          </w:tcPr>
          <w:p w14:paraId="14492C51">
            <w:r>
              <w:t>cell periphery</w:t>
            </w:r>
          </w:p>
        </w:tc>
        <w:tc>
          <w:tcPr>
            <w:tcW w:w="1275" w:type="dxa"/>
            <w:tcBorders>
              <w:top w:val="nil"/>
              <w:left w:val="nil"/>
              <w:bottom w:val="nil"/>
              <w:right w:val="nil"/>
            </w:tcBorders>
            <w:shd w:val="clear" w:color="auto" w:fill="auto"/>
          </w:tcPr>
          <w:p w14:paraId="5635E389">
            <w:r>
              <w:t>80 (34.48%)</w:t>
            </w:r>
          </w:p>
        </w:tc>
        <w:tc>
          <w:tcPr>
            <w:tcW w:w="1418" w:type="dxa"/>
            <w:tcBorders>
              <w:top w:val="nil"/>
              <w:left w:val="nil"/>
              <w:bottom w:val="nil"/>
              <w:right w:val="nil"/>
            </w:tcBorders>
            <w:shd w:val="clear" w:color="auto" w:fill="auto"/>
          </w:tcPr>
          <w:p w14:paraId="6C66DCE1">
            <w:r>
              <w:t>450 (24.03%)</w:t>
            </w:r>
          </w:p>
        </w:tc>
        <w:tc>
          <w:tcPr>
            <w:tcW w:w="1134" w:type="dxa"/>
            <w:tcBorders>
              <w:top w:val="nil"/>
              <w:left w:val="nil"/>
              <w:bottom w:val="nil"/>
              <w:right w:val="nil"/>
            </w:tcBorders>
            <w:shd w:val="clear" w:color="auto" w:fill="auto"/>
          </w:tcPr>
          <w:p w14:paraId="413482F9">
            <w:r>
              <w:t>0.000079</w:t>
            </w:r>
          </w:p>
        </w:tc>
        <w:tc>
          <w:tcPr>
            <w:tcW w:w="1134" w:type="dxa"/>
            <w:tcBorders>
              <w:top w:val="nil"/>
              <w:left w:val="nil"/>
              <w:bottom w:val="nil"/>
              <w:right w:val="nil"/>
            </w:tcBorders>
            <w:shd w:val="clear" w:color="auto" w:fill="auto"/>
          </w:tcPr>
          <w:p w14:paraId="16915F34">
            <w:r>
              <w:t>0.001378</w:t>
            </w:r>
          </w:p>
        </w:tc>
      </w:tr>
      <w:tr w14:paraId="65D9EDF8">
        <w:tblPrEx>
          <w:tblCellMar>
            <w:top w:w="0" w:type="dxa"/>
            <w:left w:w="108" w:type="dxa"/>
            <w:bottom w:w="0" w:type="dxa"/>
            <w:right w:w="108" w:type="dxa"/>
          </w:tblCellMar>
        </w:tblPrEx>
        <w:trPr>
          <w:trHeight w:val="384" w:hRule="atLeast"/>
        </w:trPr>
        <w:tc>
          <w:tcPr>
            <w:tcW w:w="1418" w:type="dxa"/>
            <w:tcBorders>
              <w:top w:val="nil"/>
              <w:left w:val="nil"/>
              <w:bottom w:val="nil"/>
              <w:right w:val="nil"/>
            </w:tcBorders>
            <w:shd w:val="clear" w:color="auto" w:fill="auto"/>
          </w:tcPr>
          <w:p w14:paraId="6B0847FA">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"gene4" \o "click to view genes" </w:instrText>
            </w:r>
            <w:r>
              <w:fldChar w:fldCharType="separate"/>
            </w:r>
            <w:r>
              <w:t>GO:0005576</w:t>
            </w:r>
            <w:r>
              <w:fldChar w:fldCharType="end"/>
            </w:r>
          </w:p>
        </w:tc>
        <w:tc>
          <w:tcPr>
            <w:tcW w:w="1843" w:type="dxa"/>
            <w:tcBorders>
              <w:top w:val="nil"/>
              <w:left w:val="nil"/>
              <w:bottom w:val="nil"/>
              <w:right w:val="nil"/>
            </w:tcBorders>
            <w:shd w:val="clear" w:color="auto" w:fill="auto"/>
          </w:tcPr>
          <w:p w14:paraId="37BE434C">
            <w:r>
              <w:t>extracellular region</w:t>
            </w:r>
          </w:p>
        </w:tc>
        <w:tc>
          <w:tcPr>
            <w:tcW w:w="1275" w:type="dxa"/>
            <w:tcBorders>
              <w:top w:val="nil"/>
              <w:left w:val="nil"/>
              <w:bottom w:val="nil"/>
              <w:right w:val="nil"/>
            </w:tcBorders>
            <w:shd w:val="clear" w:color="auto" w:fill="auto"/>
          </w:tcPr>
          <w:p w14:paraId="19288FA8">
            <w:r>
              <w:t>50 (21.55%)</w:t>
            </w:r>
          </w:p>
        </w:tc>
        <w:tc>
          <w:tcPr>
            <w:tcW w:w="1418" w:type="dxa"/>
            <w:tcBorders>
              <w:top w:val="nil"/>
              <w:left w:val="nil"/>
              <w:bottom w:val="nil"/>
              <w:right w:val="nil"/>
            </w:tcBorders>
            <w:shd w:val="clear" w:color="auto" w:fill="auto"/>
          </w:tcPr>
          <w:p w14:paraId="441BD9BA">
            <w:r>
              <w:t>247 (13.19%)</w:t>
            </w:r>
          </w:p>
        </w:tc>
        <w:tc>
          <w:tcPr>
            <w:tcW w:w="1134" w:type="dxa"/>
            <w:tcBorders>
              <w:top w:val="nil"/>
              <w:left w:val="nil"/>
              <w:bottom w:val="nil"/>
              <w:right w:val="nil"/>
            </w:tcBorders>
            <w:shd w:val="clear" w:color="auto" w:fill="auto"/>
          </w:tcPr>
          <w:p w14:paraId="7B7C8929">
            <w:r>
              <w:t>0.000106</w:t>
            </w:r>
          </w:p>
        </w:tc>
        <w:tc>
          <w:tcPr>
            <w:tcW w:w="1134" w:type="dxa"/>
            <w:tcBorders>
              <w:top w:val="nil"/>
              <w:left w:val="nil"/>
              <w:bottom w:val="nil"/>
              <w:right w:val="nil"/>
            </w:tcBorders>
            <w:shd w:val="clear" w:color="auto" w:fill="auto"/>
          </w:tcPr>
          <w:p w14:paraId="73A6ECDE">
            <w:r>
              <w:t>0.001378</w:t>
            </w:r>
          </w:p>
        </w:tc>
      </w:tr>
      <w:tr w14:paraId="77009B6D">
        <w:tblPrEx>
          <w:tblCellMar>
            <w:top w:w="0" w:type="dxa"/>
            <w:left w:w="108" w:type="dxa"/>
            <w:bottom w:w="0" w:type="dxa"/>
            <w:right w:w="108" w:type="dxa"/>
          </w:tblCellMar>
        </w:tblPrEx>
        <w:trPr>
          <w:trHeight w:val="724" w:hRule="atLeast"/>
        </w:trPr>
        <w:tc>
          <w:tcPr>
            <w:tcW w:w="1418" w:type="dxa"/>
            <w:tcBorders>
              <w:top w:val="nil"/>
              <w:left w:val="nil"/>
              <w:bottom w:val="nil"/>
              <w:right w:val="nil"/>
            </w:tcBorders>
            <w:shd w:val="clear" w:color="auto" w:fill="auto"/>
          </w:tcPr>
          <w:p w14:paraId="748B1D88">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"gene5" \o "click to view genes" </w:instrText>
            </w:r>
            <w:r>
              <w:fldChar w:fldCharType="separate"/>
            </w:r>
            <w:r>
              <w:t>GO:0044421</w:t>
            </w:r>
            <w:r>
              <w:fldChar w:fldCharType="end"/>
            </w:r>
          </w:p>
        </w:tc>
        <w:tc>
          <w:tcPr>
            <w:tcW w:w="1843" w:type="dxa"/>
            <w:tcBorders>
              <w:top w:val="nil"/>
              <w:left w:val="nil"/>
              <w:bottom w:val="nil"/>
              <w:right w:val="nil"/>
            </w:tcBorders>
            <w:shd w:val="clear" w:color="auto" w:fill="auto"/>
          </w:tcPr>
          <w:p w14:paraId="17F8CD77">
            <w:r>
              <w:t>extracellular region part</w:t>
            </w:r>
          </w:p>
        </w:tc>
        <w:tc>
          <w:tcPr>
            <w:tcW w:w="1275" w:type="dxa"/>
            <w:tcBorders>
              <w:top w:val="nil"/>
              <w:left w:val="nil"/>
              <w:bottom w:val="nil"/>
              <w:right w:val="nil"/>
            </w:tcBorders>
            <w:shd w:val="clear" w:color="auto" w:fill="auto"/>
          </w:tcPr>
          <w:p w14:paraId="3EEF06CD">
            <w:r>
              <w:t>31 (13.36%)</w:t>
            </w:r>
          </w:p>
        </w:tc>
        <w:tc>
          <w:tcPr>
            <w:tcW w:w="1418" w:type="dxa"/>
            <w:tcBorders>
              <w:top w:val="nil"/>
              <w:left w:val="nil"/>
              <w:bottom w:val="nil"/>
              <w:right w:val="nil"/>
            </w:tcBorders>
            <w:shd w:val="clear" w:color="auto" w:fill="auto"/>
          </w:tcPr>
          <w:p w14:paraId="72E4C5A1">
            <w:r>
              <w:t>129 (6.89%)</w:t>
            </w:r>
          </w:p>
        </w:tc>
        <w:tc>
          <w:tcPr>
            <w:tcW w:w="1134" w:type="dxa"/>
            <w:tcBorders>
              <w:top w:val="nil"/>
              <w:left w:val="nil"/>
              <w:bottom w:val="nil"/>
              <w:right w:val="nil"/>
            </w:tcBorders>
            <w:shd w:val="clear" w:color="auto" w:fill="auto"/>
          </w:tcPr>
          <w:p w14:paraId="4D7EA58D">
            <w:r>
              <w:t>0.000109</w:t>
            </w:r>
          </w:p>
        </w:tc>
        <w:tc>
          <w:tcPr>
            <w:tcW w:w="1134" w:type="dxa"/>
            <w:tcBorders>
              <w:top w:val="nil"/>
              <w:left w:val="nil"/>
              <w:bottom w:val="nil"/>
              <w:right w:val="nil"/>
            </w:tcBorders>
            <w:shd w:val="clear" w:color="auto" w:fill="auto"/>
          </w:tcPr>
          <w:p w14:paraId="0EA1FA00">
            <w:r>
              <w:t>0.001378</w:t>
            </w:r>
          </w:p>
        </w:tc>
      </w:tr>
      <w:tr w14:paraId="4523CB29">
        <w:tblPrEx>
          <w:tblCellMar>
            <w:top w:w="0" w:type="dxa"/>
            <w:left w:w="108" w:type="dxa"/>
            <w:bottom w:w="0" w:type="dxa"/>
            <w:right w:w="108" w:type="dxa"/>
          </w:tblCellMar>
        </w:tblPrEx>
        <w:trPr>
          <w:trHeight w:val="482" w:hRule="atLeast"/>
        </w:trPr>
        <w:tc>
          <w:tcPr>
            <w:tcW w:w="1418" w:type="dxa"/>
            <w:tcBorders>
              <w:top w:val="nil"/>
              <w:left w:val="nil"/>
              <w:bottom w:val="nil"/>
              <w:right w:val="nil"/>
            </w:tcBorders>
            <w:shd w:val="clear" w:color="auto" w:fill="auto"/>
          </w:tcPr>
          <w:p w14:paraId="6D57A519">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"gene6" \o "click to view genes" </w:instrText>
            </w:r>
            <w:r>
              <w:fldChar w:fldCharType="separate"/>
            </w:r>
            <w:r>
              <w:t>GO:0005615</w:t>
            </w:r>
            <w:r>
              <w:fldChar w:fldCharType="end"/>
            </w:r>
          </w:p>
        </w:tc>
        <w:tc>
          <w:tcPr>
            <w:tcW w:w="1843" w:type="dxa"/>
            <w:tcBorders>
              <w:top w:val="nil"/>
              <w:left w:val="nil"/>
              <w:bottom w:val="nil"/>
              <w:right w:val="nil"/>
            </w:tcBorders>
            <w:shd w:val="clear" w:color="auto" w:fill="auto"/>
          </w:tcPr>
          <w:p w14:paraId="56659DB3">
            <w:r>
              <w:t>extracellular space</w:t>
            </w:r>
          </w:p>
        </w:tc>
        <w:tc>
          <w:tcPr>
            <w:tcW w:w="1275" w:type="dxa"/>
            <w:tcBorders>
              <w:top w:val="nil"/>
              <w:left w:val="nil"/>
              <w:bottom w:val="nil"/>
              <w:right w:val="nil"/>
            </w:tcBorders>
            <w:shd w:val="clear" w:color="auto" w:fill="auto"/>
          </w:tcPr>
          <w:p w14:paraId="135FD258">
            <w:r>
              <w:t>25 (10.78%)</w:t>
            </w:r>
          </w:p>
        </w:tc>
        <w:tc>
          <w:tcPr>
            <w:tcW w:w="1418" w:type="dxa"/>
            <w:tcBorders>
              <w:top w:val="nil"/>
              <w:left w:val="nil"/>
              <w:bottom w:val="nil"/>
              <w:right w:val="nil"/>
            </w:tcBorders>
            <w:shd w:val="clear" w:color="auto" w:fill="auto"/>
          </w:tcPr>
          <w:p w14:paraId="5E15262D">
            <w:r>
              <w:t>101 (5.39%)</w:t>
            </w:r>
          </w:p>
        </w:tc>
        <w:tc>
          <w:tcPr>
            <w:tcW w:w="1134" w:type="dxa"/>
            <w:tcBorders>
              <w:top w:val="nil"/>
              <w:left w:val="nil"/>
              <w:bottom w:val="nil"/>
              <w:right w:val="nil"/>
            </w:tcBorders>
            <w:shd w:val="clear" w:color="auto" w:fill="auto"/>
          </w:tcPr>
          <w:p w14:paraId="6C666CA1">
            <w:r>
              <w:t>0.000327</w:t>
            </w:r>
          </w:p>
        </w:tc>
        <w:tc>
          <w:tcPr>
            <w:tcW w:w="1134" w:type="dxa"/>
            <w:tcBorders>
              <w:top w:val="nil"/>
              <w:left w:val="nil"/>
              <w:bottom w:val="nil"/>
              <w:right w:val="nil"/>
            </w:tcBorders>
            <w:shd w:val="clear" w:color="auto" w:fill="auto"/>
          </w:tcPr>
          <w:p w14:paraId="306245FD">
            <w:r>
              <w:t>0.003439</w:t>
            </w:r>
          </w:p>
        </w:tc>
      </w:tr>
      <w:tr w14:paraId="2CB16B00">
        <w:tblPrEx>
          <w:tblCellMar>
            <w:top w:w="0" w:type="dxa"/>
            <w:left w:w="108" w:type="dxa"/>
            <w:bottom w:w="0" w:type="dxa"/>
            <w:right w:w="108" w:type="dxa"/>
          </w:tblCellMar>
        </w:tblPrEx>
        <w:trPr>
          <w:trHeight w:val="653" w:hRule="atLeast"/>
        </w:trPr>
        <w:tc>
          <w:tcPr>
            <w:tcW w:w="1418" w:type="dxa"/>
            <w:tcBorders>
              <w:top w:val="nil"/>
              <w:left w:val="nil"/>
              <w:bottom w:val="nil"/>
              <w:right w:val="nil"/>
            </w:tcBorders>
            <w:shd w:val="clear" w:color="auto" w:fill="auto"/>
          </w:tcPr>
          <w:p w14:paraId="0935ABFB">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"gene7" \o "click to view genes" </w:instrText>
            </w:r>
            <w:r>
              <w:fldChar w:fldCharType="separate"/>
            </w:r>
            <w:r>
              <w:t>GO:0005578</w:t>
            </w:r>
            <w:r>
              <w:fldChar w:fldCharType="end"/>
            </w:r>
          </w:p>
        </w:tc>
        <w:tc>
          <w:tcPr>
            <w:tcW w:w="1843" w:type="dxa"/>
            <w:tcBorders>
              <w:top w:val="nil"/>
              <w:left w:val="nil"/>
              <w:bottom w:val="nil"/>
              <w:right w:val="nil"/>
            </w:tcBorders>
            <w:shd w:val="clear" w:color="auto" w:fill="auto"/>
          </w:tcPr>
          <w:p w14:paraId="6B13659E">
            <w:r>
              <w:t>proteinaceous extracellular matrix</w:t>
            </w:r>
          </w:p>
        </w:tc>
        <w:tc>
          <w:tcPr>
            <w:tcW w:w="1275" w:type="dxa"/>
            <w:tcBorders>
              <w:top w:val="nil"/>
              <w:left w:val="nil"/>
              <w:bottom w:val="nil"/>
              <w:right w:val="nil"/>
            </w:tcBorders>
            <w:shd w:val="clear" w:color="auto" w:fill="auto"/>
          </w:tcPr>
          <w:p w14:paraId="622E4965">
            <w:r>
              <w:t>10 (4.31%)</w:t>
            </w:r>
          </w:p>
        </w:tc>
        <w:tc>
          <w:tcPr>
            <w:tcW w:w="1418" w:type="dxa"/>
            <w:tcBorders>
              <w:top w:val="nil"/>
              <w:left w:val="nil"/>
              <w:bottom w:val="nil"/>
              <w:right w:val="nil"/>
            </w:tcBorders>
            <w:shd w:val="clear" w:color="auto" w:fill="auto"/>
          </w:tcPr>
          <w:p w14:paraId="24C29038">
            <w:r>
              <w:t>40 (2.14%)</w:t>
            </w:r>
          </w:p>
        </w:tc>
        <w:tc>
          <w:tcPr>
            <w:tcW w:w="1134" w:type="dxa"/>
            <w:tcBorders>
              <w:top w:val="nil"/>
              <w:left w:val="nil"/>
              <w:bottom w:val="nil"/>
              <w:right w:val="nil"/>
            </w:tcBorders>
            <w:shd w:val="clear" w:color="auto" w:fill="auto"/>
          </w:tcPr>
          <w:p w14:paraId="572376BB">
            <w:r>
              <w:t>0.020219</w:t>
            </w:r>
          </w:p>
        </w:tc>
        <w:tc>
          <w:tcPr>
            <w:tcW w:w="1134" w:type="dxa"/>
            <w:tcBorders>
              <w:top w:val="nil"/>
              <w:left w:val="nil"/>
              <w:bottom w:val="nil"/>
              <w:right w:val="nil"/>
            </w:tcBorders>
            <w:shd w:val="clear" w:color="auto" w:fill="auto"/>
          </w:tcPr>
          <w:p w14:paraId="068EBB3B">
            <w:r>
              <w:t>0.159225</w:t>
            </w:r>
          </w:p>
        </w:tc>
      </w:tr>
      <w:tr w14:paraId="356EA8D3">
        <w:tblPrEx>
          <w:tblCellMar>
            <w:top w:w="0" w:type="dxa"/>
            <w:left w:w="108" w:type="dxa"/>
            <w:bottom w:w="0" w:type="dxa"/>
            <w:right w:w="108" w:type="dxa"/>
          </w:tblCellMar>
        </w:tblPrEx>
        <w:trPr>
          <w:trHeight w:val="482" w:hRule="atLeast"/>
        </w:trPr>
        <w:tc>
          <w:tcPr>
            <w:tcW w:w="1418" w:type="dxa"/>
            <w:tcBorders>
              <w:top w:val="nil"/>
              <w:left w:val="nil"/>
              <w:bottom w:val="nil"/>
              <w:right w:val="nil"/>
            </w:tcBorders>
            <w:shd w:val="clear" w:color="auto" w:fill="auto"/>
          </w:tcPr>
          <w:p w14:paraId="2D62AB0E">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"gene8" \o "click to view genes" </w:instrText>
            </w:r>
            <w:r>
              <w:fldChar w:fldCharType="separate"/>
            </w:r>
            <w:r>
              <w:t>GO:0031012</w:t>
            </w:r>
            <w:r>
              <w:fldChar w:fldCharType="end"/>
            </w:r>
          </w:p>
        </w:tc>
        <w:tc>
          <w:tcPr>
            <w:tcW w:w="1843" w:type="dxa"/>
            <w:tcBorders>
              <w:top w:val="nil"/>
              <w:left w:val="nil"/>
              <w:bottom w:val="nil"/>
              <w:right w:val="nil"/>
            </w:tcBorders>
            <w:shd w:val="clear" w:color="auto" w:fill="auto"/>
          </w:tcPr>
          <w:p w14:paraId="3D48F993">
            <w:r>
              <w:t>extracellular matrix</w:t>
            </w:r>
          </w:p>
        </w:tc>
        <w:tc>
          <w:tcPr>
            <w:tcW w:w="1275" w:type="dxa"/>
            <w:tcBorders>
              <w:top w:val="nil"/>
              <w:left w:val="nil"/>
              <w:bottom w:val="nil"/>
              <w:right w:val="nil"/>
            </w:tcBorders>
            <w:shd w:val="clear" w:color="auto" w:fill="auto"/>
          </w:tcPr>
          <w:p w14:paraId="339B4CCD">
            <w:r>
              <w:t>10 (4.31%)</w:t>
            </w:r>
          </w:p>
        </w:tc>
        <w:tc>
          <w:tcPr>
            <w:tcW w:w="1418" w:type="dxa"/>
            <w:tcBorders>
              <w:top w:val="nil"/>
              <w:left w:val="nil"/>
              <w:bottom w:val="nil"/>
              <w:right w:val="nil"/>
            </w:tcBorders>
            <w:shd w:val="clear" w:color="auto" w:fill="auto"/>
          </w:tcPr>
          <w:p w14:paraId="67DE2A7D">
            <w:r>
              <w:t>40 (2.14%)</w:t>
            </w:r>
          </w:p>
        </w:tc>
        <w:tc>
          <w:tcPr>
            <w:tcW w:w="1134" w:type="dxa"/>
            <w:tcBorders>
              <w:top w:val="nil"/>
              <w:left w:val="nil"/>
              <w:bottom w:val="nil"/>
              <w:right w:val="nil"/>
            </w:tcBorders>
            <w:shd w:val="clear" w:color="auto" w:fill="auto"/>
          </w:tcPr>
          <w:p w14:paraId="5110EB54">
            <w:r>
              <w:t>0.020219</w:t>
            </w:r>
          </w:p>
        </w:tc>
        <w:tc>
          <w:tcPr>
            <w:tcW w:w="1134" w:type="dxa"/>
            <w:tcBorders>
              <w:top w:val="nil"/>
              <w:left w:val="nil"/>
              <w:bottom w:val="nil"/>
              <w:right w:val="nil"/>
            </w:tcBorders>
            <w:shd w:val="clear" w:color="auto" w:fill="auto"/>
          </w:tcPr>
          <w:p w14:paraId="1120E144">
            <w:r>
              <w:t>0.159225</w:t>
            </w:r>
          </w:p>
        </w:tc>
      </w:tr>
      <w:tr w14:paraId="43A33593">
        <w:tblPrEx>
          <w:tblCellMar>
            <w:top w:w="0" w:type="dxa"/>
            <w:left w:w="108" w:type="dxa"/>
            <w:bottom w:w="0" w:type="dxa"/>
            <w:right w:w="108" w:type="dxa"/>
          </w:tblCellMar>
        </w:tblPrEx>
        <w:trPr>
          <w:trHeight w:val="608" w:hRule="atLeast"/>
        </w:trPr>
        <w:tc>
          <w:tcPr>
            <w:tcW w:w="1418" w:type="dxa"/>
            <w:tcBorders>
              <w:top w:val="nil"/>
              <w:left w:val="nil"/>
              <w:bottom w:val="nil"/>
              <w:right w:val="nil"/>
            </w:tcBorders>
            <w:shd w:val="clear" w:color="auto" w:fill="auto"/>
          </w:tcPr>
          <w:p w14:paraId="714F6630">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"gene9" \o "click to view genes" </w:instrText>
            </w:r>
            <w:r>
              <w:fldChar w:fldCharType="separate"/>
            </w:r>
            <w:r>
              <w:t>GO:0005783</w:t>
            </w:r>
            <w:r>
              <w:fldChar w:fldCharType="end"/>
            </w:r>
          </w:p>
        </w:tc>
        <w:tc>
          <w:tcPr>
            <w:tcW w:w="1843" w:type="dxa"/>
            <w:tcBorders>
              <w:top w:val="nil"/>
              <w:left w:val="nil"/>
              <w:bottom w:val="nil"/>
              <w:right w:val="nil"/>
            </w:tcBorders>
            <w:shd w:val="clear" w:color="auto" w:fill="auto"/>
          </w:tcPr>
          <w:p w14:paraId="0E1040D8">
            <w:r>
              <w:t>endoplasmic reticulum</w:t>
            </w:r>
          </w:p>
        </w:tc>
        <w:tc>
          <w:tcPr>
            <w:tcW w:w="1275" w:type="dxa"/>
            <w:tcBorders>
              <w:top w:val="nil"/>
              <w:left w:val="nil"/>
              <w:bottom w:val="nil"/>
              <w:right w:val="nil"/>
            </w:tcBorders>
            <w:shd w:val="clear" w:color="auto" w:fill="auto"/>
          </w:tcPr>
          <w:p w14:paraId="20944642">
            <w:r>
              <w:t>28 (12.07%)</w:t>
            </w:r>
          </w:p>
        </w:tc>
        <w:tc>
          <w:tcPr>
            <w:tcW w:w="1418" w:type="dxa"/>
            <w:tcBorders>
              <w:top w:val="nil"/>
              <w:left w:val="nil"/>
              <w:bottom w:val="nil"/>
              <w:right w:val="nil"/>
            </w:tcBorders>
            <w:shd w:val="clear" w:color="auto" w:fill="auto"/>
          </w:tcPr>
          <w:p w14:paraId="735816C2">
            <w:r>
              <w:t>162 (8.65%)</w:t>
            </w:r>
          </w:p>
        </w:tc>
        <w:tc>
          <w:tcPr>
            <w:tcW w:w="1134" w:type="dxa"/>
            <w:tcBorders>
              <w:top w:val="nil"/>
              <w:left w:val="nil"/>
              <w:bottom w:val="nil"/>
              <w:right w:val="nil"/>
            </w:tcBorders>
            <w:shd w:val="clear" w:color="auto" w:fill="auto"/>
          </w:tcPr>
          <w:p w14:paraId="156E06F1">
            <w:r>
              <w:t>0.035758</w:t>
            </w:r>
          </w:p>
        </w:tc>
        <w:tc>
          <w:tcPr>
            <w:tcW w:w="1134" w:type="dxa"/>
            <w:tcBorders>
              <w:top w:val="nil"/>
              <w:left w:val="nil"/>
              <w:bottom w:val="nil"/>
              <w:right w:val="nil"/>
            </w:tcBorders>
            <w:shd w:val="clear" w:color="auto" w:fill="auto"/>
          </w:tcPr>
          <w:p w14:paraId="390D05C5">
            <w:r>
              <w:t>0.232256</w:t>
            </w:r>
          </w:p>
        </w:tc>
      </w:tr>
      <w:tr w14:paraId="597CD9A1">
        <w:tblPrEx>
          <w:tblCellMar>
            <w:top w:w="0" w:type="dxa"/>
            <w:left w:w="108" w:type="dxa"/>
            <w:bottom w:w="0" w:type="dxa"/>
            <w:right w:w="108" w:type="dxa"/>
          </w:tblCellMar>
        </w:tblPrEx>
        <w:trPr>
          <w:trHeight w:val="427" w:hRule="atLeast"/>
        </w:trPr>
        <w:tc>
          <w:tcPr>
            <w:tcW w:w="1418" w:type="dxa"/>
            <w:tcBorders>
              <w:top w:val="nil"/>
              <w:left w:val="nil"/>
              <w:bottom w:val="single" w:color="auto" w:sz="4" w:space="0"/>
              <w:right w:val="nil"/>
            </w:tcBorders>
            <w:shd w:val="clear" w:color="auto" w:fill="auto"/>
          </w:tcPr>
          <w:p w14:paraId="674B2E87">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C.html" \l "gene10" \o "click to view genes" </w:instrText>
            </w:r>
            <w:r>
              <w:fldChar w:fldCharType="separate"/>
            </w:r>
            <w:r>
              <w:t>GO:0005829</w:t>
            </w:r>
            <w:r>
              <w:fldChar w:fldCharType="end"/>
            </w:r>
          </w:p>
        </w:tc>
        <w:tc>
          <w:tcPr>
            <w:tcW w:w="1843" w:type="dxa"/>
            <w:tcBorders>
              <w:top w:val="nil"/>
              <w:left w:val="nil"/>
              <w:bottom w:val="single" w:color="auto" w:sz="4" w:space="0"/>
              <w:right w:val="nil"/>
            </w:tcBorders>
            <w:shd w:val="clear" w:color="auto" w:fill="auto"/>
          </w:tcPr>
          <w:p w14:paraId="4A44E0FC">
            <w:r>
              <w:t>cytosol</w:t>
            </w:r>
          </w:p>
        </w:tc>
        <w:tc>
          <w:tcPr>
            <w:tcW w:w="1275" w:type="dxa"/>
            <w:tcBorders>
              <w:top w:val="nil"/>
              <w:left w:val="nil"/>
              <w:bottom w:val="single" w:color="auto" w:sz="4" w:space="0"/>
              <w:right w:val="nil"/>
            </w:tcBorders>
            <w:shd w:val="clear" w:color="auto" w:fill="auto"/>
          </w:tcPr>
          <w:p w14:paraId="4F780B9F">
            <w:r>
              <w:t>48 (20.69%)</w:t>
            </w:r>
          </w:p>
        </w:tc>
        <w:tc>
          <w:tcPr>
            <w:tcW w:w="1418" w:type="dxa"/>
            <w:tcBorders>
              <w:top w:val="nil"/>
              <w:left w:val="nil"/>
              <w:bottom w:val="single" w:color="auto" w:sz="4" w:space="0"/>
              <w:right w:val="nil"/>
            </w:tcBorders>
            <w:shd w:val="clear" w:color="auto" w:fill="auto"/>
          </w:tcPr>
          <w:p w14:paraId="4B62B810">
            <w:r>
              <w:t>306 (16.34%)</w:t>
            </w:r>
          </w:p>
        </w:tc>
        <w:tc>
          <w:tcPr>
            <w:tcW w:w="1134" w:type="dxa"/>
            <w:tcBorders>
              <w:top w:val="nil"/>
              <w:left w:val="nil"/>
              <w:bottom w:val="single" w:color="auto" w:sz="4" w:space="0"/>
              <w:right w:val="nil"/>
            </w:tcBorders>
            <w:shd w:val="clear" w:color="auto" w:fill="auto"/>
          </w:tcPr>
          <w:p w14:paraId="253C2DD5">
            <w:r>
              <w:t>0.036866</w:t>
            </w:r>
          </w:p>
        </w:tc>
        <w:tc>
          <w:tcPr>
            <w:tcW w:w="1134" w:type="dxa"/>
            <w:tcBorders>
              <w:top w:val="nil"/>
              <w:left w:val="nil"/>
              <w:bottom w:val="single" w:color="auto" w:sz="4" w:space="0"/>
              <w:right w:val="nil"/>
            </w:tcBorders>
            <w:shd w:val="clear" w:color="auto" w:fill="auto"/>
          </w:tcPr>
          <w:p w14:paraId="10B70D10">
            <w:r>
              <w:t>0.232256</w:t>
            </w:r>
          </w:p>
        </w:tc>
      </w:tr>
    </w:tbl>
    <w:p w14:paraId="25B5E5E2"/>
    <w:p w14:paraId="4E40D443">
      <w:r>
        <w:br w:type="page"/>
      </w:r>
    </w:p>
    <w:p w14:paraId="281BDAEB">
      <w:pPr>
        <w:rPr>
          <w:b/>
        </w:rPr>
      </w:pPr>
      <w:r>
        <w:rPr>
          <w:b/>
        </w:rPr>
        <w:t>Supplementary Table 7. N_</w:t>
      </w:r>
      <w:r>
        <w:rPr>
          <w:b/>
          <w:i/>
          <w:iCs/>
        </w:rPr>
        <w:t>vs</w:t>
      </w:r>
      <w:r>
        <w:rPr>
          <w:b/>
        </w:rPr>
        <w:t>_NT GO Enrichment (Biological Process)</w:t>
      </w:r>
    </w:p>
    <w:tbl>
      <w:tblPr>
        <w:tblStyle w:val="6"/>
        <w:tblW w:w="8364" w:type="dxa"/>
        <w:jc w:val="center"/>
        <w:tblLayout w:type="fixed"/>
        <w:tblCellMar>
          <w:top w:w="0" w:type="dxa"/>
          <w:left w:w="108" w:type="dxa"/>
          <w:bottom w:w="0" w:type="dxa"/>
          <w:right w:w="108" w:type="dxa"/>
        </w:tblCellMar>
      </w:tblPr>
      <w:tblGrid>
        <w:gridCol w:w="1418"/>
        <w:gridCol w:w="1843"/>
        <w:gridCol w:w="1417"/>
        <w:gridCol w:w="1418"/>
        <w:gridCol w:w="1134"/>
        <w:gridCol w:w="1134"/>
      </w:tblGrid>
      <w:tr w14:paraId="138B00FA">
        <w:tblPrEx>
          <w:tblCellMar>
            <w:top w:w="0" w:type="dxa"/>
            <w:left w:w="108" w:type="dxa"/>
            <w:bottom w:w="0" w:type="dxa"/>
            <w:right w:w="108" w:type="dxa"/>
          </w:tblCellMar>
        </w:tblPrEx>
        <w:trPr>
          <w:trHeight w:val="545" w:hRule="atLeast"/>
          <w:jc w:val="center"/>
        </w:trPr>
        <w:tc>
          <w:tcPr>
            <w:tcW w:w="1418" w:type="dxa"/>
            <w:tcBorders>
              <w:top w:val="single" w:color="auto" w:sz="4" w:space="0"/>
              <w:left w:val="nil"/>
              <w:bottom w:val="single" w:color="auto" w:sz="4" w:space="0"/>
              <w:right w:val="nil"/>
            </w:tcBorders>
            <w:shd w:val="clear" w:color="auto" w:fill="auto"/>
            <w:vAlign w:val="center"/>
          </w:tcPr>
          <w:p w14:paraId="4FAA3546">
            <w:r>
              <w:t>GO ID</w:t>
            </w:r>
          </w:p>
        </w:tc>
        <w:tc>
          <w:tcPr>
            <w:tcW w:w="1843" w:type="dxa"/>
            <w:tcBorders>
              <w:top w:val="single" w:color="auto" w:sz="4" w:space="0"/>
              <w:left w:val="nil"/>
              <w:bottom w:val="single" w:color="auto" w:sz="4" w:space="0"/>
              <w:right w:val="nil"/>
            </w:tcBorders>
            <w:shd w:val="clear" w:color="auto" w:fill="auto"/>
            <w:vAlign w:val="center"/>
          </w:tcPr>
          <w:p w14:paraId="4FCA9858">
            <w:r>
              <w:t>Description</w:t>
            </w:r>
          </w:p>
        </w:tc>
        <w:tc>
          <w:tcPr>
            <w:tcW w:w="1417" w:type="dxa"/>
            <w:tcBorders>
              <w:top w:val="single" w:color="auto" w:sz="4" w:space="0"/>
              <w:left w:val="nil"/>
              <w:bottom w:val="single" w:color="auto" w:sz="4" w:space="0"/>
              <w:right w:val="nil"/>
            </w:tcBorders>
            <w:shd w:val="clear" w:color="auto" w:fill="auto"/>
            <w:vAlign w:val="center"/>
          </w:tcPr>
          <w:p w14:paraId="2A43409C">
            <w:r>
              <w:t>GeneRatio (223)</w:t>
            </w:r>
          </w:p>
        </w:tc>
        <w:tc>
          <w:tcPr>
            <w:tcW w:w="1418" w:type="dxa"/>
            <w:tcBorders>
              <w:top w:val="single" w:color="auto" w:sz="4" w:space="0"/>
              <w:left w:val="nil"/>
              <w:bottom w:val="single" w:color="auto" w:sz="4" w:space="0"/>
              <w:right w:val="nil"/>
            </w:tcBorders>
            <w:shd w:val="clear" w:color="auto" w:fill="auto"/>
            <w:vAlign w:val="center"/>
          </w:tcPr>
          <w:p w14:paraId="711275F0">
            <w:r>
              <w:t xml:space="preserve">BgRatio </w:t>
            </w:r>
          </w:p>
          <w:p w14:paraId="6C436D26">
            <w:r>
              <w:t>(1701)</w:t>
            </w:r>
          </w:p>
        </w:tc>
        <w:tc>
          <w:tcPr>
            <w:tcW w:w="1134" w:type="dxa"/>
            <w:tcBorders>
              <w:top w:val="single" w:color="auto" w:sz="4" w:space="0"/>
              <w:left w:val="nil"/>
              <w:bottom w:val="single" w:color="auto" w:sz="4" w:space="0"/>
              <w:right w:val="nil"/>
            </w:tcBorders>
            <w:shd w:val="clear" w:color="auto" w:fill="auto"/>
            <w:vAlign w:val="center"/>
          </w:tcPr>
          <w:p w14:paraId="71BF3979">
            <w:r>
              <w:t>p value</w:t>
            </w:r>
          </w:p>
        </w:tc>
        <w:tc>
          <w:tcPr>
            <w:tcW w:w="1134" w:type="dxa"/>
            <w:tcBorders>
              <w:top w:val="single" w:color="auto" w:sz="4" w:space="0"/>
              <w:left w:val="nil"/>
              <w:bottom w:val="single" w:color="auto" w:sz="4" w:space="0"/>
              <w:right w:val="nil"/>
            </w:tcBorders>
            <w:shd w:val="clear" w:color="auto" w:fill="auto"/>
            <w:vAlign w:val="center"/>
          </w:tcPr>
          <w:p w14:paraId="500CBBBC">
            <w:r>
              <w:t>q value</w:t>
            </w:r>
          </w:p>
        </w:tc>
      </w:tr>
      <w:tr w14:paraId="584FFF59">
        <w:tblPrEx>
          <w:tblCellMar>
            <w:top w:w="0" w:type="dxa"/>
            <w:left w:w="108" w:type="dxa"/>
            <w:bottom w:w="0" w:type="dxa"/>
            <w:right w:w="108" w:type="dxa"/>
          </w:tblCellMar>
        </w:tblPrEx>
        <w:trPr>
          <w:trHeight w:val="446" w:hRule="atLeast"/>
          <w:jc w:val="center"/>
        </w:trPr>
        <w:tc>
          <w:tcPr>
            <w:tcW w:w="1418" w:type="dxa"/>
            <w:tcBorders>
              <w:top w:val="nil"/>
              <w:left w:val="nil"/>
              <w:bottom w:val="nil"/>
              <w:right w:val="nil"/>
            </w:tcBorders>
            <w:shd w:val="clear" w:color="auto" w:fill="auto"/>
          </w:tcPr>
          <w:p w14:paraId="56B13CF4">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"gene1" \o "click to view genes" </w:instrText>
            </w:r>
            <w:r>
              <w:fldChar w:fldCharType="separate"/>
            </w:r>
            <w:r>
              <w:t>GO:0040011</w:t>
            </w:r>
            <w:r>
              <w:fldChar w:fldCharType="end"/>
            </w:r>
          </w:p>
        </w:tc>
        <w:tc>
          <w:tcPr>
            <w:tcW w:w="1843" w:type="dxa"/>
            <w:tcBorders>
              <w:top w:val="nil"/>
              <w:left w:val="nil"/>
              <w:bottom w:val="nil"/>
              <w:right w:val="nil"/>
            </w:tcBorders>
            <w:shd w:val="clear" w:color="auto" w:fill="auto"/>
          </w:tcPr>
          <w:p w14:paraId="687C3714">
            <w:pPr>
              <w:spacing w:line="240" w:lineRule="auto"/>
              <w:jc w:val="left"/>
            </w:pPr>
            <w:r>
              <w:t>locomotion</w:t>
            </w:r>
          </w:p>
        </w:tc>
        <w:tc>
          <w:tcPr>
            <w:tcW w:w="1417" w:type="dxa"/>
            <w:tcBorders>
              <w:top w:val="nil"/>
              <w:left w:val="nil"/>
              <w:bottom w:val="nil"/>
              <w:right w:val="nil"/>
            </w:tcBorders>
            <w:shd w:val="clear" w:color="auto" w:fill="auto"/>
          </w:tcPr>
          <w:p w14:paraId="0059DD53">
            <w:pPr>
              <w:spacing w:line="240" w:lineRule="auto"/>
            </w:pPr>
            <w:r>
              <w:t>45 (20.18%)</w:t>
            </w:r>
          </w:p>
        </w:tc>
        <w:tc>
          <w:tcPr>
            <w:tcW w:w="1418" w:type="dxa"/>
            <w:tcBorders>
              <w:top w:val="nil"/>
              <w:left w:val="nil"/>
              <w:bottom w:val="nil"/>
              <w:right w:val="nil"/>
            </w:tcBorders>
            <w:shd w:val="clear" w:color="auto" w:fill="auto"/>
          </w:tcPr>
          <w:p w14:paraId="128C7194">
            <w:pPr>
              <w:spacing w:line="240" w:lineRule="auto"/>
            </w:pPr>
            <w:r>
              <w:t>149 (8.76%)</w:t>
            </w:r>
          </w:p>
        </w:tc>
        <w:tc>
          <w:tcPr>
            <w:tcW w:w="1134" w:type="dxa"/>
            <w:tcBorders>
              <w:top w:val="nil"/>
              <w:left w:val="nil"/>
              <w:bottom w:val="nil"/>
              <w:right w:val="nil"/>
            </w:tcBorders>
            <w:shd w:val="clear" w:color="auto" w:fill="auto"/>
          </w:tcPr>
          <w:p w14:paraId="30EDE5A1">
            <w:pPr>
              <w:spacing w:line="240" w:lineRule="auto"/>
            </w:pPr>
            <w:r>
              <w:t>0</w:t>
            </w:r>
          </w:p>
        </w:tc>
        <w:tc>
          <w:tcPr>
            <w:tcW w:w="1134" w:type="dxa"/>
            <w:tcBorders>
              <w:top w:val="nil"/>
              <w:left w:val="nil"/>
              <w:bottom w:val="nil"/>
              <w:right w:val="nil"/>
            </w:tcBorders>
            <w:shd w:val="clear" w:color="auto" w:fill="auto"/>
          </w:tcPr>
          <w:p w14:paraId="318F0F70">
            <w:pPr>
              <w:spacing w:line="240" w:lineRule="auto"/>
            </w:pPr>
            <w:r>
              <w:t>0.000001</w:t>
            </w:r>
          </w:p>
        </w:tc>
      </w:tr>
      <w:tr w14:paraId="6786A93D">
        <w:tblPrEx>
          <w:tblCellMar>
            <w:top w:w="0" w:type="dxa"/>
            <w:left w:w="108" w:type="dxa"/>
            <w:bottom w:w="0" w:type="dxa"/>
            <w:right w:w="108" w:type="dxa"/>
          </w:tblCellMar>
        </w:tblPrEx>
        <w:trPr>
          <w:trHeight w:val="462" w:hRule="atLeast"/>
          <w:jc w:val="center"/>
        </w:trPr>
        <w:tc>
          <w:tcPr>
            <w:tcW w:w="1418" w:type="dxa"/>
            <w:tcBorders>
              <w:top w:val="nil"/>
              <w:left w:val="nil"/>
              <w:bottom w:val="nil"/>
              <w:right w:val="nil"/>
            </w:tcBorders>
            <w:shd w:val="clear" w:color="auto" w:fill="auto"/>
          </w:tcPr>
          <w:p w14:paraId="1003D400">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"gene2" \o "click to view genes" </w:instrText>
            </w:r>
            <w:r>
              <w:fldChar w:fldCharType="separate"/>
            </w:r>
            <w:r>
              <w:t>GO:0032502</w:t>
            </w:r>
            <w:r>
              <w:fldChar w:fldCharType="end"/>
            </w:r>
          </w:p>
        </w:tc>
        <w:tc>
          <w:tcPr>
            <w:tcW w:w="1843" w:type="dxa"/>
            <w:tcBorders>
              <w:top w:val="nil"/>
              <w:left w:val="nil"/>
              <w:bottom w:val="nil"/>
              <w:right w:val="nil"/>
            </w:tcBorders>
            <w:shd w:val="clear" w:color="auto" w:fill="auto"/>
          </w:tcPr>
          <w:p w14:paraId="7DE8AF3B">
            <w:pPr>
              <w:spacing w:line="240" w:lineRule="auto"/>
              <w:jc w:val="left"/>
            </w:pPr>
            <w:r>
              <w:t>developmental process</w:t>
            </w:r>
          </w:p>
        </w:tc>
        <w:tc>
          <w:tcPr>
            <w:tcW w:w="1417" w:type="dxa"/>
            <w:tcBorders>
              <w:top w:val="nil"/>
              <w:left w:val="nil"/>
              <w:bottom w:val="nil"/>
              <w:right w:val="nil"/>
            </w:tcBorders>
            <w:shd w:val="clear" w:color="auto" w:fill="auto"/>
          </w:tcPr>
          <w:p w14:paraId="62976337">
            <w:pPr>
              <w:spacing w:line="240" w:lineRule="auto"/>
            </w:pPr>
            <w:r>
              <w:t>99 (44.39%)</w:t>
            </w:r>
          </w:p>
        </w:tc>
        <w:tc>
          <w:tcPr>
            <w:tcW w:w="1418" w:type="dxa"/>
            <w:tcBorders>
              <w:top w:val="nil"/>
              <w:left w:val="nil"/>
              <w:bottom w:val="nil"/>
              <w:right w:val="nil"/>
            </w:tcBorders>
            <w:shd w:val="clear" w:color="auto" w:fill="auto"/>
          </w:tcPr>
          <w:p w14:paraId="64C62DB0">
            <w:pPr>
              <w:spacing w:line="240" w:lineRule="auto"/>
            </w:pPr>
            <w:r>
              <w:t>504 (29.63%)</w:t>
            </w:r>
          </w:p>
        </w:tc>
        <w:tc>
          <w:tcPr>
            <w:tcW w:w="1134" w:type="dxa"/>
            <w:tcBorders>
              <w:top w:val="nil"/>
              <w:left w:val="nil"/>
              <w:bottom w:val="nil"/>
              <w:right w:val="nil"/>
            </w:tcBorders>
            <w:shd w:val="clear" w:color="auto" w:fill="auto"/>
          </w:tcPr>
          <w:p w14:paraId="21D3AAAE">
            <w:pPr>
              <w:spacing w:line="240" w:lineRule="auto"/>
            </w:pPr>
            <w:r>
              <w:t>0</w:t>
            </w:r>
          </w:p>
        </w:tc>
        <w:tc>
          <w:tcPr>
            <w:tcW w:w="1134" w:type="dxa"/>
            <w:tcBorders>
              <w:top w:val="nil"/>
              <w:left w:val="nil"/>
              <w:bottom w:val="nil"/>
              <w:right w:val="nil"/>
            </w:tcBorders>
            <w:shd w:val="clear" w:color="auto" w:fill="auto"/>
          </w:tcPr>
          <w:p w14:paraId="5047A4B6">
            <w:pPr>
              <w:spacing w:line="240" w:lineRule="auto"/>
            </w:pPr>
            <w:r>
              <w:t>0.000015</w:t>
            </w:r>
          </w:p>
        </w:tc>
      </w:tr>
      <w:tr w14:paraId="3343F380">
        <w:tblPrEx>
          <w:tblCellMar>
            <w:top w:w="0" w:type="dxa"/>
            <w:left w:w="108" w:type="dxa"/>
            <w:bottom w:w="0" w:type="dxa"/>
            <w:right w:w="108" w:type="dxa"/>
          </w:tblCellMar>
        </w:tblPrEx>
        <w:trPr>
          <w:trHeight w:val="545" w:hRule="atLeast"/>
          <w:jc w:val="center"/>
        </w:trPr>
        <w:tc>
          <w:tcPr>
            <w:tcW w:w="1418" w:type="dxa"/>
            <w:tcBorders>
              <w:top w:val="nil"/>
              <w:left w:val="nil"/>
              <w:bottom w:val="nil"/>
              <w:right w:val="nil"/>
            </w:tcBorders>
            <w:shd w:val="clear" w:color="auto" w:fill="auto"/>
          </w:tcPr>
          <w:p w14:paraId="3417822C">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"gene3" \o "click to view genes" </w:instrText>
            </w:r>
            <w:r>
              <w:fldChar w:fldCharType="separate"/>
            </w:r>
            <w:r>
              <w:t>GO:0007155</w:t>
            </w:r>
            <w:r>
              <w:fldChar w:fldCharType="end"/>
            </w:r>
          </w:p>
        </w:tc>
        <w:tc>
          <w:tcPr>
            <w:tcW w:w="1843" w:type="dxa"/>
            <w:tcBorders>
              <w:top w:val="nil"/>
              <w:left w:val="nil"/>
              <w:bottom w:val="nil"/>
              <w:right w:val="nil"/>
            </w:tcBorders>
            <w:shd w:val="clear" w:color="auto" w:fill="auto"/>
          </w:tcPr>
          <w:p w14:paraId="04E992E0">
            <w:pPr>
              <w:spacing w:line="240" w:lineRule="auto"/>
              <w:jc w:val="left"/>
            </w:pPr>
            <w:r>
              <w:t>cell adhesion</w:t>
            </w:r>
          </w:p>
        </w:tc>
        <w:tc>
          <w:tcPr>
            <w:tcW w:w="1417" w:type="dxa"/>
            <w:tcBorders>
              <w:top w:val="nil"/>
              <w:left w:val="nil"/>
              <w:bottom w:val="nil"/>
              <w:right w:val="nil"/>
            </w:tcBorders>
            <w:shd w:val="clear" w:color="auto" w:fill="auto"/>
          </w:tcPr>
          <w:p w14:paraId="0FB45A65">
            <w:pPr>
              <w:spacing w:line="240" w:lineRule="auto"/>
            </w:pPr>
            <w:r>
              <w:t>31 (13.9%)</w:t>
            </w:r>
          </w:p>
        </w:tc>
        <w:tc>
          <w:tcPr>
            <w:tcW w:w="1418" w:type="dxa"/>
            <w:tcBorders>
              <w:top w:val="nil"/>
              <w:left w:val="nil"/>
              <w:bottom w:val="nil"/>
              <w:right w:val="nil"/>
            </w:tcBorders>
            <w:shd w:val="clear" w:color="auto" w:fill="auto"/>
          </w:tcPr>
          <w:p w14:paraId="14FC7EF4">
            <w:pPr>
              <w:spacing w:line="240" w:lineRule="auto"/>
            </w:pPr>
            <w:r>
              <w:t>96 (5.64%)</w:t>
            </w:r>
          </w:p>
        </w:tc>
        <w:tc>
          <w:tcPr>
            <w:tcW w:w="1134" w:type="dxa"/>
            <w:tcBorders>
              <w:top w:val="nil"/>
              <w:left w:val="nil"/>
              <w:bottom w:val="nil"/>
              <w:right w:val="nil"/>
            </w:tcBorders>
            <w:shd w:val="clear" w:color="auto" w:fill="auto"/>
          </w:tcPr>
          <w:p w14:paraId="359F1B33">
            <w:pPr>
              <w:spacing w:line="240" w:lineRule="auto"/>
            </w:pPr>
            <w:r>
              <w:t>0</w:t>
            </w:r>
          </w:p>
        </w:tc>
        <w:tc>
          <w:tcPr>
            <w:tcW w:w="1134" w:type="dxa"/>
            <w:tcBorders>
              <w:top w:val="nil"/>
              <w:left w:val="nil"/>
              <w:bottom w:val="nil"/>
              <w:right w:val="nil"/>
            </w:tcBorders>
            <w:shd w:val="clear" w:color="auto" w:fill="auto"/>
          </w:tcPr>
          <w:p w14:paraId="33E35516">
            <w:pPr>
              <w:spacing w:line="240" w:lineRule="auto"/>
            </w:pPr>
            <w:r>
              <w:t>0.000015</w:t>
            </w:r>
          </w:p>
        </w:tc>
      </w:tr>
      <w:tr w14:paraId="74ECD21F">
        <w:tblPrEx>
          <w:tblCellMar>
            <w:top w:w="0" w:type="dxa"/>
            <w:left w:w="108" w:type="dxa"/>
            <w:bottom w:w="0" w:type="dxa"/>
            <w:right w:w="108" w:type="dxa"/>
          </w:tblCellMar>
        </w:tblPrEx>
        <w:trPr>
          <w:trHeight w:val="545" w:hRule="atLeast"/>
          <w:jc w:val="center"/>
        </w:trPr>
        <w:tc>
          <w:tcPr>
            <w:tcW w:w="1418" w:type="dxa"/>
            <w:tcBorders>
              <w:top w:val="nil"/>
              <w:left w:val="nil"/>
              <w:bottom w:val="nil"/>
              <w:right w:val="nil"/>
            </w:tcBorders>
            <w:shd w:val="clear" w:color="auto" w:fill="auto"/>
          </w:tcPr>
          <w:p w14:paraId="50E14C6B">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"gene4" \o "click to view genes" </w:instrText>
            </w:r>
            <w:r>
              <w:fldChar w:fldCharType="separate"/>
            </w:r>
            <w:r>
              <w:t>GO:0022610</w:t>
            </w:r>
            <w:r>
              <w:fldChar w:fldCharType="end"/>
            </w:r>
          </w:p>
        </w:tc>
        <w:tc>
          <w:tcPr>
            <w:tcW w:w="1843" w:type="dxa"/>
            <w:tcBorders>
              <w:top w:val="nil"/>
              <w:left w:val="nil"/>
              <w:bottom w:val="nil"/>
              <w:right w:val="nil"/>
            </w:tcBorders>
            <w:shd w:val="clear" w:color="auto" w:fill="auto"/>
          </w:tcPr>
          <w:p w14:paraId="6E3D7352">
            <w:pPr>
              <w:spacing w:line="240" w:lineRule="auto"/>
              <w:jc w:val="left"/>
            </w:pPr>
            <w:r>
              <w:t>biological adhesion</w:t>
            </w:r>
          </w:p>
        </w:tc>
        <w:tc>
          <w:tcPr>
            <w:tcW w:w="1417" w:type="dxa"/>
            <w:tcBorders>
              <w:top w:val="nil"/>
              <w:left w:val="nil"/>
              <w:bottom w:val="nil"/>
              <w:right w:val="nil"/>
            </w:tcBorders>
            <w:shd w:val="clear" w:color="auto" w:fill="auto"/>
          </w:tcPr>
          <w:p w14:paraId="467DF172">
            <w:pPr>
              <w:spacing w:line="240" w:lineRule="auto"/>
            </w:pPr>
            <w:r>
              <w:t>31 (13.9%)</w:t>
            </w:r>
          </w:p>
        </w:tc>
        <w:tc>
          <w:tcPr>
            <w:tcW w:w="1418" w:type="dxa"/>
            <w:tcBorders>
              <w:top w:val="nil"/>
              <w:left w:val="nil"/>
              <w:bottom w:val="nil"/>
              <w:right w:val="nil"/>
            </w:tcBorders>
            <w:shd w:val="clear" w:color="auto" w:fill="auto"/>
          </w:tcPr>
          <w:p w14:paraId="68A4888A">
            <w:pPr>
              <w:spacing w:line="240" w:lineRule="auto"/>
            </w:pPr>
            <w:r>
              <w:t>96 (5.64%)</w:t>
            </w:r>
          </w:p>
        </w:tc>
        <w:tc>
          <w:tcPr>
            <w:tcW w:w="1134" w:type="dxa"/>
            <w:tcBorders>
              <w:top w:val="nil"/>
              <w:left w:val="nil"/>
              <w:bottom w:val="nil"/>
              <w:right w:val="nil"/>
            </w:tcBorders>
            <w:shd w:val="clear" w:color="auto" w:fill="auto"/>
          </w:tcPr>
          <w:p w14:paraId="0B170614">
            <w:pPr>
              <w:spacing w:line="240" w:lineRule="auto"/>
            </w:pPr>
            <w:r>
              <w:t>0</w:t>
            </w:r>
          </w:p>
        </w:tc>
        <w:tc>
          <w:tcPr>
            <w:tcW w:w="1134" w:type="dxa"/>
            <w:tcBorders>
              <w:top w:val="nil"/>
              <w:left w:val="nil"/>
              <w:bottom w:val="nil"/>
              <w:right w:val="nil"/>
            </w:tcBorders>
            <w:shd w:val="clear" w:color="auto" w:fill="auto"/>
          </w:tcPr>
          <w:p w14:paraId="0D50EEFB">
            <w:pPr>
              <w:spacing w:line="240" w:lineRule="auto"/>
            </w:pPr>
            <w:r>
              <w:t>0.000015</w:t>
            </w:r>
          </w:p>
        </w:tc>
      </w:tr>
      <w:tr w14:paraId="0CEF3C6A">
        <w:tblPrEx>
          <w:tblCellMar>
            <w:top w:w="0" w:type="dxa"/>
            <w:left w:w="108" w:type="dxa"/>
            <w:bottom w:w="0" w:type="dxa"/>
            <w:right w:w="108" w:type="dxa"/>
          </w:tblCellMar>
        </w:tblPrEx>
        <w:trPr>
          <w:trHeight w:val="801" w:hRule="atLeast"/>
          <w:jc w:val="center"/>
        </w:trPr>
        <w:tc>
          <w:tcPr>
            <w:tcW w:w="1418" w:type="dxa"/>
            <w:tcBorders>
              <w:top w:val="nil"/>
              <w:left w:val="nil"/>
              <w:bottom w:val="nil"/>
              <w:right w:val="nil"/>
            </w:tcBorders>
            <w:shd w:val="clear" w:color="auto" w:fill="auto"/>
          </w:tcPr>
          <w:p w14:paraId="3C45DF48">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"gene5" \o "click to view genes" </w:instrText>
            </w:r>
            <w:r>
              <w:fldChar w:fldCharType="separate"/>
            </w:r>
            <w:r>
              <w:t>GO:0048856</w:t>
            </w:r>
            <w:r>
              <w:fldChar w:fldCharType="end"/>
            </w:r>
          </w:p>
        </w:tc>
        <w:tc>
          <w:tcPr>
            <w:tcW w:w="1843" w:type="dxa"/>
            <w:tcBorders>
              <w:top w:val="nil"/>
              <w:left w:val="nil"/>
              <w:bottom w:val="nil"/>
              <w:right w:val="nil"/>
            </w:tcBorders>
            <w:shd w:val="clear" w:color="auto" w:fill="auto"/>
          </w:tcPr>
          <w:p w14:paraId="5F9395E9">
            <w:pPr>
              <w:spacing w:line="240" w:lineRule="auto"/>
              <w:jc w:val="left"/>
            </w:pPr>
            <w:r>
              <w:t>anatomical structure development</w:t>
            </w:r>
          </w:p>
        </w:tc>
        <w:tc>
          <w:tcPr>
            <w:tcW w:w="1417" w:type="dxa"/>
            <w:tcBorders>
              <w:top w:val="nil"/>
              <w:left w:val="nil"/>
              <w:bottom w:val="nil"/>
              <w:right w:val="nil"/>
            </w:tcBorders>
            <w:shd w:val="clear" w:color="auto" w:fill="auto"/>
          </w:tcPr>
          <w:p w14:paraId="3BEAF3CC">
            <w:pPr>
              <w:spacing w:line="240" w:lineRule="auto"/>
            </w:pPr>
            <w:r>
              <w:t>92 (41.26%)</w:t>
            </w:r>
          </w:p>
        </w:tc>
        <w:tc>
          <w:tcPr>
            <w:tcW w:w="1418" w:type="dxa"/>
            <w:tcBorders>
              <w:top w:val="nil"/>
              <w:left w:val="nil"/>
              <w:bottom w:val="nil"/>
              <w:right w:val="nil"/>
            </w:tcBorders>
            <w:shd w:val="clear" w:color="auto" w:fill="auto"/>
          </w:tcPr>
          <w:p w14:paraId="3F979F05">
            <w:pPr>
              <w:spacing w:line="240" w:lineRule="auto"/>
            </w:pPr>
            <w:r>
              <w:t>463 (27.22%)</w:t>
            </w:r>
          </w:p>
        </w:tc>
        <w:tc>
          <w:tcPr>
            <w:tcW w:w="1134" w:type="dxa"/>
            <w:tcBorders>
              <w:top w:val="nil"/>
              <w:left w:val="nil"/>
              <w:bottom w:val="nil"/>
              <w:right w:val="nil"/>
            </w:tcBorders>
            <w:shd w:val="clear" w:color="auto" w:fill="auto"/>
          </w:tcPr>
          <w:p w14:paraId="36BC485A">
            <w:pPr>
              <w:spacing w:line="240" w:lineRule="auto"/>
            </w:pPr>
            <w:r>
              <w:t>0.000001</w:t>
            </w:r>
          </w:p>
        </w:tc>
        <w:tc>
          <w:tcPr>
            <w:tcW w:w="1134" w:type="dxa"/>
            <w:tcBorders>
              <w:top w:val="nil"/>
              <w:left w:val="nil"/>
              <w:bottom w:val="nil"/>
              <w:right w:val="nil"/>
            </w:tcBorders>
            <w:shd w:val="clear" w:color="auto" w:fill="auto"/>
          </w:tcPr>
          <w:p w14:paraId="70306DBF">
            <w:pPr>
              <w:spacing w:line="240" w:lineRule="auto"/>
            </w:pPr>
            <w:r>
              <w:t>0.000023</w:t>
            </w:r>
          </w:p>
        </w:tc>
      </w:tr>
      <w:tr w14:paraId="20CF5E2F">
        <w:tblPrEx>
          <w:tblCellMar>
            <w:top w:w="0" w:type="dxa"/>
            <w:left w:w="108" w:type="dxa"/>
            <w:bottom w:w="0" w:type="dxa"/>
            <w:right w:w="108" w:type="dxa"/>
          </w:tblCellMar>
        </w:tblPrEx>
        <w:trPr>
          <w:trHeight w:val="688" w:hRule="atLeast"/>
          <w:jc w:val="center"/>
        </w:trPr>
        <w:tc>
          <w:tcPr>
            <w:tcW w:w="1418" w:type="dxa"/>
            <w:tcBorders>
              <w:top w:val="nil"/>
              <w:left w:val="nil"/>
              <w:bottom w:val="nil"/>
              <w:right w:val="nil"/>
            </w:tcBorders>
            <w:shd w:val="clear" w:color="auto" w:fill="auto"/>
          </w:tcPr>
          <w:p w14:paraId="50ED6415">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"gene6" \o "click to view genes" </w:instrText>
            </w:r>
            <w:r>
              <w:fldChar w:fldCharType="separate"/>
            </w:r>
            <w:r>
              <w:t>GO:0009653</w:t>
            </w:r>
            <w:r>
              <w:fldChar w:fldCharType="end"/>
            </w:r>
          </w:p>
        </w:tc>
        <w:tc>
          <w:tcPr>
            <w:tcW w:w="1843" w:type="dxa"/>
            <w:tcBorders>
              <w:top w:val="nil"/>
              <w:left w:val="nil"/>
              <w:bottom w:val="nil"/>
              <w:right w:val="nil"/>
            </w:tcBorders>
            <w:shd w:val="clear" w:color="auto" w:fill="auto"/>
          </w:tcPr>
          <w:p w14:paraId="3E254E99">
            <w:pPr>
              <w:spacing w:line="240" w:lineRule="auto"/>
              <w:jc w:val="left"/>
            </w:pPr>
            <w:r>
              <w:t>anatomical structure morphogenesis</w:t>
            </w:r>
          </w:p>
        </w:tc>
        <w:tc>
          <w:tcPr>
            <w:tcW w:w="1417" w:type="dxa"/>
            <w:tcBorders>
              <w:top w:val="nil"/>
              <w:left w:val="nil"/>
              <w:bottom w:val="nil"/>
              <w:right w:val="nil"/>
            </w:tcBorders>
            <w:shd w:val="clear" w:color="auto" w:fill="auto"/>
          </w:tcPr>
          <w:p w14:paraId="38451CAC">
            <w:pPr>
              <w:spacing w:line="240" w:lineRule="auto"/>
            </w:pPr>
            <w:r>
              <w:t>42 (18.83%)</w:t>
            </w:r>
          </w:p>
        </w:tc>
        <w:tc>
          <w:tcPr>
            <w:tcW w:w="1418" w:type="dxa"/>
            <w:tcBorders>
              <w:top w:val="nil"/>
              <w:left w:val="nil"/>
              <w:bottom w:val="nil"/>
              <w:right w:val="nil"/>
            </w:tcBorders>
            <w:shd w:val="clear" w:color="auto" w:fill="auto"/>
          </w:tcPr>
          <w:p w14:paraId="4E69CB33">
            <w:pPr>
              <w:spacing w:line="240" w:lineRule="auto"/>
            </w:pPr>
            <w:r>
              <w:t>170 (9.99%)</w:t>
            </w:r>
          </w:p>
        </w:tc>
        <w:tc>
          <w:tcPr>
            <w:tcW w:w="1134" w:type="dxa"/>
            <w:tcBorders>
              <w:top w:val="nil"/>
              <w:left w:val="nil"/>
              <w:bottom w:val="nil"/>
              <w:right w:val="nil"/>
            </w:tcBorders>
            <w:shd w:val="clear" w:color="auto" w:fill="auto"/>
          </w:tcPr>
          <w:p w14:paraId="4BA53FC4">
            <w:pPr>
              <w:spacing w:line="240" w:lineRule="auto"/>
            </w:pPr>
            <w:r>
              <w:t>0.00001</w:t>
            </w:r>
          </w:p>
        </w:tc>
        <w:tc>
          <w:tcPr>
            <w:tcW w:w="1134" w:type="dxa"/>
            <w:tcBorders>
              <w:top w:val="nil"/>
              <w:left w:val="nil"/>
              <w:bottom w:val="nil"/>
              <w:right w:val="nil"/>
            </w:tcBorders>
            <w:shd w:val="clear" w:color="auto" w:fill="auto"/>
          </w:tcPr>
          <w:p w14:paraId="1D8C0CAF">
            <w:pPr>
              <w:spacing w:line="240" w:lineRule="auto"/>
            </w:pPr>
            <w:r>
              <w:t>0.000223</w:t>
            </w:r>
          </w:p>
        </w:tc>
      </w:tr>
      <w:tr w14:paraId="4D40AAC9">
        <w:tblPrEx>
          <w:tblCellMar>
            <w:top w:w="0" w:type="dxa"/>
            <w:left w:w="108" w:type="dxa"/>
            <w:bottom w:w="0" w:type="dxa"/>
            <w:right w:w="108" w:type="dxa"/>
          </w:tblCellMar>
        </w:tblPrEx>
        <w:trPr>
          <w:trHeight w:val="697" w:hRule="atLeast"/>
          <w:jc w:val="center"/>
        </w:trPr>
        <w:tc>
          <w:tcPr>
            <w:tcW w:w="1418" w:type="dxa"/>
            <w:tcBorders>
              <w:top w:val="nil"/>
              <w:left w:val="nil"/>
              <w:bottom w:val="nil"/>
              <w:right w:val="nil"/>
            </w:tcBorders>
            <w:shd w:val="clear" w:color="auto" w:fill="auto"/>
          </w:tcPr>
          <w:p w14:paraId="4E5CE4ED">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"gene7" \o "click to view genes" </w:instrText>
            </w:r>
            <w:r>
              <w:fldChar w:fldCharType="separate"/>
            </w:r>
            <w:r>
              <w:t>GO:0006928</w:t>
            </w:r>
            <w:r>
              <w:fldChar w:fldCharType="end"/>
            </w:r>
          </w:p>
        </w:tc>
        <w:tc>
          <w:tcPr>
            <w:tcW w:w="1843" w:type="dxa"/>
            <w:tcBorders>
              <w:top w:val="nil"/>
              <w:left w:val="nil"/>
              <w:bottom w:val="nil"/>
              <w:right w:val="nil"/>
            </w:tcBorders>
            <w:shd w:val="clear" w:color="auto" w:fill="auto"/>
          </w:tcPr>
          <w:p w14:paraId="5CC7263F">
            <w:pPr>
              <w:spacing w:line="240" w:lineRule="auto"/>
              <w:jc w:val="left"/>
            </w:pPr>
            <w:r>
              <w:t>movement of cell or subcellular component</w:t>
            </w:r>
          </w:p>
        </w:tc>
        <w:tc>
          <w:tcPr>
            <w:tcW w:w="1417" w:type="dxa"/>
            <w:tcBorders>
              <w:top w:val="nil"/>
              <w:left w:val="nil"/>
              <w:bottom w:val="nil"/>
              <w:right w:val="nil"/>
            </w:tcBorders>
            <w:shd w:val="clear" w:color="auto" w:fill="auto"/>
          </w:tcPr>
          <w:p w14:paraId="5F132A08">
            <w:pPr>
              <w:spacing w:line="240" w:lineRule="auto"/>
            </w:pPr>
            <w:r>
              <w:t>31 (13.9%)</w:t>
            </w:r>
          </w:p>
        </w:tc>
        <w:tc>
          <w:tcPr>
            <w:tcW w:w="1418" w:type="dxa"/>
            <w:tcBorders>
              <w:top w:val="nil"/>
              <w:left w:val="nil"/>
              <w:bottom w:val="nil"/>
              <w:right w:val="nil"/>
            </w:tcBorders>
            <w:shd w:val="clear" w:color="auto" w:fill="auto"/>
          </w:tcPr>
          <w:p w14:paraId="7D406B5D">
            <w:pPr>
              <w:spacing w:line="240" w:lineRule="auto"/>
            </w:pPr>
            <w:r>
              <w:t>111 (6.53%)</w:t>
            </w:r>
          </w:p>
        </w:tc>
        <w:tc>
          <w:tcPr>
            <w:tcW w:w="1134" w:type="dxa"/>
            <w:tcBorders>
              <w:top w:val="nil"/>
              <w:left w:val="nil"/>
              <w:bottom w:val="nil"/>
              <w:right w:val="nil"/>
            </w:tcBorders>
            <w:shd w:val="clear" w:color="auto" w:fill="auto"/>
          </w:tcPr>
          <w:p w14:paraId="2B63D5A8">
            <w:pPr>
              <w:spacing w:line="240" w:lineRule="auto"/>
            </w:pPr>
            <w:r>
              <w:t>0.000013</w:t>
            </w:r>
          </w:p>
        </w:tc>
        <w:tc>
          <w:tcPr>
            <w:tcW w:w="1134" w:type="dxa"/>
            <w:tcBorders>
              <w:top w:val="nil"/>
              <w:left w:val="nil"/>
              <w:bottom w:val="nil"/>
              <w:right w:val="nil"/>
            </w:tcBorders>
            <w:shd w:val="clear" w:color="auto" w:fill="auto"/>
          </w:tcPr>
          <w:p w14:paraId="30086613">
            <w:pPr>
              <w:spacing w:line="240" w:lineRule="auto"/>
            </w:pPr>
            <w:r>
              <w:t>0.000223</w:t>
            </w:r>
          </w:p>
        </w:tc>
      </w:tr>
      <w:tr w14:paraId="6C59682C">
        <w:tblPrEx>
          <w:tblCellMar>
            <w:top w:w="0" w:type="dxa"/>
            <w:left w:w="108" w:type="dxa"/>
            <w:bottom w:w="0" w:type="dxa"/>
            <w:right w:w="108" w:type="dxa"/>
          </w:tblCellMar>
        </w:tblPrEx>
        <w:trPr>
          <w:trHeight w:val="545" w:hRule="atLeast"/>
          <w:jc w:val="center"/>
        </w:trPr>
        <w:tc>
          <w:tcPr>
            <w:tcW w:w="1418" w:type="dxa"/>
            <w:tcBorders>
              <w:top w:val="nil"/>
              <w:left w:val="nil"/>
              <w:bottom w:val="nil"/>
              <w:right w:val="nil"/>
            </w:tcBorders>
            <w:shd w:val="clear" w:color="auto" w:fill="auto"/>
          </w:tcPr>
          <w:p w14:paraId="44E4D096">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"gene8" \o "click to view genes" </w:instrText>
            </w:r>
            <w:r>
              <w:fldChar w:fldCharType="separate"/>
            </w:r>
            <w:r>
              <w:t>GO:0048870</w:t>
            </w:r>
            <w:r>
              <w:fldChar w:fldCharType="end"/>
            </w:r>
          </w:p>
        </w:tc>
        <w:tc>
          <w:tcPr>
            <w:tcW w:w="1843" w:type="dxa"/>
            <w:tcBorders>
              <w:top w:val="nil"/>
              <w:left w:val="nil"/>
              <w:bottom w:val="nil"/>
              <w:right w:val="nil"/>
            </w:tcBorders>
            <w:shd w:val="clear" w:color="auto" w:fill="auto"/>
          </w:tcPr>
          <w:p w14:paraId="1922F618">
            <w:pPr>
              <w:spacing w:line="240" w:lineRule="auto"/>
              <w:jc w:val="left"/>
            </w:pPr>
            <w:r>
              <w:t>cell motility</w:t>
            </w:r>
          </w:p>
        </w:tc>
        <w:tc>
          <w:tcPr>
            <w:tcW w:w="1417" w:type="dxa"/>
            <w:tcBorders>
              <w:top w:val="nil"/>
              <w:left w:val="nil"/>
              <w:bottom w:val="nil"/>
              <w:right w:val="nil"/>
            </w:tcBorders>
            <w:shd w:val="clear" w:color="auto" w:fill="auto"/>
          </w:tcPr>
          <w:p w14:paraId="6D47A3E6">
            <w:pPr>
              <w:spacing w:line="240" w:lineRule="auto"/>
            </w:pPr>
            <w:r>
              <w:t>31 (13.9%)</w:t>
            </w:r>
          </w:p>
        </w:tc>
        <w:tc>
          <w:tcPr>
            <w:tcW w:w="1418" w:type="dxa"/>
            <w:tcBorders>
              <w:top w:val="nil"/>
              <w:left w:val="nil"/>
              <w:bottom w:val="nil"/>
              <w:right w:val="nil"/>
            </w:tcBorders>
            <w:shd w:val="clear" w:color="auto" w:fill="auto"/>
          </w:tcPr>
          <w:p w14:paraId="70679CB2">
            <w:pPr>
              <w:spacing w:line="240" w:lineRule="auto"/>
            </w:pPr>
            <w:r>
              <w:t>111 (6.53%)</w:t>
            </w:r>
          </w:p>
        </w:tc>
        <w:tc>
          <w:tcPr>
            <w:tcW w:w="1134" w:type="dxa"/>
            <w:tcBorders>
              <w:top w:val="nil"/>
              <w:left w:val="nil"/>
              <w:bottom w:val="nil"/>
              <w:right w:val="nil"/>
            </w:tcBorders>
            <w:shd w:val="clear" w:color="auto" w:fill="auto"/>
          </w:tcPr>
          <w:p w14:paraId="51F35977">
            <w:pPr>
              <w:spacing w:line="240" w:lineRule="auto"/>
            </w:pPr>
            <w:r>
              <w:t>0.000013</w:t>
            </w:r>
          </w:p>
        </w:tc>
        <w:tc>
          <w:tcPr>
            <w:tcW w:w="1134" w:type="dxa"/>
            <w:tcBorders>
              <w:top w:val="nil"/>
              <w:left w:val="nil"/>
              <w:bottom w:val="nil"/>
              <w:right w:val="nil"/>
            </w:tcBorders>
            <w:shd w:val="clear" w:color="auto" w:fill="auto"/>
          </w:tcPr>
          <w:p w14:paraId="7FBC0D5B">
            <w:pPr>
              <w:spacing w:line="240" w:lineRule="auto"/>
            </w:pPr>
            <w:r>
              <w:t>0.000223</w:t>
            </w:r>
          </w:p>
        </w:tc>
      </w:tr>
      <w:tr w14:paraId="0A8995E5">
        <w:tblPrEx>
          <w:tblCellMar>
            <w:top w:w="0" w:type="dxa"/>
            <w:left w:w="108" w:type="dxa"/>
            <w:bottom w:w="0" w:type="dxa"/>
            <w:right w:w="108" w:type="dxa"/>
          </w:tblCellMar>
        </w:tblPrEx>
        <w:trPr>
          <w:trHeight w:val="545" w:hRule="atLeast"/>
          <w:jc w:val="center"/>
        </w:trPr>
        <w:tc>
          <w:tcPr>
            <w:tcW w:w="1418" w:type="dxa"/>
            <w:tcBorders>
              <w:top w:val="nil"/>
              <w:left w:val="nil"/>
              <w:bottom w:val="nil"/>
              <w:right w:val="nil"/>
            </w:tcBorders>
            <w:shd w:val="clear" w:color="auto" w:fill="auto"/>
          </w:tcPr>
          <w:p w14:paraId="3CFE5399">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"gene9" \o "click to view genes" </w:instrText>
            </w:r>
            <w:r>
              <w:fldChar w:fldCharType="separate"/>
            </w:r>
            <w:r>
              <w:t>GO:0051674</w:t>
            </w:r>
            <w:r>
              <w:fldChar w:fldCharType="end"/>
            </w:r>
          </w:p>
        </w:tc>
        <w:tc>
          <w:tcPr>
            <w:tcW w:w="1843" w:type="dxa"/>
            <w:tcBorders>
              <w:top w:val="nil"/>
              <w:left w:val="nil"/>
              <w:bottom w:val="nil"/>
              <w:right w:val="nil"/>
            </w:tcBorders>
            <w:shd w:val="clear" w:color="auto" w:fill="auto"/>
          </w:tcPr>
          <w:p w14:paraId="03D9F8EA">
            <w:pPr>
              <w:spacing w:line="240" w:lineRule="auto"/>
              <w:jc w:val="left"/>
            </w:pPr>
            <w:r>
              <w:t>localization of cell</w:t>
            </w:r>
          </w:p>
        </w:tc>
        <w:tc>
          <w:tcPr>
            <w:tcW w:w="1417" w:type="dxa"/>
            <w:tcBorders>
              <w:top w:val="nil"/>
              <w:left w:val="nil"/>
              <w:bottom w:val="nil"/>
              <w:right w:val="nil"/>
            </w:tcBorders>
            <w:shd w:val="clear" w:color="auto" w:fill="auto"/>
          </w:tcPr>
          <w:p w14:paraId="5C2EE4CD">
            <w:pPr>
              <w:spacing w:line="240" w:lineRule="auto"/>
            </w:pPr>
            <w:r>
              <w:t>31 (13.9%)</w:t>
            </w:r>
          </w:p>
        </w:tc>
        <w:tc>
          <w:tcPr>
            <w:tcW w:w="1418" w:type="dxa"/>
            <w:tcBorders>
              <w:top w:val="nil"/>
              <w:left w:val="nil"/>
              <w:bottom w:val="nil"/>
              <w:right w:val="nil"/>
            </w:tcBorders>
            <w:shd w:val="clear" w:color="auto" w:fill="auto"/>
          </w:tcPr>
          <w:p w14:paraId="0E0C645E">
            <w:pPr>
              <w:spacing w:line="240" w:lineRule="auto"/>
            </w:pPr>
            <w:r>
              <w:t>111 (6.53%)</w:t>
            </w:r>
          </w:p>
        </w:tc>
        <w:tc>
          <w:tcPr>
            <w:tcW w:w="1134" w:type="dxa"/>
            <w:tcBorders>
              <w:top w:val="nil"/>
              <w:left w:val="nil"/>
              <w:bottom w:val="nil"/>
              <w:right w:val="nil"/>
            </w:tcBorders>
            <w:shd w:val="clear" w:color="auto" w:fill="auto"/>
          </w:tcPr>
          <w:p w14:paraId="0C73201A">
            <w:pPr>
              <w:spacing w:line="240" w:lineRule="auto"/>
            </w:pPr>
            <w:r>
              <w:t>0.000013</w:t>
            </w:r>
          </w:p>
        </w:tc>
        <w:tc>
          <w:tcPr>
            <w:tcW w:w="1134" w:type="dxa"/>
            <w:tcBorders>
              <w:top w:val="nil"/>
              <w:left w:val="nil"/>
              <w:bottom w:val="nil"/>
              <w:right w:val="nil"/>
            </w:tcBorders>
            <w:shd w:val="clear" w:color="auto" w:fill="auto"/>
          </w:tcPr>
          <w:p w14:paraId="37A33088">
            <w:pPr>
              <w:spacing w:line="240" w:lineRule="auto"/>
            </w:pPr>
            <w:r>
              <w:t>0.000223</w:t>
            </w:r>
          </w:p>
        </w:tc>
      </w:tr>
      <w:tr w14:paraId="5C6C77B1">
        <w:tblPrEx>
          <w:tblCellMar>
            <w:top w:w="0" w:type="dxa"/>
            <w:left w:w="108" w:type="dxa"/>
            <w:bottom w:w="0" w:type="dxa"/>
            <w:right w:w="108" w:type="dxa"/>
          </w:tblCellMar>
        </w:tblPrEx>
        <w:trPr>
          <w:trHeight w:val="419" w:hRule="atLeast"/>
          <w:jc w:val="center"/>
        </w:trPr>
        <w:tc>
          <w:tcPr>
            <w:tcW w:w="1418" w:type="dxa"/>
            <w:tcBorders>
              <w:top w:val="nil"/>
              <w:left w:val="nil"/>
              <w:bottom w:val="nil"/>
              <w:right w:val="nil"/>
            </w:tcBorders>
            <w:shd w:val="clear" w:color="auto" w:fill="auto"/>
          </w:tcPr>
          <w:p w14:paraId="5B48266A">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"gene10" \o "click to view genes" </w:instrText>
            </w:r>
            <w:r>
              <w:fldChar w:fldCharType="separate"/>
            </w:r>
            <w:r>
              <w:t>GO:0030154</w:t>
            </w:r>
            <w:r>
              <w:fldChar w:fldCharType="end"/>
            </w:r>
          </w:p>
        </w:tc>
        <w:tc>
          <w:tcPr>
            <w:tcW w:w="1843" w:type="dxa"/>
            <w:tcBorders>
              <w:top w:val="nil"/>
              <w:left w:val="nil"/>
              <w:bottom w:val="nil"/>
              <w:right w:val="nil"/>
            </w:tcBorders>
            <w:shd w:val="clear" w:color="auto" w:fill="auto"/>
          </w:tcPr>
          <w:p w14:paraId="79F6A17F">
            <w:pPr>
              <w:spacing w:line="240" w:lineRule="auto"/>
              <w:jc w:val="left"/>
            </w:pPr>
            <w:r>
              <w:t>cell differentiation</w:t>
            </w:r>
          </w:p>
        </w:tc>
        <w:tc>
          <w:tcPr>
            <w:tcW w:w="1417" w:type="dxa"/>
            <w:tcBorders>
              <w:top w:val="nil"/>
              <w:left w:val="nil"/>
              <w:bottom w:val="nil"/>
              <w:right w:val="nil"/>
            </w:tcBorders>
            <w:shd w:val="clear" w:color="auto" w:fill="auto"/>
          </w:tcPr>
          <w:p w14:paraId="059E820C">
            <w:pPr>
              <w:spacing w:line="240" w:lineRule="auto"/>
            </w:pPr>
            <w:r>
              <w:t>67 (30.04%)</w:t>
            </w:r>
          </w:p>
        </w:tc>
        <w:tc>
          <w:tcPr>
            <w:tcW w:w="1418" w:type="dxa"/>
            <w:tcBorders>
              <w:top w:val="nil"/>
              <w:left w:val="nil"/>
              <w:bottom w:val="nil"/>
              <w:right w:val="nil"/>
            </w:tcBorders>
            <w:shd w:val="clear" w:color="auto" w:fill="auto"/>
          </w:tcPr>
          <w:p w14:paraId="2CEFB20B">
            <w:pPr>
              <w:spacing w:line="240" w:lineRule="auto"/>
            </w:pPr>
            <w:r>
              <w:t>326 (19.17%)</w:t>
            </w:r>
          </w:p>
        </w:tc>
        <w:tc>
          <w:tcPr>
            <w:tcW w:w="1134" w:type="dxa"/>
            <w:tcBorders>
              <w:top w:val="nil"/>
              <w:left w:val="nil"/>
              <w:bottom w:val="nil"/>
              <w:right w:val="nil"/>
            </w:tcBorders>
            <w:shd w:val="clear" w:color="auto" w:fill="auto"/>
          </w:tcPr>
          <w:p w14:paraId="028E25DE">
            <w:pPr>
              <w:spacing w:line="240" w:lineRule="auto"/>
            </w:pPr>
            <w:r>
              <w:t>0.000017</w:t>
            </w:r>
          </w:p>
        </w:tc>
        <w:tc>
          <w:tcPr>
            <w:tcW w:w="1134" w:type="dxa"/>
            <w:tcBorders>
              <w:top w:val="nil"/>
              <w:left w:val="nil"/>
              <w:bottom w:val="nil"/>
              <w:right w:val="nil"/>
            </w:tcBorders>
            <w:shd w:val="clear" w:color="auto" w:fill="auto"/>
          </w:tcPr>
          <w:p w14:paraId="224F6F45">
            <w:pPr>
              <w:spacing w:line="240" w:lineRule="auto"/>
            </w:pPr>
            <w:r>
              <w:t>0.000256</w:t>
            </w:r>
          </w:p>
        </w:tc>
      </w:tr>
      <w:tr w14:paraId="5672EC63">
        <w:tblPrEx>
          <w:tblCellMar>
            <w:top w:w="0" w:type="dxa"/>
            <w:left w:w="108" w:type="dxa"/>
            <w:bottom w:w="0" w:type="dxa"/>
            <w:right w:w="108" w:type="dxa"/>
          </w:tblCellMar>
        </w:tblPrEx>
        <w:trPr>
          <w:trHeight w:val="688" w:hRule="atLeast"/>
          <w:jc w:val="center"/>
        </w:trPr>
        <w:tc>
          <w:tcPr>
            <w:tcW w:w="1418" w:type="dxa"/>
            <w:tcBorders>
              <w:top w:val="nil"/>
              <w:left w:val="nil"/>
              <w:bottom w:val="nil"/>
              <w:right w:val="nil"/>
            </w:tcBorders>
            <w:shd w:val="clear" w:color="auto" w:fill="auto"/>
          </w:tcPr>
          <w:p w14:paraId="4838B909">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"gene11" \o "click to view genes" </w:instrText>
            </w:r>
            <w:r>
              <w:fldChar w:fldCharType="separate"/>
            </w:r>
            <w:r>
              <w:t>GO:0048869</w:t>
            </w:r>
            <w:r>
              <w:fldChar w:fldCharType="end"/>
            </w:r>
          </w:p>
        </w:tc>
        <w:tc>
          <w:tcPr>
            <w:tcW w:w="1843" w:type="dxa"/>
            <w:tcBorders>
              <w:top w:val="nil"/>
              <w:left w:val="nil"/>
              <w:bottom w:val="nil"/>
              <w:right w:val="nil"/>
            </w:tcBorders>
            <w:shd w:val="clear" w:color="auto" w:fill="auto"/>
          </w:tcPr>
          <w:p w14:paraId="431F7226">
            <w:pPr>
              <w:spacing w:line="240" w:lineRule="auto"/>
              <w:jc w:val="left"/>
            </w:pPr>
            <w:r>
              <w:t>cellular developmental process</w:t>
            </w:r>
          </w:p>
        </w:tc>
        <w:tc>
          <w:tcPr>
            <w:tcW w:w="1417" w:type="dxa"/>
            <w:tcBorders>
              <w:top w:val="nil"/>
              <w:left w:val="nil"/>
              <w:bottom w:val="nil"/>
              <w:right w:val="nil"/>
            </w:tcBorders>
            <w:shd w:val="clear" w:color="auto" w:fill="auto"/>
          </w:tcPr>
          <w:p w14:paraId="286AFA84">
            <w:pPr>
              <w:spacing w:line="240" w:lineRule="auto"/>
            </w:pPr>
            <w:r>
              <w:t>70 (31.39%)</w:t>
            </w:r>
          </w:p>
        </w:tc>
        <w:tc>
          <w:tcPr>
            <w:tcW w:w="1418" w:type="dxa"/>
            <w:tcBorders>
              <w:top w:val="nil"/>
              <w:left w:val="nil"/>
              <w:bottom w:val="nil"/>
              <w:right w:val="nil"/>
            </w:tcBorders>
            <w:shd w:val="clear" w:color="auto" w:fill="auto"/>
          </w:tcPr>
          <w:p w14:paraId="2B196435">
            <w:pPr>
              <w:spacing w:line="240" w:lineRule="auto"/>
            </w:pPr>
            <w:r>
              <w:t>346 (20.34%)</w:t>
            </w:r>
          </w:p>
        </w:tc>
        <w:tc>
          <w:tcPr>
            <w:tcW w:w="1134" w:type="dxa"/>
            <w:tcBorders>
              <w:top w:val="nil"/>
              <w:left w:val="nil"/>
              <w:bottom w:val="nil"/>
              <w:right w:val="nil"/>
            </w:tcBorders>
            <w:shd w:val="clear" w:color="auto" w:fill="auto"/>
          </w:tcPr>
          <w:p w14:paraId="08261F52">
            <w:pPr>
              <w:spacing w:line="240" w:lineRule="auto"/>
            </w:pPr>
            <w:r>
              <w:t>0.000018</w:t>
            </w:r>
          </w:p>
        </w:tc>
        <w:tc>
          <w:tcPr>
            <w:tcW w:w="1134" w:type="dxa"/>
            <w:tcBorders>
              <w:top w:val="nil"/>
              <w:left w:val="nil"/>
              <w:bottom w:val="nil"/>
              <w:right w:val="nil"/>
            </w:tcBorders>
            <w:shd w:val="clear" w:color="auto" w:fill="auto"/>
          </w:tcPr>
          <w:p w14:paraId="398C4D01">
            <w:pPr>
              <w:spacing w:line="240" w:lineRule="auto"/>
            </w:pPr>
            <w:r>
              <w:t>0.000256</w:t>
            </w:r>
          </w:p>
        </w:tc>
      </w:tr>
      <w:tr w14:paraId="36CD28D2">
        <w:tblPrEx>
          <w:tblCellMar>
            <w:top w:w="0" w:type="dxa"/>
            <w:left w:w="108" w:type="dxa"/>
            <w:bottom w:w="0" w:type="dxa"/>
            <w:right w:w="108" w:type="dxa"/>
          </w:tblCellMar>
        </w:tblPrEx>
        <w:trPr>
          <w:trHeight w:val="697" w:hRule="atLeast"/>
          <w:jc w:val="center"/>
        </w:trPr>
        <w:tc>
          <w:tcPr>
            <w:tcW w:w="1418" w:type="dxa"/>
            <w:tcBorders>
              <w:top w:val="nil"/>
              <w:left w:val="nil"/>
              <w:bottom w:val="nil"/>
              <w:right w:val="nil"/>
            </w:tcBorders>
            <w:shd w:val="clear" w:color="auto" w:fill="auto"/>
          </w:tcPr>
          <w:p w14:paraId="11E387AE">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"gene12" \o "click to view genes" </w:instrText>
            </w:r>
            <w:r>
              <w:fldChar w:fldCharType="separate"/>
            </w:r>
            <w:r>
              <w:t>GO:0044763</w:t>
            </w:r>
            <w:r>
              <w:fldChar w:fldCharType="end"/>
            </w:r>
          </w:p>
        </w:tc>
        <w:tc>
          <w:tcPr>
            <w:tcW w:w="1843" w:type="dxa"/>
            <w:tcBorders>
              <w:top w:val="nil"/>
              <w:left w:val="nil"/>
              <w:bottom w:val="nil"/>
              <w:right w:val="nil"/>
            </w:tcBorders>
            <w:shd w:val="clear" w:color="auto" w:fill="auto"/>
          </w:tcPr>
          <w:p w14:paraId="60D8DF66">
            <w:pPr>
              <w:spacing w:line="240" w:lineRule="auto"/>
              <w:jc w:val="left"/>
            </w:pPr>
            <w:r>
              <w:t>single-organism cellular process</w:t>
            </w:r>
          </w:p>
        </w:tc>
        <w:tc>
          <w:tcPr>
            <w:tcW w:w="1417" w:type="dxa"/>
            <w:tcBorders>
              <w:top w:val="nil"/>
              <w:left w:val="nil"/>
              <w:bottom w:val="nil"/>
              <w:right w:val="nil"/>
            </w:tcBorders>
            <w:shd w:val="clear" w:color="auto" w:fill="auto"/>
          </w:tcPr>
          <w:p w14:paraId="7AFF26F0">
            <w:pPr>
              <w:spacing w:line="240" w:lineRule="auto"/>
            </w:pPr>
            <w:r>
              <w:t>150 (67.26%)</w:t>
            </w:r>
          </w:p>
        </w:tc>
        <w:tc>
          <w:tcPr>
            <w:tcW w:w="1418" w:type="dxa"/>
            <w:tcBorders>
              <w:top w:val="nil"/>
              <w:left w:val="nil"/>
              <w:bottom w:val="nil"/>
              <w:right w:val="nil"/>
            </w:tcBorders>
            <w:shd w:val="clear" w:color="auto" w:fill="auto"/>
          </w:tcPr>
          <w:p w14:paraId="2985D20E">
            <w:pPr>
              <w:spacing w:line="240" w:lineRule="auto"/>
            </w:pPr>
            <w:r>
              <w:t>928 (54.56%)</w:t>
            </w:r>
          </w:p>
        </w:tc>
        <w:tc>
          <w:tcPr>
            <w:tcW w:w="1134" w:type="dxa"/>
            <w:tcBorders>
              <w:top w:val="nil"/>
              <w:left w:val="nil"/>
              <w:bottom w:val="nil"/>
              <w:right w:val="nil"/>
            </w:tcBorders>
            <w:shd w:val="clear" w:color="auto" w:fill="auto"/>
          </w:tcPr>
          <w:p w14:paraId="0DD82926">
            <w:pPr>
              <w:spacing w:line="240" w:lineRule="auto"/>
            </w:pPr>
            <w:r>
              <w:t>0.000025</w:t>
            </w:r>
          </w:p>
        </w:tc>
        <w:tc>
          <w:tcPr>
            <w:tcW w:w="1134" w:type="dxa"/>
            <w:tcBorders>
              <w:top w:val="nil"/>
              <w:left w:val="nil"/>
              <w:bottom w:val="nil"/>
              <w:right w:val="nil"/>
            </w:tcBorders>
            <w:shd w:val="clear" w:color="auto" w:fill="auto"/>
          </w:tcPr>
          <w:p w14:paraId="38AF43EA">
            <w:pPr>
              <w:spacing w:line="240" w:lineRule="auto"/>
            </w:pPr>
            <w:r>
              <w:t>0.000315</w:t>
            </w:r>
          </w:p>
        </w:tc>
      </w:tr>
      <w:tr w14:paraId="75C5C642">
        <w:tblPrEx>
          <w:tblCellMar>
            <w:top w:w="0" w:type="dxa"/>
            <w:left w:w="108" w:type="dxa"/>
            <w:bottom w:w="0" w:type="dxa"/>
            <w:right w:w="108" w:type="dxa"/>
          </w:tblCellMar>
        </w:tblPrEx>
        <w:trPr>
          <w:trHeight w:val="555" w:hRule="atLeast"/>
          <w:jc w:val="center"/>
        </w:trPr>
        <w:tc>
          <w:tcPr>
            <w:tcW w:w="1418" w:type="dxa"/>
            <w:tcBorders>
              <w:top w:val="nil"/>
              <w:left w:val="nil"/>
              <w:bottom w:val="nil"/>
              <w:right w:val="nil"/>
            </w:tcBorders>
            <w:shd w:val="clear" w:color="auto" w:fill="auto"/>
          </w:tcPr>
          <w:p w14:paraId="77A3DEB2">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"gene13" \o "click to view genes" </w:instrText>
            </w:r>
            <w:r>
              <w:fldChar w:fldCharType="separate"/>
            </w:r>
            <w:r>
              <w:t>GO:0044699</w:t>
            </w:r>
            <w:r>
              <w:fldChar w:fldCharType="end"/>
            </w:r>
          </w:p>
        </w:tc>
        <w:tc>
          <w:tcPr>
            <w:tcW w:w="1843" w:type="dxa"/>
            <w:tcBorders>
              <w:top w:val="nil"/>
              <w:left w:val="nil"/>
              <w:bottom w:val="nil"/>
              <w:right w:val="nil"/>
            </w:tcBorders>
            <w:shd w:val="clear" w:color="auto" w:fill="auto"/>
          </w:tcPr>
          <w:p w14:paraId="64A34DC5">
            <w:pPr>
              <w:spacing w:line="240" w:lineRule="auto"/>
              <w:jc w:val="left"/>
            </w:pPr>
            <w:r>
              <w:t>single-organism process</w:t>
            </w:r>
          </w:p>
        </w:tc>
        <w:tc>
          <w:tcPr>
            <w:tcW w:w="1417" w:type="dxa"/>
            <w:tcBorders>
              <w:top w:val="nil"/>
              <w:left w:val="nil"/>
              <w:bottom w:val="nil"/>
              <w:right w:val="nil"/>
            </w:tcBorders>
            <w:shd w:val="clear" w:color="auto" w:fill="auto"/>
          </w:tcPr>
          <w:p w14:paraId="67EB6930">
            <w:pPr>
              <w:spacing w:line="240" w:lineRule="auto"/>
            </w:pPr>
            <w:r>
              <w:t>170 (76.23%)</w:t>
            </w:r>
          </w:p>
        </w:tc>
        <w:tc>
          <w:tcPr>
            <w:tcW w:w="1418" w:type="dxa"/>
            <w:tcBorders>
              <w:top w:val="nil"/>
              <w:left w:val="nil"/>
              <w:bottom w:val="nil"/>
              <w:right w:val="nil"/>
            </w:tcBorders>
            <w:shd w:val="clear" w:color="auto" w:fill="auto"/>
          </w:tcPr>
          <w:p w14:paraId="4D2F427C">
            <w:pPr>
              <w:spacing w:line="240" w:lineRule="auto"/>
            </w:pPr>
            <w:r>
              <w:t>1097 (64.49%)</w:t>
            </w:r>
          </w:p>
        </w:tc>
        <w:tc>
          <w:tcPr>
            <w:tcW w:w="1134" w:type="dxa"/>
            <w:tcBorders>
              <w:top w:val="nil"/>
              <w:left w:val="nil"/>
              <w:bottom w:val="nil"/>
              <w:right w:val="nil"/>
            </w:tcBorders>
            <w:shd w:val="clear" w:color="auto" w:fill="auto"/>
          </w:tcPr>
          <w:p w14:paraId="2916660A">
            <w:pPr>
              <w:spacing w:line="240" w:lineRule="auto"/>
            </w:pPr>
            <w:r>
              <w:t>0.000038</w:t>
            </w:r>
          </w:p>
        </w:tc>
        <w:tc>
          <w:tcPr>
            <w:tcW w:w="1134" w:type="dxa"/>
            <w:tcBorders>
              <w:top w:val="nil"/>
              <w:left w:val="nil"/>
              <w:bottom w:val="nil"/>
              <w:right w:val="nil"/>
            </w:tcBorders>
            <w:shd w:val="clear" w:color="auto" w:fill="auto"/>
          </w:tcPr>
          <w:p w14:paraId="5B55630D">
            <w:pPr>
              <w:spacing w:line="240" w:lineRule="auto"/>
            </w:pPr>
            <w:r>
              <w:t>0.000456</w:t>
            </w:r>
          </w:p>
        </w:tc>
      </w:tr>
      <w:tr w14:paraId="01837F44">
        <w:tblPrEx>
          <w:tblCellMar>
            <w:top w:w="0" w:type="dxa"/>
            <w:left w:w="108" w:type="dxa"/>
            <w:bottom w:w="0" w:type="dxa"/>
            <w:right w:w="108" w:type="dxa"/>
          </w:tblCellMar>
        </w:tblPrEx>
        <w:trPr>
          <w:trHeight w:val="127" w:hRule="atLeast"/>
          <w:jc w:val="center"/>
        </w:trPr>
        <w:tc>
          <w:tcPr>
            <w:tcW w:w="1418" w:type="dxa"/>
            <w:tcBorders>
              <w:top w:val="nil"/>
              <w:left w:val="nil"/>
              <w:bottom w:val="single" w:color="auto" w:sz="4" w:space="0"/>
              <w:right w:val="nil"/>
            </w:tcBorders>
            <w:shd w:val="clear" w:color="auto" w:fill="auto"/>
          </w:tcPr>
          <w:p w14:paraId="3F53B854">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_vs_NT.P.html" \l "gene14" \o "click to view genes" </w:instrText>
            </w:r>
            <w:r>
              <w:fldChar w:fldCharType="separate"/>
            </w:r>
            <w:r>
              <w:t>GO:0044767</w:t>
            </w:r>
            <w:r>
              <w:fldChar w:fldCharType="end"/>
            </w:r>
          </w:p>
        </w:tc>
        <w:tc>
          <w:tcPr>
            <w:tcW w:w="1843" w:type="dxa"/>
            <w:tcBorders>
              <w:top w:val="nil"/>
              <w:left w:val="nil"/>
              <w:bottom w:val="single" w:color="auto" w:sz="4" w:space="0"/>
              <w:right w:val="nil"/>
            </w:tcBorders>
            <w:shd w:val="clear" w:color="auto" w:fill="auto"/>
          </w:tcPr>
          <w:p w14:paraId="09D34D27">
            <w:pPr>
              <w:spacing w:line="240" w:lineRule="auto"/>
              <w:jc w:val="left"/>
            </w:pPr>
            <w:r>
              <w:t>single-organism developmental process</w:t>
            </w:r>
          </w:p>
        </w:tc>
        <w:tc>
          <w:tcPr>
            <w:tcW w:w="1417" w:type="dxa"/>
            <w:tcBorders>
              <w:top w:val="nil"/>
              <w:left w:val="nil"/>
              <w:bottom w:val="single" w:color="auto" w:sz="4" w:space="0"/>
              <w:right w:val="nil"/>
            </w:tcBorders>
            <w:shd w:val="clear" w:color="auto" w:fill="auto"/>
          </w:tcPr>
          <w:p w14:paraId="0A439475">
            <w:pPr>
              <w:spacing w:line="240" w:lineRule="auto"/>
            </w:pPr>
            <w:r>
              <w:t>75 (33.63%)</w:t>
            </w:r>
          </w:p>
        </w:tc>
        <w:tc>
          <w:tcPr>
            <w:tcW w:w="1418" w:type="dxa"/>
            <w:tcBorders>
              <w:top w:val="nil"/>
              <w:left w:val="nil"/>
              <w:bottom w:val="single" w:color="auto" w:sz="4" w:space="0"/>
              <w:right w:val="nil"/>
            </w:tcBorders>
            <w:shd w:val="clear" w:color="auto" w:fill="auto"/>
          </w:tcPr>
          <w:p w14:paraId="5DA30453">
            <w:pPr>
              <w:spacing w:line="240" w:lineRule="auto"/>
            </w:pPr>
            <w:r>
              <w:t>391 (22.99%)</w:t>
            </w:r>
          </w:p>
        </w:tc>
        <w:tc>
          <w:tcPr>
            <w:tcW w:w="1134" w:type="dxa"/>
            <w:tcBorders>
              <w:top w:val="nil"/>
              <w:left w:val="nil"/>
              <w:bottom w:val="single" w:color="auto" w:sz="4" w:space="0"/>
              <w:right w:val="nil"/>
            </w:tcBorders>
            <w:shd w:val="clear" w:color="auto" w:fill="auto"/>
          </w:tcPr>
          <w:p w14:paraId="51E9CA5B">
            <w:pPr>
              <w:spacing w:line="240" w:lineRule="auto"/>
            </w:pPr>
            <w:r>
              <w:t>0.000063</w:t>
            </w:r>
          </w:p>
        </w:tc>
        <w:tc>
          <w:tcPr>
            <w:tcW w:w="1134" w:type="dxa"/>
            <w:tcBorders>
              <w:top w:val="nil"/>
              <w:left w:val="nil"/>
              <w:bottom w:val="single" w:color="auto" w:sz="4" w:space="0"/>
              <w:right w:val="nil"/>
            </w:tcBorders>
            <w:shd w:val="clear" w:color="auto" w:fill="auto"/>
          </w:tcPr>
          <w:p w14:paraId="1104D59C">
            <w:pPr>
              <w:spacing w:line="240" w:lineRule="auto"/>
            </w:pPr>
            <w:r>
              <w:t>0.000693</w:t>
            </w:r>
          </w:p>
        </w:tc>
      </w:tr>
    </w:tbl>
    <w:p w14:paraId="2CB61305"/>
    <w:p w14:paraId="60046CF3">
      <w:r>
        <w:br w:type="page"/>
      </w:r>
    </w:p>
    <w:p w14:paraId="24D48C38">
      <w:pPr>
        <w:rPr>
          <w:b/>
        </w:rPr>
      </w:pPr>
      <w:r>
        <w:rPr>
          <w:b/>
        </w:rPr>
        <w:t>Supplementary Table 8. N15_</w:t>
      </w:r>
      <w:r>
        <w:rPr>
          <w:b/>
          <w:i/>
          <w:iCs/>
        </w:rPr>
        <w:t>vs</w:t>
      </w:r>
      <w:r>
        <w:rPr>
          <w:b/>
        </w:rPr>
        <w:t>_NT GO Enrichment (Molecular Function)</w:t>
      </w:r>
    </w:p>
    <w:tbl>
      <w:tblPr>
        <w:tblStyle w:val="6"/>
        <w:tblW w:w="8222" w:type="dxa"/>
        <w:tblInd w:w="0" w:type="dxa"/>
        <w:tblLayout w:type="fixed"/>
        <w:tblCellMar>
          <w:top w:w="0" w:type="dxa"/>
          <w:left w:w="108" w:type="dxa"/>
          <w:bottom w:w="0" w:type="dxa"/>
          <w:right w:w="108" w:type="dxa"/>
        </w:tblCellMar>
      </w:tblPr>
      <w:tblGrid>
        <w:gridCol w:w="1418"/>
        <w:gridCol w:w="1843"/>
        <w:gridCol w:w="1417"/>
        <w:gridCol w:w="1276"/>
        <w:gridCol w:w="1134"/>
        <w:gridCol w:w="1134"/>
      </w:tblGrid>
      <w:tr w14:paraId="27D5E907">
        <w:tblPrEx>
          <w:tblCellMar>
            <w:top w:w="0" w:type="dxa"/>
            <w:left w:w="108" w:type="dxa"/>
            <w:bottom w:w="0" w:type="dxa"/>
            <w:right w:w="108" w:type="dxa"/>
          </w:tblCellMar>
        </w:tblPrEx>
        <w:trPr>
          <w:trHeight w:val="560" w:hRule="atLeast"/>
        </w:trPr>
        <w:tc>
          <w:tcPr>
            <w:tcW w:w="1418" w:type="dxa"/>
            <w:tcBorders>
              <w:top w:val="single" w:color="auto" w:sz="4" w:space="0"/>
              <w:left w:val="nil"/>
              <w:bottom w:val="single" w:color="auto" w:sz="4" w:space="0"/>
              <w:right w:val="nil"/>
            </w:tcBorders>
            <w:shd w:val="clear" w:color="auto" w:fill="auto"/>
            <w:vAlign w:val="center"/>
          </w:tcPr>
          <w:p w14:paraId="09140BBA">
            <w:r>
              <w:t>GO ID</w:t>
            </w:r>
          </w:p>
        </w:tc>
        <w:tc>
          <w:tcPr>
            <w:tcW w:w="1843" w:type="dxa"/>
            <w:tcBorders>
              <w:top w:val="single" w:color="auto" w:sz="4" w:space="0"/>
              <w:left w:val="nil"/>
              <w:bottom w:val="single" w:color="auto" w:sz="4" w:space="0"/>
              <w:right w:val="nil"/>
            </w:tcBorders>
            <w:shd w:val="clear" w:color="auto" w:fill="auto"/>
            <w:vAlign w:val="center"/>
          </w:tcPr>
          <w:p w14:paraId="611287B4">
            <w:r>
              <w:t>Description</w:t>
            </w:r>
          </w:p>
        </w:tc>
        <w:tc>
          <w:tcPr>
            <w:tcW w:w="1417" w:type="dxa"/>
            <w:tcBorders>
              <w:top w:val="single" w:color="auto" w:sz="4" w:space="0"/>
              <w:left w:val="nil"/>
              <w:bottom w:val="single" w:color="auto" w:sz="4" w:space="0"/>
              <w:right w:val="nil"/>
            </w:tcBorders>
            <w:shd w:val="clear" w:color="auto" w:fill="auto"/>
            <w:vAlign w:val="center"/>
          </w:tcPr>
          <w:p w14:paraId="1EECF9E1">
            <w:r>
              <w:t>GeneRatio (228)</w:t>
            </w:r>
          </w:p>
        </w:tc>
        <w:tc>
          <w:tcPr>
            <w:tcW w:w="1276" w:type="dxa"/>
            <w:tcBorders>
              <w:top w:val="single" w:color="auto" w:sz="4" w:space="0"/>
              <w:left w:val="nil"/>
              <w:bottom w:val="single" w:color="auto" w:sz="4" w:space="0"/>
              <w:right w:val="nil"/>
            </w:tcBorders>
            <w:shd w:val="clear" w:color="auto" w:fill="auto"/>
            <w:vAlign w:val="center"/>
          </w:tcPr>
          <w:p w14:paraId="043AFF63">
            <w:r>
              <w:t>BgRatio (1871)</w:t>
            </w:r>
          </w:p>
        </w:tc>
        <w:tc>
          <w:tcPr>
            <w:tcW w:w="1134" w:type="dxa"/>
            <w:tcBorders>
              <w:top w:val="single" w:color="auto" w:sz="4" w:space="0"/>
              <w:left w:val="nil"/>
              <w:bottom w:val="single" w:color="auto" w:sz="4" w:space="0"/>
              <w:right w:val="nil"/>
            </w:tcBorders>
            <w:shd w:val="clear" w:color="auto" w:fill="auto"/>
            <w:vAlign w:val="center"/>
          </w:tcPr>
          <w:p w14:paraId="666439DA">
            <w:r>
              <w:t>p value</w:t>
            </w:r>
          </w:p>
        </w:tc>
        <w:tc>
          <w:tcPr>
            <w:tcW w:w="1134" w:type="dxa"/>
            <w:tcBorders>
              <w:top w:val="single" w:color="auto" w:sz="4" w:space="0"/>
              <w:left w:val="nil"/>
              <w:bottom w:val="single" w:color="auto" w:sz="4" w:space="0"/>
              <w:right w:val="nil"/>
            </w:tcBorders>
            <w:shd w:val="clear" w:color="auto" w:fill="auto"/>
            <w:vAlign w:val="center"/>
          </w:tcPr>
          <w:p w14:paraId="2E0C4593">
            <w:r>
              <w:t>q value</w:t>
            </w:r>
          </w:p>
        </w:tc>
      </w:tr>
      <w:tr w14:paraId="20B6191A">
        <w:tblPrEx>
          <w:tblCellMar>
            <w:top w:w="0" w:type="dxa"/>
            <w:left w:w="108" w:type="dxa"/>
            <w:bottom w:w="0" w:type="dxa"/>
            <w:right w:w="108" w:type="dxa"/>
          </w:tblCellMar>
        </w:tblPrEx>
        <w:trPr>
          <w:trHeight w:val="1025" w:hRule="atLeast"/>
        </w:trPr>
        <w:tc>
          <w:tcPr>
            <w:tcW w:w="1418" w:type="dxa"/>
            <w:tcBorders>
              <w:top w:val="nil"/>
              <w:left w:val="nil"/>
              <w:bottom w:val="nil"/>
              <w:right w:val="nil"/>
            </w:tcBorders>
            <w:shd w:val="clear" w:color="auto" w:fill="auto"/>
          </w:tcPr>
          <w:p w14:paraId="5459761A">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F.html" \l "gene1" \o "click to view genes" </w:instrText>
            </w:r>
            <w:r>
              <w:fldChar w:fldCharType="separate"/>
            </w:r>
            <w:r>
              <w:t>GO:0016772</w:t>
            </w:r>
            <w:r>
              <w:fldChar w:fldCharType="end"/>
            </w:r>
          </w:p>
        </w:tc>
        <w:tc>
          <w:tcPr>
            <w:tcW w:w="1843" w:type="dxa"/>
            <w:tcBorders>
              <w:top w:val="nil"/>
              <w:left w:val="nil"/>
              <w:bottom w:val="nil"/>
              <w:right w:val="nil"/>
            </w:tcBorders>
            <w:shd w:val="clear" w:color="auto" w:fill="auto"/>
          </w:tcPr>
          <w:p w14:paraId="0714A501">
            <w:pPr>
              <w:jc w:val="left"/>
            </w:pPr>
            <w:r>
              <w:t>transferase activity, transferring phosphorus-containing groups</w:t>
            </w:r>
          </w:p>
        </w:tc>
        <w:tc>
          <w:tcPr>
            <w:tcW w:w="1417" w:type="dxa"/>
            <w:tcBorders>
              <w:top w:val="nil"/>
              <w:left w:val="nil"/>
              <w:bottom w:val="nil"/>
              <w:right w:val="nil"/>
            </w:tcBorders>
            <w:shd w:val="clear" w:color="auto" w:fill="auto"/>
          </w:tcPr>
          <w:p w14:paraId="3E0ADDDF">
            <w:r>
              <w:t>27 (11.84%)</w:t>
            </w:r>
          </w:p>
        </w:tc>
        <w:tc>
          <w:tcPr>
            <w:tcW w:w="1276" w:type="dxa"/>
            <w:tcBorders>
              <w:top w:val="nil"/>
              <w:left w:val="nil"/>
              <w:bottom w:val="nil"/>
              <w:right w:val="nil"/>
            </w:tcBorders>
            <w:shd w:val="clear" w:color="auto" w:fill="auto"/>
          </w:tcPr>
          <w:p w14:paraId="41EE8AEE">
            <w:r>
              <w:t>115 (6.15%)</w:t>
            </w:r>
          </w:p>
        </w:tc>
        <w:tc>
          <w:tcPr>
            <w:tcW w:w="1134" w:type="dxa"/>
            <w:tcBorders>
              <w:top w:val="nil"/>
              <w:left w:val="nil"/>
              <w:bottom w:val="nil"/>
              <w:right w:val="nil"/>
            </w:tcBorders>
            <w:shd w:val="clear" w:color="auto" w:fill="auto"/>
          </w:tcPr>
          <w:p w14:paraId="77549AE8">
            <w:r>
              <w:t>0.000361</w:t>
            </w:r>
          </w:p>
        </w:tc>
        <w:tc>
          <w:tcPr>
            <w:tcW w:w="1134" w:type="dxa"/>
            <w:tcBorders>
              <w:top w:val="nil"/>
              <w:left w:val="nil"/>
              <w:bottom w:val="nil"/>
              <w:right w:val="nil"/>
            </w:tcBorders>
            <w:shd w:val="clear" w:color="auto" w:fill="auto"/>
          </w:tcPr>
          <w:p w14:paraId="03C7BD4E">
            <w:r>
              <w:t>0.015492</w:t>
            </w:r>
          </w:p>
        </w:tc>
      </w:tr>
      <w:tr w14:paraId="04DE31DC">
        <w:tblPrEx>
          <w:tblCellMar>
            <w:top w:w="0" w:type="dxa"/>
            <w:left w:w="108" w:type="dxa"/>
            <w:bottom w:w="0" w:type="dxa"/>
            <w:right w:w="108" w:type="dxa"/>
          </w:tblCellMar>
        </w:tblPrEx>
        <w:trPr>
          <w:trHeight w:val="560" w:hRule="atLeast"/>
        </w:trPr>
        <w:tc>
          <w:tcPr>
            <w:tcW w:w="1418" w:type="dxa"/>
            <w:tcBorders>
              <w:top w:val="nil"/>
              <w:left w:val="nil"/>
              <w:bottom w:val="nil"/>
              <w:right w:val="nil"/>
            </w:tcBorders>
            <w:shd w:val="clear" w:color="auto" w:fill="auto"/>
          </w:tcPr>
          <w:p w14:paraId="04EDC407">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F.html" \l "gene2" \o "click to view genes" </w:instrText>
            </w:r>
            <w:r>
              <w:fldChar w:fldCharType="separate"/>
            </w:r>
            <w:r>
              <w:t>GO:0016301</w:t>
            </w:r>
            <w:r>
              <w:fldChar w:fldCharType="end"/>
            </w:r>
          </w:p>
        </w:tc>
        <w:tc>
          <w:tcPr>
            <w:tcW w:w="1843" w:type="dxa"/>
            <w:tcBorders>
              <w:top w:val="nil"/>
              <w:left w:val="nil"/>
              <w:bottom w:val="nil"/>
              <w:right w:val="nil"/>
            </w:tcBorders>
            <w:shd w:val="clear" w:color="auto" w:fill="auto"/>
          </w:tcPr>
          <w:p w14:paraId="30860242">
            <w:pPr>
              <w:jc w:val="left"/>
            </w:pPr>
            <w:r>
              <w:t>kinase activity</w:t>
            </w:r>
          </w:p>
        </w:tc>
        <w:tc>
          <w:tcPr>
            <w:tcW w:w="1417" w:type="dxa"/>
            <w:tcBorders>
              <w:top w:val="nil"/>
              <w:left w:val="nil"/>
              <w:bottom w:val="nil"/>
              <w:right w:val="nil"/>
            </w:tcBorders>
            <w:shd w:val="clear" w:color="auto" w:fill="auto"/>
          </w:tcPr>
          <w:p w14:paraId="20115CEB">
            <w:r>
              <w:t>24 (10.53%)</w:t>
            </w:r>
          </w:p>
        </w:tc>
        <w:tc>
          <w:tcPr>
            <w:tcW w:w="1276" w:type="dxa"/>
            <w:tcBorders>
              <w:top w:val="nil"/>
              <w:left w:val="nil"/>
              <w:bottom w:val="nil"/>
              <w:right w:val="nil"/>
            </w:tcBorders>
            <w:shd w:val="clear" w:color="auto" w:fill="auto"/>
          </w:tcPr>
          <w:p w14:paraId="55266D06">
            <w:r>
              <w:t>100 (5.34%)</w:t>
            </w:r>
          </w:p>
        </w:tc>
        <w:tc>
          <w:tcPr>
            <w:tcW w:w="1134" w:type="dxa"/>
            <w:tcBorders>
              <w:top w:val="nil"/>
              <w:left w:val="nil"/>
              <w:bottom w:val="nil"/>
              <w:right w:val="nil"/>
            </w:tcBorders>
            <w:shd w:val="clear" w:color="auto" w:fill="auto"/>
          </w:tcPr>
          <w:p w14:paraId="3E316E39">
            <w:r>
              <w:t>0.000553</w:t>
            </w:r>
          </w:p>
        </w:tc>
        <w:tc>
          <w:tcPr>
            <w:tcW w:w="1134" w:type="dxa"/>
            <w:tcBorders>
              <w:top w:val="nil"/>
              <w:left w:val="nil"/>
              <w:bottom w:val="nil"/>
              <w:right w:val="nil"/>
            </w:tcBorders>
            <w:shd w:val="clear" w:color="auto" w:fill="auto"/>
          </w:tcPr>
          <w:p w14:paraId="095E61E5">
            <w:r>
              <w:t>0.015492</w:t>
            </w:r>
          </w:p>
        </w:tc>
      </w:tr>
      <w:tr w14:paraId="3103CECF">
        <w:tblPrEx>
          <w:tblCellMar>
            <w:top w:w="0" w:type="dxa"/>
            <w:left w:w="108" w:type="dxa"/>
            <w:bottom w:w="0" w:type="dxa"/>
            <w:right w:w="108" w:type="dxa"/>
          </w:tblCellMar>
        </w:tblPrEx>
        <w:trPr>
          <w:trHeight w:val="560" w:hRule="atLeast"/>
        </w:trPr>
        <w:tc>
          <w:tcPr>
            <w:tcW w:w="1418" w:type="dxa"/>
            <w:tcBorders>
              <w:top w:val="nil"/>
              <w:left w:val="nil"/>
              <w:bottom w:val="nil"/>
              <w:right w:val="nil"/>
            </w:tcBorders>
            <w:shd w:val="clear" w:color="auto" w:fill="auto"/>
          </w:tcPr>
          <w:p w14:paraId="5B2B8A14">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F.html" \l "gene3" \o "click to view genes" </w:instrText>
            </w:r>
            <w:r>
              <w:fldChar w:fldCharType="separate"/>
            </w:r>
            <w:r>
              <w:t>GO:0008289</w:t>
            </w:r>
            <w:r>
              <w:fldChar w:fldCharType="end"/>
            </w:r>
          </w:p>
        </w:tc>
        <w:tc>
          <w:tcPr>
            <w:tcW w:w="1843" w:type="dxa"/>
            <w:tcBorders>
              <w:top w:val="nil"/>
              <w:left w:val="nil"/>
              <w:bottom w:val="nil"/>
              <w:right w:val="nil"/>
            </w:tcBorders>
            <w:shd w:val="clear" w:color="auto" w:fill="auto"/>
          </w:tcPr>
          <w:p w14:paraId="305D1435">
            <w:pPr>
              <w:jc w:val="left"/>
            </w:pPr>
            <w:r>
              <w:t>lipid binding</w:t>
            </w:r>
          </w:p>
        </w:tc>
        <w:tc>
          <w:tcPr>
            <w:tcW w:w="1417" w:type="dxa"/>
            <w:tcBorders>
              <w:top w:val="nil"/>
              <w:left w:val="nil"/>
              <w:bottom w:val="nil"/>
              <w:right w:val="nil"/>
            </w:tcBorders>
            <w:shd w:val="clear" w:color="auto" w:fill="auto"/>
          </w:tcPr>
          <w:p w14:paraId="7DDD0127">
            <w:r>
              <w:t>15 (6.58%)</w:t>
            </w:r>
          </w:p>
        </w:tc>
        <w:tc>
          <w:tcPr>
            <w:tcW w:w="1276" w:type="dxa"/>
            <w:tcBorders>
              <w:top w:val="nil"/>
              <w:left w:val="nil"/>
              <w:bottom w:val="nil"/>
              <w:right w:val="nil"/>
            </w:tcBorders>
            <w:shd w:val="clear" w:color="auto" w:fill="auto"/>
          </w:tcPr>
          <w:p w14:paraId="22823573">
            <w:r>
              <w:t>59 (3.15%)</w:t>
            </w:r>
          </w:p>
        </w:tc>
        <w:tc>
          <w:tcPr>
            <w:tcW w:w="1134" w:type="dxa"/>
            <w:tcBorders>
              <w:top w:val="nil"/>
              <w:left w:val="nil"/>
              <w:bottom w:val="nil"/>
              <w:right w:val="nil"/>
            </w:tcBorders>
            <w:shd w:val="clear" w:color="auto" w:fill="auto"/>
          </w:tcPr>
          <w:p w14:paraId="78492F0D">
            <w:r>
              <w:t>0.003452</w:t>
            </w:r>
          </w:p>
        </w:tc>
        <w:tc>
          <w:tcPr>
            <w:tcW w:w="1134" w:type="dxa"/>
            <w:tcBorders>
              <w:top w:val="nil"/>
              <w:left w:val="nil"/>
              <w:bottom w:val="nil"/>
              <w:right w:val="nil"/>
            </w:tcBorders>
            <w:shd w:val="clear" w:color="auto" w:fill="auto"/>
          </w:tcPr>
          <w:p w14:paraId="2A9F015B">
            <w:r>
              <w:t>0.064433</w:t>
            </w:r>
          </w:p>
        </w:tc>
      </w:tr>
      <w:tr w14:paraId="7D5C3639">
        <w:tblPrEx>
          <w:tblCellMar>
            <w:top w:w="0" w:type="dxa"/>
            <w:left w:w="108" w:type="dxa"/>
            <w:bottom w:w="0" w:type="dxa"/>
            <w:right w:w="108" w:type="dxa"/>
          </w:tblCellMar>
        </w:tblPrEx>
        <w:trPr>
          <w:trHeight w:val="560" w:hRule="atLeast"/>
        </w:trPr>
        <w:tc>
          <w:tcPr>
            <w:tcW w:w="1418" w:type="dxa"/>
            <w:tcBorders>
              <w:top w:val="nil"/>
              <w:left w:val="nil"/>
              <w:bottom w:val="single" w:color="auto" w:sz="4" w:space="0"/>
              <w:right w:val="nil"/>
            </w:tcBorders>
            <w:shd w:val="clear" w:color="auto" w:fill="auto"/>
          </w:tcPr>
          <w:p w14:paraId="7A21B15D">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F.html" \l "gene4" \o "click to view genes" </w:instrText>
            </w:r>
            <w:r>
              <w:fldChar w:fldCharType="separate"/>
            </w:r>
            <w:r>
              <w:t>GO:0016740</w:t>
            </w:r>
            <w:r>
              <w:fldChar w:fldCharType="end"/>
            </w:r>
          </w:p>
        </w:tc>
        <w:tc>
          <w:tcPr>
            <w:tcW w:w="1843" w:type="dxa"/>
            <w:tcBorders>
              <w:top w:val="nil"/>
              <w:left w:val="nil"/>
              <w:bottom w:val="single" w:color="auto" w:sz="4" w:space="0"/>
              <w:right w:val="nil"/>
            </w:tcBorders>
            <w:shd w:val="clear" w:color="auto" w:fill="auto"/>
          </w:tcPr>
          <w:p w14:paraId="799E38A3">
            <w:pPr>
              <w:jc w:val="left"/>
            </w:pPr>
            <w:r>
              <w:t>transferase activity</w:t>
            </w:r>
          </w:p>
        </w:tc>
        <w:tc>
          <w:tcPr>
            <w:tcW w:w="1417" w:type="dxa"/>
            <w:tcBorders>
              <w:top w:val="nil"/>
              <w:left w:val="nil"/>
              <w:bottom w:val="single" w:color="auto" w:sz="4" w:space="0"/>
              <w:right w:val="nil"/>
            </w:tcBorders>
            <w:shd w:val="clear" w:color="auto" w:fill="auto"/>
          </w:tcPr>
          <w:p w14:paraId="45EFCF28">
            <w:r>
              <w:t>34 (14.91%)</w:t>
            </w:r>
          </w:p>
        </w:tc>
        <w:tc>
          <w:tcPr>
            <w:tcW w:w="1276" w:type="dxa"/>
            <w:tcBorders>
              <w:top w:val="nil"/>
              <w:left w:val="nil"/>
              <w:bottom w:val="single" w:color="auto" w:sz="4" w:space="0"/>
              <w:right w:val="nil"/>
            </w:tcBorders>
            <w:shd w:val="clear" w:color="auto" w:fill="auto"/>
          </w:tcPr>
          <w:p w14:paraId="1BEB1ACF">
            <w:r>
              <w:t>183 (9.78%)</w:t>
            </w:r>
          </w:p>
        </w:tc>
        <w:tc>
          <w:tcPr>
            <w:tcW w:w="1134" w:type="dxa"/>
            <w:tcBorders>
              <w:top w:val="nil"/>
              <w:left w:val="nil"/>
              <w:bottom w:val="single" w:color="auto" w:sz="4" w:space="0"/>
              <w:right w:val="nil"/>
            </w:tcBorders>
            <w:shd w:val="clear" w:color="auto" w:fill="auto"/>
          </w:tcPr>
          <w:p w14:paraId="2570328B">
            <w:r>
              <w:t>0.005455</w:t>
            </w:r>
          </w:p>
        </w:tc>
        <w:tc>
          <w:tcPr>
            <w:tcW w:w="1134" w:type="dxa"/>
            <w:tcBorders>
              <w:top w:val="nil"/>
              <w:left w:val="nil"/>
              <w:bottom w:val="single" w:color="auto" w:sz="4" w:space="0"/>
              <w:right w:val="nil"/>
            </w:tcBorders>
            <w:shd w:val="clear" w:color="auto" w:fill="auto"/>
          </w:tcPr>
          <w:p w14:paraId="5C4FD2F0">
            <w:r>
              <w:t>0.076369</w:t>
            </w:r>
          </w:p>
        </w:tc>
      </w:tr>
    </w:tbl>
    <w:p w14:paraId="55991E45"/>
    <w:p w14:paraId="6E2B16C1">
      <w:bookmarkStart w:id="28" w:name="OLE_LINK5"/>
      <w:r>
        <w:br w:type="page"/>
      </w:r>
    </w:p>
    <w:p w14:paraId="0614D437">
      <w:pPr>
        <w:rPr>
          <w:b/>
        </w:rPr>
      </w:pPr>
      <w:r>
        <w:rPr>
          <w:b/>
        </w:rPr>
        <w:t>Supplementary Table</w:t>
      </w:r>
      <w:bookmarkEnd w:id="28"/>
      <w:r>
        <w:rPr>
          <w:b/>
        </w:rPr>
        <w:t xml:space="preserve"> 9. N15_</w:t>
      </w:r>
      <w:r>
        <w:rPr>
          <w:b/>
          <w:i/>
          <w:iCs/>
        </w:rPr>
        <w:t>vs</w:t>
      </w:r>
      <w:r>
        <w:rPr>
          <w:b/>
        </w:rPr>
        <w:t>_NT GO Enrichment (Cellular Component)</w:t>
      </w:r>
    </w:p>
    <w:tbl>
      <w:tblPr>
        <w:tblStyle w:val="6"/>
        <w:tblW w:w="8364" w:type="dxa"/>
        <w:tblInd w:w="0" w:type="dxa"/>
        <w:tblLayout w:type="fixed"/>
        <w:tblCellMar>
          <w:top w:w="0" w:type="dxa"/>
          <w:left w:w="108" w:type="dxa"/>
          <w:bottom w:w="0" w:type="dxa"/>
          <w:right w:w="108" w:type="dxa"/>
        </w:tblCellMar>
      </w:tblPr>
      <w:tblGrid>
        <w:gridCol w:w="1418"/>
        <w:gridCol w:w="1701"/>
        <w:gridCol w:w="1417"/>
        <w:gridCol w:w="1560"/>
        <w:gridCol w:w="1134"/>
        <w:gridCol w:w="1134"/>
      </w:tblGrid>
      <w:tr w14:paraId="1902AB02">
        <w:tblPrEx>
          <w:tblCellMar>
            <w:top w:w="0" w:type="dxa"/>
            <w:left w:w="108" w:type="dxa"/>
            <w:bottom w:w="0" w:type="dxa"/>
            <w:right w:w="108" w:type="dxa"/>
          </w:tblCellMar>
        </w:tblPrEx>
        <w:trPr>
          <w:trHeight w:val="560" w:hRule="atLeast"/>
        </w:trPr>
        <w:tc>
          <w:tcPr>
            <w:tcW w:w="1418" w:type="dxa"/>
            <w:tcBorders>
              <w:top w:val="single" w:color="auto" w:sz="4" w:space="0"/>
              <w:left w:val="nil"/>
              <w:bottom w:val="single" w:color="auto" w:sz="4" w:space="0"/>
              <w:right w:val="nil"/>
            </w:tcBorders>
            <w:shd w:val="clear" w:color="auto" w:fill="auto"/>
            <w:vAlign w:val="center"/>
          </w:tcPr>
          <w:p w14:paraId="681DFD3F">
            <w:r>
              <w:t>GO ID</w:t>
            </w:r>
          </w:p>
        </w:tc>
        <w:tc>
          <w:tcPr>
            <w:tcW w:w="1701" w:type="dxa"/>
            <w:tcBorders>
              <w:top w:val="single" w:color="auto" w:sz="4" w:space="0"/>
              <w:left w:val="nil"/>
              <w:bottom w:val="single" w:color="auto" w:sz="4" w:space="0"/>
              <w:right w:val="nil"/>
            </w:tcBorders>
            <w:shd w:val="clear" w:color="auto" w:fill="auto"/>
            <w:vAlign w:val="center"/>
          </w:tcPr>
          <w:p w14:paraId="61894DB9">
            <w:r>
              <w:t>Description</w:t>
            </w:r>
          </w:p>
        </w:tc>
        <w:tc>
          <w:tcPr>
            <w:tcW w:w="1417" w:type="dxa"/>
            <w:tcBorders>
              <w:top w:val="single" w:color="auto" w:sz="4" w:space="0"/>
              <w:left w:val="nil"/>
              <w:bottom w:val="single" w:color="auto" w:sz="4" w:space="0"/>
              <w:right w:val="nil"/>
            </w:tcBorders>
            <w:shd w:val="clear" w:color="auto" w:fill="auto"/>
            <w:vAlign w:val="center"/>
          </w:tcPr>
          <w:p w14:paraId="6B77AB5D">
            <w:r>
              <w:t>GeneRatio (220)</w:t>
            </w:r>
          </w:p>
        </w:tc>
        <w:tc>
          <w:tcPr>
            <w:tcW w:w="1560" w:type="dxa"/>
            <w:tcBorders>
              <w:top w:val="single" w:color="auto" w:sz="4" w:space="0"/>
              <w:left w:val="nil"/>
              <w:bottom w:val="single" w:color="auto" w:sz="4" w:space="0"/>
              <w:right w:val="nil"/>
            </w:tcBorders>
            <w:shd w:val="clear" w:color="auto" w:fill="auto"/>
            <w:vAlign w:val="center"/>
          </w:tcPr>
          <w:p w14:paraId="68F603F9">
            <w:r>
              <w:t xml:space="preserve">BgRatio </w:t>
            </w:r>
          </w:p>
          <w:p w14:paraId="41034498">
            <w:r>
              <w:t>(1873)</w:t>
            </w:r>
          </w:p>
        </w:tc>
        <w:tc>
          <w:tcPr>
            <w:tcW w:w="1134" w:type="dxa"/>
            <w:tcBorders>
              <w:top w:val="single" w:color="auto" w:sz="4" w:space="0"/>
              <w:left w:val="nil"/>
              <w:bottom w:val="single" w:color="auto" w:sz="4" w:space="0"/>
              <w:right w:val="nil"/>
            </w:tcBorders>
            <w:shd w:val="clear" w:color="auto" w:fill="auto"/>
            <w:vAlign w:val="center"/>
          </w:tcPr>
          <w:p w14:paraId="356B4C98">
            <w:r>
              <w:t>p value</w:t>
            </w:r>
          </w:p>
        </w:tc>
        <w:tc>
          <w:tcPr>
            <w:tcW w:w="1134" w:type="dxa"/>
            <w:tcBorders>
              <w:top w:val="single" w:color="auto" w:sz="4" w:space="0"/>
              <w:left w:val="nil"/>
              <w:bottom w:val="single" w:color="auto" w:sz="4" w:space="0"/>
              <w:right w:val="nil"/>
            </w:tcBorders>
            <w:shd w:val="clear" w:color="auto" w:fill="auto"/>
            <w:vAlign w:val="center"/>
          </w:tcPr>
          <w:p w14:paraId="706620BB">
            <w:r>
              <w:t>q value</w:t>
            </w:r>
          </w:p>
        </w:tc>
      </w:tr>
      <w:tr w14:paraId="73E78347">
        <w:tblPrEx>
          <w:tblCellMar>
            <w:top w:w="0" w:type="dxa"/>
            <w:left w:w="108" w:type="dxa"/>
            <w:bottom w:w="0" w:type="dxa"/>
            <w:right w:w="108" w:type="dxa"/>
          </w:tblCellMar>
        </w:tblPrEx>
        <w:trPr>
          <w:trHeight w:val="458" w:hRule="atLeast"/>
        </w:trPr>
        <w:tc>
          <w:tcPr>
            <w:tcW w:w="1418" w:type="dxa"/>
            <w:tcBorders>
              <w:top w:val="nil"/>
              <w:left w:val="nil"/>
              <w:bottom w:val="nil"/>
              <w:right w:val="nil"/>
            </w:tcBorders>
            <w:shd w:val="clear" w:color="auto" w:fill="auto"/>
          </w:tcPr>
          <w:p w14:paraId="166735FC">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"gene1" \o "click to view genes" </w:instrText>
            </w:r>
            <w:r>
              <w:fldChar w:fldCharType="separate"/>
            </w:r>
            <w:r>
              <w:t>GO:0005886</w:t>
            </w:r>
            <w:r>
              <w:fldChar w:fldCharType="end"/>
            </w:r>
          </w:p>
        </w:tc>
        <w:tc>
          <w:tcPr>
            <w:tcW w:w="1701" w:type="dxa"/>
            <w:tcBorders>
              <w:top w:val="nil"/>
              <w:left w:val="nil"/>
              <w:bottom w:val="nil"/>
              <w:right w:val="nil"/>
            </w:tcBorders>
            <w:shd w:val="clear" w:color="auto" w:fill="auto"/>
          </w:tcPr>
          <w:p w14:paraId="108EB840">
            <w:r>
              <w:t>plasma membrane</w:t>
            </w:r>
          </w:p>
        </w:tc>
        <w:tc>
          <w:tcPr>
            <w:tcW w:w="1417" w:type="dxa"/>
            <w:tcBorders>
              <w:top w:val="nil"/>
              <w:left w:val="nil"/>
              <w:bottom w:val="nil"/>
              <w:right w:val="nil"/>
            </w:tcBorders>
            <w:shd w:val="clear" w:color="auto" w:fill="auto"/>
          </w:tcPr>
          <w:p w14:paraId="4E3F2F77">
            <w:r>
              <w:t>76 (34.55%)</w:t>
            </w:r>
          </w:p>
        </w:tc>
        <w:tc>
          <w:tcPr>
            <w:tcW w:w="1560" w:type="dxa"/>
            <w:tcBorders>
              <w:top w:val="nil"/>
              <w:left w:val="nil"/>
              <w:bottom w:val="nil"/>
              <w:right w:val="nil"/>
            </w:tcBorders>
            <w:shd w:val="clear" w:color="auto" w:fill="auto"/>
          </w:tcPr>
          <w:p w14:paraId="690CB541">
            <w:r>
              <w:t>450 (24.03%)</w:t>
            </w:r>
          </w:p>
        </w:tc>
        <w:tc>
          <w:tcPr>
            <w:tcW w:w="1134" w:type="dxa"/>
            <w:tcBorders>
              <w:top w:val="nil"/>
              <w:left w:val="nil"/>
              <w:bottom w:val="nil"/>
              <w:right w:val="nil"/>
            </w:tcBorders>
            <w:shd w:val="clear" w:color="auto" w:fill="auto"/>
          </w:tcPr>
          <w:p w14:paraId="27927454">
            <w:r>
              <w:t>0.000115</w:t>
            </w:r>
          </w:p>
        </w:tc>
        <w:tc>
          <w:tcPr>
            <w:tcW w:w="1134" w:type="dxa"/>
            <w:tcBorders>
              <w:top w:val="nil"/>
              <w:left w:val="nil"/>
              <w:bottom w:val="nil"/>
              <w:right w:val="nil"/>
            </w:tcBorders>
            <w:shd w:val="clear" w:color="auto" w:fill="auto"/>
          </w:tcPr>
          <w:p w14:paraId="38857BB4">
            <w:r>
              <w:t>0.002425</w:t>
            </w:r>
          </w:p>
        </w:tc>
      </w:tr>
      <w:tr w14:paraId="7879862B">
        <w:tblPrEx>
          <w:tblCellMar>
            <w:top w:w="0" w:type="dxa"/>
            <w:left w:w="108" w:type="dxa"/>
            <w:bottom w:w="0" w:type="dxa"/>
            <w:right w:w="108" w:type="dxa"/>
          </w:tblCellMar>
        </w:tblPrEx>
        <w:trPr>
          <w:trHeight w:val="431" w:hRule="atLeast"/>
        </w:trPr>
        <w:tc>
          <w:tcPr>
            <w:tcW w:w="1418" w:type="dxa"/>
            <w:tcBorders>
              <w:top w:val="nil"/>
              <w:left w:val="nil"/>
              <w:bottom w:val="nil"/>
              <w:right w:val="nil"/>
            </w:tcBorders>
            <w:shd w:val="clear" w:color="auto" w:fill="auto"/>
          </w:tcPr>
          <w:p w14:paraId="13A4214C">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"gene2" \o "click to view genes" </w:instrText>
            </w:r>
            <w:r>
              <w:fldChar w:fldCharType="separate"/>
            </w:r>
            <w:r>
              <w:t>GO:0016020</w:t>
            </w:r>
            <w:r>
              <w:fldChar w:fldCharType="end"/>
            </w:r>
          </w:p>
        </w:tc>
        <w:tc>
          <w:tcPr>
            <w:tcW w:w="1701" w:type="dxa"/>
            <w:tcBorders>
              <w:top w:val="nil"/>
              <w:left w:val="nil"/>
              <w:bottom w:val="nil"/>
              <w:right w:val="nil"/>
            </w:tcBorders>
            <w:shd w:val="clear" w:color="auto" w:fill="auto"/>
          </w:tcPr>
          <w:p w14:paraId="1A9E26AC">
            <w:r>
              <w:t>membrane</w:t>
            </w:r>
          </w:p>
        </w:tc>
        <w:tc>
          <w:tcPr>
            <w:tcW w:w="1417" w:type="dxa"/>
            <w:tcBorders>
              <w:top w:val="nil"/>
              <w:left w:val="nil"/>
              <w:bottom w:val="nil"/>
              <w:right w:val="nil"/>
            </w:tcBorders>
            <w:shd w:val="clear" w:color="auto" w:fill="auto"/>
          </w:tcPr>
          <w:p w14:paraId="403E4197">
            <w:r>
              <w:t>76 (34.55%)</w:t>
            </w:r>
          </w:p>
        </w:tc>
        <w:tc>
          <w:tcPr>
            <w:tcW w:w="1560" w:type="dxa"/>
            <w:tcBorders>
              <w:top w:val="nil"/>
              <w:left w:val="nil"/>
              <w:bottom w:val="nil"/>
              <w:right w:val="nil"/>
            </w:tcBorders>
            <w:shd w:val="clear" w:color="auto" w:fill="auto"/>
          </w:tcPr>
          <w:p w14:paraId="2F672508">
            <w:r>
              <w:t>450 (24.03%)</w:t>
            </w:r>
          </w:p>
        </w:tc>
        <w:tc>
          <w:tcPr>
            <w:tcW w:w="1134" w:type="dxa"/>
            <w:tcBorders>
              <w:top w:val="nil"/>
              <w:left w:val="nil"/>
              <w:bottom w:val="nil"/>
              <w:right w:val="nil"/>
            </w:tcBorders>
            <w:shd w:val="clear" w:color="auto" w:fill="auto"/>
          </w:tcPr>
          <w:p w14:paraId="23048251">
            <w:r>
              <w:t>0.000115</w:t>
            </w:r>
          </w:p>
        </w:tc>
        <w:tc>
          <w:tcPr>
            <w:tcW w:w="1134" w:type="dxa"/>
            <w:tcBorders>
              <w:top w:val="nil"/>
              <w:left w:val="nil"/>
              <w:bottom w:val="nil"/>
              <w:right w:val="nil"/>
            </w:tcBorders>
            <w:shd w:val="clear" w:color="auto" w:fill="auto"/>
          </w:tcPr>
          <w:p w14:paraId="7F08322B">
            <w:r>
              <w:t>0.002425</w:t>
            </w:r>
          </w:p>
        </w:tc>
      </w:tr>
      <w:tr w14:paraId="795D9F26">
        <w:tblPrEx>
          <w:tblCellMar>
            <w:top w:w="0" w:type="dxa"/>
            <w:left w:w="108" w:type="dxa"/>
            <w:bottom w:w="0" w:type="dxa"/>
            <w:right w:w="108" w:type="dxa"/>
          </w:tblCellMar>
        </w:tblPrEx>
        <w:trPr>
          <w:trHeight w:val="422" w:hRule="atLeast"/>
        </w:trPr>
        <w:tc>
          <w:tcPr>
            <w:tcW w:w="1418" w:type="dxa"/>
            <w:tcBorders>
              <w:top w:val="nil"/>
              <w:left w:val="nil"/>
              <w:bottom w:val="nil"/>
              <w:right w:val="nil"/>
            </w:tcBorders>
            <w:shd w:val="clear" w:color="auto" w:fill="auto"/>
          </w:tcPr>
          <w:p w14:paraId="691D04D9">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"gene3" \o "click to view genes" </w:instrText>
            </w:r>
            <w:r>
              <w:fldChar w:fldCharType="separate"/>
            </w:r>
            <w:r>
              <w:t>GO:0071944</w:t>
            </w:r>
            <w:r>
              <w:fldChar w:fldCharType="end"/>
            </w:r>
          </w:p>
        </w:tc>
        <w:tc>
          <w:tcPr>
            <w:tcW w:w="1701" w:type="dxa"/>
            <w:tcBorders>
              <w:top w:val="nil"/>
              <w:left w:val="nil"/>
              <w:bottom w:val="nil"/>
              <w:right w:val="nil"/>
            </w:tcBorders>
            <w:shd w:val="clear" w:color="auto" w:fill="auto"/>
          </w:tcPr>
          <w:p w14:paraId="194FE1F6">
            <w:r>
              <w:t>cell periphery</w:t>
            </w:r>
          </w:p>
        </w:tc>
        <w:tc>
          <w:tcPr>
            <w:tcW w:w="1417" w:type="dxa"/>
            <w:tcBorders>
              <w:top w:val="nil"/>
              <w:left w:val="nil"/>
              <w:bottom w:val="nil"/>
              <w:right w:val="nil"/>
            </w:tcBorders>
            <w:shd w:val="clear" w:color="auto" w:fill="auto"/>
          </w:tcPr>
          <w:p w14:paraId="289C47C7">
            <w:r>
              <w:t>76 (34.55%)</w:t>
            </w:r>
          </w:p>
        </w:tc>
        <w:tc>
          <w:tcPr>
            <w:tcW w:w="1560" w:type="dxa"/>
            <w:tcBorders>
              <w:top w:val="nil"/>
              <w:left w:val="nil"/>
              <w:bottom w:val="nil"/>
              <w:right w:val="nil"/>
            </w:tcBorders>
            <w:shd w:val="clear" w:color="auto" w:fill="auto"/>
          </w:tcPr>
          <w:p w14:paraId="0E7A539F">
            <w:r>
              <w:t>450 (24.03%)</w:t>
            </w:r>
          </w:p>
        </w:tc>
        <w:tc>
          <w:tcPr>
            <w:tcW w:w="1134" w:type="dxa"/>
            <w:tcBorders>
              <w:top w:val="nil"/>
              <w:left w:val="nil"/>
              <w:bottom w:val="nil"/>
              <w:right w:val="nil"/>
            </w:tcBorders>
            <w:shd w:val="clear" w:color="auto" w:fill="auto"/>
          </w:tcPr>
          <w:p w14:paraId="05E6A254">
            <w:r>
              <w:t>0.000115</w:t>
            </w:r>
          </w:p>
        </w:tc>
        <w:tc>
          <w:tcPr>
            <w:tcW w:w="1134" w:type="dxa"/>
            <w:tcBorders>
              <w:top w:val="nil"/>
              <w:left w:val="nil"/>
              <w:bottom w:val="nil"/>
              <w:right w:val="nil"/>
            </w:tcBorders>
            <w:shd w:val="clear" w:color="auto" w:fill="auto"/>
          </w:tcPr>
          <w:p w14:paraId="7BEE2064">
            <w:r>
              <w:t>0.002425</w:t>
            </w:r>
          </w:p>
        </w:tc>
      </w:tr>
      <w:tr w14:paraId="3FA06416">
        <w:tblPrEx>
          <w:tblCellMar>
            <w:top w:w="0" w:type="dxa"/>
            <w:left w:w="108" w:type="dxa"/>
            <w:bottom w:w="0" w:type="dxa"/>
            <w:right w:w="108" w:type="dxa"/>
          </w:tblCellMar>
        </w:tblPrEx>
        <w:trPr>
          <w:trHeight w:val="429" w:hRule="atLeast"/>
        </w:trPr>
        <w:tc>
          <w:tcPr>
            <w:tcW w:w="1418" w:type="dxa"/>
            <w:tcBorders>
              <w:top w:val="nil"/>
              <w:left w:val="nil"/>
              <w:bottom w:val="nil"/>
              <w:right w:val="nil"/>
            </w:tcBorders>
            <w:shd w:val="clear" w:color="auto" w:fill="auto"/>
          </w:tcPr>
          <w:p w14:paraId="17AF7AB4">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"gene4" \o "click to view genes" </w:instrText>
            </w:r>
            <w:r>
              <w:fldChar w:fldCharType="separate"/>
            </w:r>
            <w:r>
              <w:t>GO:0005737</w:t>
            </w:r>
            <w:r>
              <w:fldChar w:fldCharType="end"/>
            </w:r>
          </w:p>
        </w:tc>
        <w:tc>
          <w:tcPr>
            <w:tcW w:w="1701" w:type="dxa"/>
            <w:tcBorders>
              <w:top w:val="nil"/>
              <w:left w:val="nil"/>
              <w:bottom w:val="nil"/>
              <w:right w:val="nil"/>
            </w:tcBorders>
            <w:shd w:val="clear" w:color="auto" w:fill="auto"/>
          </w:tcPr>
          <w:p w14:paraId="420315A5">
            <w:r>
              <w:t>cytoplasm</w:t>
            </w:r>
          </w:p>
        </w:tc>
        <w:tc>
          <w:tcPr>
            <w:tcW w:w="1417" w:type="dxa"/>
            <w:tcBorders>
              <w:top w:val="nil"/>
              <w:left w:val="nil"/>
              <w:bottom w:val="nil"/>
              <w:right w:val="nil"/>
            </w:tcBorders>
            <w:shd w:val="clear" w:color="auto" w:fill="auto"/>
          </w:tcPr>
          <w:p w14:paraId="0B623502">
            <w:r>
              <w:t>143 (65%)</w:t>
            </w:r>
          </w:p>
        </w:tc>
        <w:tc>
          <w:tcPr>
            <w:tcW w:w="1560" w:type="dxa"/>
            <w:tcBorders>
              <w:top w:val="nil"/>
              <w:left w:val="nil"/>
              <w:bottom w:val="nil"/>
              <w:right w:val="nil"/>
            </w:tcBorders>
            <w:shd w:val="clear" w:color="auto" w:fill="auto"/>
          </w:tcPr>
          <w:p w14:paraId="51984DF0">
            <w:r>
              <w:t>1069 (57.07%)</w:t>
            </w:r>
          </w:p>
        </w:tc>
        <w:tc>
          <w:tcPr>
            <w:tcW w:w="1134" w:type="dxa"/>
            <w:tcBorders>
              <w:top w:val="nil"/>
              <w:left w:val="nil"/>
              <w:bottom w:val="nil"/>
              <w:right w:val="nil"/>
            </w:tcBorders>
            <w:shd w:val="clear" w:color="auto" w:fill="auto"/>
          </w:tcPr>
          <w:p w14:paraId="5AF2E393">
            <w:r>
              <w:t>0.006699</w:t>
            </w:r>
          </w:p>
        </w:tc>
        <w:tc>
          <w:tcPr>
            <w:tcW w:w="1134" w:type="dxa"/>
            <w:tcBorders>
              <w:top w:val="nil"/>
              <w:left w:val="nil"/>
              <w:bottom w:val="nil"/>
              <w:right w:val="nil"/>
            </w:tcBorders>
            <w:shd w:val="clear" w:color="auto" w:fill="auto"/>
          </w:tcPr>
          <w:p w14:paraId="3311741E">
            <w:r>
              <w:t>0.105513</w:t>
            </w:r>
          </w:p>
        </w:tc>
      </w:tr>
      <w:tr w14:paraId="44F38035">
        <w:tblPrEx>
          <w:tblCellMar>
            <w:top w:w="0" w:type="dxa"/>
            <w:left w:w="108" w:type="dxa"/>
            <w:bottom w:w="0" w:type="dxa"/>
            <w:right w:w="108" w:type="dxa"/>
          </w:tblCellMar>
        </w:tblPrEx>
        <w:trPr>
          <w:trHeight w:val="421" w:hRule="atLeast"/>
        </w:trPr>
        <w:tc>
          <w:tcPr>
            <w:tcW w:w="1418" w:type="dxa"/>
            <w:tcBorders>
              <w:top w:val="nil"/>
              <w:left w:val="nil"/>
              <w:bottom w:val="nil"/>
              <w:right w:val="nil"/>
            </w:tcBorders>
            <w:shd w:val="clear" w:color="auto" w:fill="auto"/>
          </w:tcPr>
          <w:p w14:paraId="072C7AE2">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"gene5" \o "click to view genes" </w:instrText>
            </w:r>
            <w:r>
              <w:fldChar w:fldCharType="separate"/>
            </w:r>
            <w:r>
              <w:t>GO:0044444</w:t>
            </w:r>
            <w:r>
              <w:fldChar w:fldCharType="end"/>
            </w:r>
          </w:p>
        </w:tc>
        <w:tc>
          <w:tcPr>
            <w:tcW w:w="1701" w:type="dxa"/>
            <w:tcBorders>
              <w:top w:val="nil"/>
              <w:left w:val="nil"/>
              <w:bottom w:val="nil"/>
              <w:right w:val="nil"/>
            </w:tcBorders>
            <w:shd w:val="clear" w:color="auto" w:fill="auto"/>
          </w:tcPr>
          <w:p w14:paraId="5072F03D">
            <w:r>
              <w:t>cytoplasmic part</w:t>
            </w:r>
          </w:p>
        </w:tc>
        <w:tc>
          <w:tcPr>
            <w:tcW w:w="1417" w:type="dxa"/>
            <w:tcBorders>
              <w:top w:val="nil"/>
              <w:left w:val="nil"/>
              <w:bottom w:val="nil"/>
              <w:right w:val="nil"/>
            </w:tcBorders>
            <w:shd w:val="clear" w:color="auto" w:fill="auto"/>
          </w:tcPr>
          <w:p w14:paraId="64774094">
            <w:r>
              <w:t>104 (47.27%)</w:t>
            </w:r>
          </w:p>
        </w:tc>
        <w:tc>
          <w:tcPr>
            <w:tcW w:w="1560" w:type="dxa"/>
            <w:tcBorders>
              <w:top w:val="nil"/>
              <w:left w:val="nil"/>
              <w:bottom w:val="nil"/>
              <w:right w:val="nil"/>
            </w:tcBorders>
            <w:shd w:val="clear" w:color="auto" w:fill="auto"/>
          </w:tcPr>
          <w:p w14:paraId="4DF56799">
            <w:r>
              <w:t>745 (39.78%)</w:t>
            </w:r>
          </w:p>
        </w:tc>
        <w:tc>
          <w:tcPr>
            <w:tcW w:w="1134" w:type="dxa"/>
            <w:tcBorders>
              <w:top w:val="nil"/>
              <w:left w:val="nil"/>
              <w:bottom w:val="nil"/>
              <w:right w:val="nil"/>
            </w:tcBorders>
            <w:shd w:val="clear" w:color="auto" w:fill="auto"/>
          </w:tcPr>
          <w:p w14:paraId="5A943FC2">
            <w:r>
              <w:t>0.009867</w:t>
            </w:r>
          </w:p>
        </w:tc>
        <w:tc>
          <w:tcPr>
            <w:tcW w:w="1134" w:type="dxa"/>
            <w:tcBorders>
              <w:top w:val="nil"/>
              <w:left w:val="nil"/>
              <w:bottom w:val="nil"/>
              <w:right w:val="nil"/>
            </w:tcBorders>
            <w:shd w:val="clear" w:color="auto" w:fill="auto"/>
          </w:tcPr>
          <w:p w14:paraId="045ED3E4">
            <w:r>
              <w:t>0.109363</w:t>
            </w:r>
          </w:p>
        </w:tc>
      </w:tr>
      <w:tr w14:paraId="5CE34008">
        <w:tblPrEx>
          <w:tblCellMar>
            <w:top w:w="0" w:type="dxa"/>
            <w:left w:w="108" w:type="dxa"/>
            <w:bottom w:w="0" w:type="dxa"/>
            <w:right w:w="108" w:type="dxa"/>
          </w:tblCellMar>
        </w:tblPrEx>
        <w:trPr>
          <w:trHeight w:val="426" w:hRule="atLeast"/>
        </w:trPr>
        <w:tc>
          <w:tcPr>
            <w:tcW w:w="1418" w:type="dxa"/>
            <w:tcBorders>
              <w:top w:val="nil"/>
              <w:left w:val="nil"/>
              <w:bottom w:val="nil"/>
              <w:right w:val="nil"/>
            </w:tcBorders>
            <w:shd w:val="clear" w:color="auto" w:fill="auto"/>
          </w:tcPr>
          <w:p w14:paraId="4C8A5BCD">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"gene6" \o "click to view genes" </w:instrText>
            </w:r>
            <w:r>
              <w:fldChar w:fldCharType="separate"/>
            </w:r>
            <w:r>
              <w:t>GO:0005615</w:t>
            </w:r>
            <w:r>
              <w:fldChar w:fldCharType="end"/>
            </w:r>
          </w:p>
        </w:tc>
        <w:tc>
          <w:tcPr>
            <w:tcW w:w="1701" w:type="dxa"/>
            <w:tcBorders>
              <w:top w:val="nil"/>
              <w:left w:val="nil"/>
              <w:bottom w:val="nil"/>
              <w:right w:val="nil"/>
            </w:tcBorders>
            <w:shd w:val="clear" w:color="auto" w:fill="auto"/>
          </w:tcPr>
          <w:p w14:paraId="72F0AC8C">
            <w:r>
              <w:t>extracellular space</w:t>
            </w:r>
          </w:p>
        </w:tc>
        <w:tc>
          <w:tcPr>
            <w:tcW w:w="1417" w:type="dxa"/>
            <w:tcBorders>
              <w:top w:val="nil"/>
              <w:left w:val="nil"/>
              <w:bottom w:val="nil"/>
              <w:right w:val="nil"/>
            </w:tcBorders>
            <w:shd w:val="clear" w:color="auto" w:fill="auto"/>
          </w:tcPr>
          <w:p w14:paraId="16187857">
            <w:r>
              <w:t>20 (9.09%)</w:t>
            </w:r>
          </w:p>
        </w:tc>
        <w:tc>
          <w:tcPr>
            <w:tcW w:w="1560" w:type="dxa"/>
            <w:tcBorders>
              <w:top w:val="nil"/>
              <w:left w:val="nil"/>
              <w:bottom w:val="nil"/>
              <w:right w:val="nil"/>
            </w:tcBorders>
            <w:shd w:val="clear" w:color="auto" w:fill="auto"/>
          </w:tcPr>
          <w:p w14:paraId="43CD5049">
            <w:r>
              <w:t>101 (5.39%)</w:t>
            </w:r>
          </w:p>
        </w:tc>
        <w:tc>
          <w:tcPr>
            <w:tcW w:w="1134" w:type="dxa"/>
            <w:tcBorders>
              <w:top w:val="nil"/>
              <w:left w:val="nil"/>
              <w:bottom w:val="nil"/>
              <w:right w:val="nil"/>
            </w:tcBorders>
            <w:shd w:val="clear" w:color="auto" w:fill="auto"/>
          </w:tcPr>
          <w:p w14:paraId="368DE094">
            <w:r>
              <w:t>0.010987</w:t>
            </w:r>
          </w:p>
        </w:tc>
        <w:tc>
          <w:tcPr>
            <w:tcW w:w="1134" w:type="dxa"/>
            <w:tcBorders>
              <w:top w:val="nil"/>
              <w:left w:val="nil"/>
              <w:bottom w:val="nil"/>
              <w:right w:val="nil"/>
            </w:tcBorders>
            <w:shd w:val="clear" w:color="auto" w:fill="auto"/>
          </w:tcPr>
          <w:p w14:paraId="7BED625B">
            <w:r>
              <w:t>0.109363</w:t>
            </w:r>
          </w:p>
        </w:tc>
      </w:tr>
      <w:tr w14:paraId="518C2F42">
        <w:tblPrEx>
          <w:tblCellMar>
            <w:top w:w="0" w:type="dxa"/>
            <w:left w:w="108" w:type="dxa"/>
            <w:bottom w:w="0" w:type="dxa"/>
            <w:right w:w="108" w:type="dxa"/>
          </w:tblCellMar>
        </w:tblPrEx>
        <w:trPr>
          <w:trHeight w:val="702" w:hRule="atLeast"/>
        </w:trPr>
        <w:tc>
          <w:tcPr>
            <w:tcW w:w="1418" w:type="dxa"/>
            <w:tcBorders>
              <w:top w:val="nil"/>
              <w:left w:val="nil"/>
              <w:bottom w:val="nil"/>
              <w:right w:val="nil"/>
            </w:tcBorders>
            <w:shd w:val="clear" w:color="auto" w:fill="auto"/>
          </w:tcPr>
          <w:p w14:paraId="151C603B">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"gene7" \o "click to view genes" </w:instrText>
            </w:r>
            <w:r>
              <w:fldChar w:fldCharType="separate"/>
            </w:r>
            <w:r>
              <w:t>GO:0044421</w:t>
            </w:r>
            <w:r>
              <w:fldChar w:fldCharType="end"/>
            </w:r>
          </w:p>
        </w:tc>
        <w:tc>
          <w:tcPr>
            <w:tcW w:w="1701" w:type="dxa"/>
            <w:tcBorders>
              <w:top w:val="nil"/>
              <w:left w:val="nil"/>
              <w:bottom w:val="nil"/>
              <w:right w:val="nil"/>
            </w:tcBorders>
            <w:shd w:val="clear" w:color="auto" w:fill="auto"/>
          </w:tcPr>
          <w:p w14:paraId="7CA46B6E">
            <w:r>
              <w:t>extracellular region part</w:t>
            </w:r>
          </w:p>
        </w:tc>
        <w:tc>
          <w:tcPr>
            <w:tcW w:w="1417" w:type="dxa"/>
            <w:tcBorders>
              <w:top w:val="nil"/>
              <w:left w:val="nil"/>
              <w:bottom w:val="nil"/>
              <w:right w:val="nil"/>
            </w:tcBorders>
            <w:shd w:val="clear" w:color="auto" w:fill="auto"/>
          </w:tcPr>
          <w:p w14:paraId="4ABA5D69">
            <w:r>
              <w:t>24 (10.91%)</w:t>
            </w:r>
          </w:p>
        </w:tc>
        <w:tc>
          <w:tcPr>
            <w:tcW w:w="1560" w:type="dxa"/>
            <w:tcBorders>
              <w:top w:val="nil"/>
              <w:left w:val="nil"/>
              <w:bottom w:val="nil"/>
              <w:right w:val="nil"/>
            </w:tcBorders>
            <w:shd w:val="clear" w:color="auto" w:fill="auto"/>
          </w:tcPr>
          <w:p w14:paraId="6A9E681F">
            <w:r>
              <w:t>129 (6.89%)</w:t>
            </w:r>
          </w:p>
        </w:tc>
        <w:tc>
          <w:tcPr>
            <w:tcW w:w="1134" w:type="dxa"/>
            <w:tcBorders>
              <w:top w:val="nil"/>
              <w:left w:val="nil"/>
              <w:bottom w:val="nil"/>
              <w:right w:val="nil"/>
            </w:tcBorders>
            <w:shd w:val="clear" w:color="auto" w:fill="auto"/>
          </w:tcPr>
          <w:p w14:paraId="5A0D6B71">
            <w:r>
              <w:t>0.012151</w:t>
            </w:r>
          </w:p>
        </w:tc>
        <w:tc>
          <w:tcPr>
            <w:tcW w:w="1134" w:type="dxa"/>
            <w:tcBorders>
              <w:top w:val="nil"/>
              <w:left w:val="nil"/>
              <w:bottom w:val="nil"/>
              <w:right w:val="nil"/>
            </w:tcBorders>
            <w:shd w:val="clear" w:color="auto" w:fill="auto"/>
          </w:tcPr>
          <w:p w14:paraId="4FDFA365">
            <w:r>
              <w:t>0.109363</w:t>
            </w:r>
          </w:p>
        </w:tc>
      </w:tr>
      <w:tr w14:paraId="27262F26">
        <w:tblPrEx>
          <w:tblCellMar>
            <w:top w:w="0" w:type="dxa"/>
            <w:left w:w="108" w:type="dxa"/>
            <w:bottom w:w="0" w:type="dxa"/>
            <w:right w:w="108" w:type="dxa"/>
          </w:tblCellMar>
        </w:tblPrEx>
        <w:trPr>
          <w:trHeight w:val="428" w:hRule="atLeast"/>
        </w:trPr>
        <w:tc>
          <w:tcPr>
            <w:tcW w:w="1418" w:type="dxa"/>
            <w:tcBorders>
              <w:top w:val="nil"/>
              <w:left w:val="nil"/>
              <w:bottom w:val="nil"/>
              <w:right w:val="nil"/>
            </w:tcBorders>
            <w:shd w:val="clear" w:color="auto" w:fill="auto"/>
          </w:tcPr>
          <w:p w14:paraId="09FDE174">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"gene8" \o "click to view genes" </w:instrText>
            </w:r>
            <w:r>
              <w:fldChar w:fldCharType="separate"/>
            </w:r>
            <w:r>
              <w:t>GO:0005829</w:t>
            </w:r>
            <w:r>
              <w:fldChar w:fldCharType="end"/>
            </w:r>
          </w:p>
        </w:tc>
        <w:tc>
          <w:tcPr>
            <w:tcW w:w="1701" w:type="dxa"/>
            <w:tcBorders>
              <w:top w:val="nil"/>
              <w:left w:val="nil"/>
              <w:bottom w:val="nil"/>
              <w:right w:val="nil"/>
            </w:tcBorders>
            <w:shd w:val="clear" w:color="auto" w:fill="auto"/>
          </w:tcPr>
          <w:p w14:paraId="6BBED6E3">
            <w:r>
              <w:t>cytosol</w:t>
            </w:r>
          </w:p>
        </w:tc>
        <w:tc>
          <w:tcPr>
            <w:tcW w:w="1417" w:type="dxa"/>
            <w:tcBorders>
              <w:top w:val="nil"/>
              <w:left w:val="nil"/>
              <w:bottom w:val="nil"/>
              <w:right w:val="nil"/>
            </w:tcBorders>
            <w:shd w:val="clear" w:color="auto" w:fill="auto"/>
          </w:tcPr>
          <w:p w14:paraId="1346A1B4">
            <w:r>
              <w:t>48 (21.82%)</w:t>
            </w:r>
          </w:p>
        </w:tc>
        <w:tc>
          <w:tcPr>
            <w:tcW w:w="1560" w:type="dxa"/>
            <w:tcBorders>
              <w:top w:val="nil"/>
              <w:left w:val="nil"/>
              <w:bottom w:val="nil"/>
              <w:right w:val="nil"/>
            </w:tcBorders>
            <w:shd w:val="clear" w:color="auto" w:fill="auto"/>
          </w:tcPr>
          <w:p w14:paraId="17B624C6">
            <w:r>
              <w:t>306 (16.34%)</w:t>
            </w:r>
          </w:p>
        </w:tc>
        <w:tc>
          <w:tcPr>
            <w:tcW w:w="1134" w:type="dxa"/>
            <w:tcBorders>
              <w:top w:val="nil"/>
              <w:left w:val="nil"/>
              <w:bottom w:val="nil"/>
              <w:right w:val="nil"/>
            </w:tcBorders>
            <w:shd w:val="clear" w:color="auto" w:fill="auto"/>
          </w:tcPr>
          <w:p w14:paraId="41AD841D">
            <w:r>
              <w:t>0.014412</w:t>
            </w:r>
          </w:p>
        </w:tc>
        <w:tc>
          <w:tcPr>
            <w:tcW w:w="1134" w:type="dxa"/>
            <w:tcBorders>
              <w:top w:val="nil"/>
              <w:left w:val="nil"/>
              <w:bottom w:val="nil"/>
              <w:right w:val="nil"/>
            </w:tcBorders>
            <w:shd w:val="clear" w:color="auto" w:fill="auto"/>
          </w:tcPr>
          <w:p w14:paraId="38B2319D">
            <w:r>
              <w:t>0.113494</w:t>
            </w:r>
          </w:p>
        </w:tc>
      </w:tr>
      <w:tr w14:paraId="0E130EFF">
        <w:tblPrEx>
          <w:tblCellMar>
            <w:top w:w="0" w:type="dxa"/>
            <w:left w:w="108" w:type="dxa"/>
            <w:bottom w:w="0" w:type="dxa"/>
            <w:right w:w="108" w:type="dxa"/>
          </w:tblCellMar>
        </w:tblPrEx>
        <w:trPr>
          <w:trHeight w:val="560" w:hRule="atLeast"/>
        </w:trPr>
        <w:tc>
          <w:tcPr>
            <w:tcW w:w="1418" w:type="dxa"/>
            <w:tcBorders>
              <w:top w:val="nil"/>
              <w:left w:val="nil"/>
              <w:bottom w:val="single" w:color="auto" w:sz="4" w:space="0"/>
              <w:right w:val="nil"/>
            </w:tcBorders>
            <w:shd w:val="clear" w:color="auto" w:fill="auto"/>
          </w:tcPr>
          <w:p w14:paraId="7EEB99D8">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C.html" \l "gene9" \o "click to view genes" </w:instrText>
            </w:r>
            <w:r>
              <w:fldChar w:fldCharType="separate"/>
            </w:r>
            <w:r>
              <w:t>GO:0005576</w:t>
            </w:r>
            <w:r>
              <w:fldChar w:fldCharType="end"/>
            </w:r>
          </w:p>
        </w:tc>
        <w:tc>
          <w:tcPr>
            <w:tcW w:w="1701" w:type="dxa"/>
            <w:tcBorders>
              <w:top w:val="nil"/>
              <w:left w:val="nil"/>
              <w:bottom w:val="single" w:color="auto" w:sz="4" w:space="0"/>
              <w:right w:val="nil"/>
            </w:tcBorders>
            <w:shd w:val="clear" w:color="auto" w:fill="auto"/>
          </w:tcPr>
          <w:p w14:paraId="2F79F9E4">
            <w:r>
              <w:t>extracellular region</w:t>
            </w:r>
          </w:p>
        </w:tc>
        <w:tc>
          <w:tcPr>
            <w:tcW w:w="1417" w:type="dxa"/>
            <w:tcBorders>
              <w:top w:val="nil"/>
              <w:left w:val="nil"/>
              <w:bottom w:val="single" w:color="auto" w:sz="4" w:space="0"/>
              <w:right w:val="nil"/>
            </w:tcBorders>
            <w:shd w:val="clear" w:color="auto" w:fill="auto"/>
          </w:tcPr>
          <w:p w14:paraId="75747492">
            <w:r>
              <w:t>39 (17.73%)</w:t>
            </w:r>
          </w:p>
        </w:tc>
        <w:tc>
          <w:tcPr>
            <w:tcW w:w="1560" w:type="dxa"/>
            <w:tcBorders>
              <w:top w:val="nil"/>
              <w:left w:val="nil"/>
              <w:bottom w:val="single" w:color="auto" w:sz="4" w:space="0"/>
              <w:right w:val="nil"/>
            </w:tcBorders>
            <w:shd w:val="clear" w:color="auto" w:fill="auto"/>
          </w:tcPr>
          <w:p w14:paraId="0FA8EF97">
            <w:r>
              <w:t>247 (13.19%)</w:t>
            </w:r>
          </w:p>
        </w:tc>
        <w:tc>
          <w:tcPr>
            <w:tcW w:w="1134" w:type="dxa"/>
            <w:tcBorders>
              <w:top w:val="nil"/>
              <w:left w:val="nil"/>
              <w:bottom w:val="single" w:color="auto" w:sz="4" w:space="0"/>
              <w:right w:val="nil"/>
            </w:tcBorders>
            <w:shd w:val="clear" w:color="auto" w:fill="auto"/>
          </w:tcPr>
          <w:p w14:paraId="5EFC32B8">
            <w:r>
              <w:t>0.024969</w:t>
            </w:r>
          </w:p>
        </w:tc>
        <w:tc>
          <w:tcPr>
            <w:tcW w:w="1134" w:type="dxa"/>
            <w:tcBorders>
              <w:top w:val="nil"/>
              <w:left w:val="nil"/>
              <w:bottom w:val="single" w:color="auto" w:sz="4" w:space="0"/>
              <w:right w:val="nil"/>
            </w:tcBorders>
            <w:shd w:val="clear" w:color="auto" w:fill="auto"/>
          </w:tcPr>
          <w:p w14:paraId="0C32A5E6">
            <w:r>
              <w:t>0.174785</w:t>
            </w:r>
          </w:p>
        </w:tc>
      </w:tr>
    </w:tbl>
    <w:p w14:paraId="0C330716"/>
    <w:p w14:paraId="1CA37E2F">
      <w:r>
        <w:br w:type="page"/>
      </w:r>
    </w:p>
    <w:p w14:paraId="472C847A">
      <w:pPr>
        <w:rPr>
          <w:b/>
        </w:rPr>
      </w:pPr>
      <w:r>
        <w:rPr>
          <w:b/>
        </w:rPr>
        <w:t>Supplementary Table 10. N15_</w:t>
      </w:r>
      <w:r>
        <w:rPr>
          <w:b/>
          <w:i/>
          <w:iCs/>
        </w:rPr>
        <w:t>vs</w:t>
      </w:r>
      <w:r>
        <w:rPr>
          <w:b/>
        </w:rPr>
        <w:t>_NT GO Enrichment (Biological Process)</w:t>
      </w:r>
    </w:p>
    <w:tbl>
      <w:tblPr>
        <w:tblStyle w:val="6"/>
        <w:tblW w:w="8414" w:type="dxa"/>
        <w:tblInd w:w="0" w:type="dxa"/>
        <w:tblLayout w:type="fixed"/>
        <w:tblCellMar>
          <w:top w:w="0" w:type="dxa"/>
          <w:left w:w="108" w:type="dxa"/>
          <w:bottom w:w="0" w:type="dxa"/>
          <w:right w:w="108" w:type="dxa"/>
        </w:tblCellMar>
      </w:tblPr>
      <w:tblGrid>
        <w:gridCol w:w="1560"/>
        <w:gridCol w:w="1984"/>
        <w:gridCol w:w="1418"/>
        <w:gridCol w:w="1444"/>
        <w:gridCol w:w="1004"/>
        <w:gridCol w:w="1004"/>
      </w:tblGrid>
      <w:tr w14:paraId="7DEEE30C">
        <w:tblPrEx>
          <w:tblCellMar>
            <w:top w:w="0" w:type="dxa"/>
            <w:left w:w="108" w:type="dxa"/>
            <w:bottom w:w="0" w:type="dxa"/>
            <w:right w:w="108" w:type="dxa"/>
          </w:tblCellMar>
        </w:tblPrEx>
        <w:trPr>
          <w:trHeight w:val="560" w:hRule="atLeast"/>
        </w:trPr>
        <w:tc>
          <w:tcPr>
            <w:tcW w:w="1560" w:type="dxa"/>
            <w:tcBorders>
              <w:top w:val="single" w:color="auto" w:sz="4" w:space="0"/>
              <w:left w:val="nil"/>
              <w:bottom w:val="single" w:color="auto" w:sz="4" w:space="0"/>
              <w:right w:val="nil"/>
            </w:tcBorders>
            <w:shd w:val="clear" w:color="auto" w:fill="auto"/>
            <w:vAlign w:val="center"/>
          </w:tcPr>
          <w:p w14:paraId="11E30707">
            <w:r>
              <w:t>GO ID</w:t>
            </w:r>
          </w:p>
        </w:tc>
        <w:tc>
          <w:tcPr>
            <w:tcW w:w="1984" w:type="dxa"/>
            <w:tcBorders>
              <w:top w:val="single" w:color="auto" w:sz="4" w:space="0"/>
              <w:left w:val="nil"/>
              <w:bottom w:val="single" w:color="auto" w:sz="4" w:space="0"/>
              <w:right w:val="nil"/>
            </w:tcBorders>
            <w:shd w:val="clear" w:color="auto" w:fill="auto"/>
            <w:vAlign w:val="center"/>
          </w:tcPr>
          <w:p w14:paraId="4D914EB1">
            <w:r>
              <w:t>Description</w:t>
            </w:r>
          </w:p>
        </w:tc>
        <w:tc>
          <w:tcPr>
            <w:tcW w:w="1418" w:type="dxa"/>
            <w:tcBorders>
              <w:top w:val="single" w:color="auto" w:sz="4" w:space="0"/>
              <w:left w:val="nil"/>
              <w:bottom w:val="single" w:color="auto" w:sz="4" w:space="0"/>
              <w:right w:val="nil"/>
            </w:tcBorders>
            <w:shd w:val="clear" w:color="auto" w:fill="auto"/>
            <w:vAlign w:val="center"/>
          </w:tcPr>
          <w:p w14:paraId="5A84AA26">
            <w:r>
              <w:t>GeneRatio (203)</w:t>
            </w:r>
          </w:p>
        </w:tc>
        <w:tc>
          <w:tcPr>
            <w:tcW w:w="1444" w:type="dxa"/>
            <w:tcBorders>
              <w:top w:val="single" w:color="auto" w:sz="4" w:space="0"/>
              <w:left w:val="nil"/>
              <w:bottom w:val="single" w:color="auto" w:sz="4" w:space="0"/>
              <w:right w:val="nil"/>
            </w:tcBorders>
            <w:shd w:val="clear" w:color="auto" w:fill="auto"/>
            <w:vAlign w:val="center"/>
          </w:tcPr>
          <w:p w14:paraId="2E806972">
            <w:r>
              <w:t>BgRatio (1701)</w:t>
            </w:r>
          </w:p>
        </w:tc>
        <w:tc>
          <w:tcPr>
            <w:tcW w:w="1004" w:type="dxa"/>
            <w:tcBorders>
              <w:top w:val="single" w:color="auto" w:sz="4" w:space="0"/>
              <w:left w:val="nil"/>
              <w:bottom w:val="single" w:color="auto" w:sz="4" w:space="0"/>
              <w:right w:val="nil"/>
            </w:tcBorders>
            <w:shd w:val="clear" w:color="auto" w:fill="auto"/>
            <w:vAlign w:val="center"/>
          </w:tcPr>
          <w:p w14:paraId="0F59F4A3">
            <w:r>
              <w:t>p value</w:t>
            </w:r>
          </w:p>
        </w:tc>
        <w:tc>
          <w:tcPr>
            <w:tcW w:w="1004" w:type="dxa"/>
            <w:tcBorders>
              <w:top w:val="single" w:color="auto" w:sz="4" w:space="0"/>
              <w:left w:val="nil"/>
              <w:bottom w:val="single" w:color="auto" w:sz="4" w:space="0"/>
              <w:right w:val="nil"/>
            </w:tcBorders>
            <w:shd w:val="clear" w:color="auto" w:fill="auto"/>
            <w:vAlign w:val="center"/>
          </w:tcPr>
          <w:p w14:paraId="090AC9DD">
            <w:r>
              <w:t>q value</w:t>
            </w:r>
          </w:p>
        </w:tc>
      </w:tr>
      <w:tr w14:paraId="2625459B">
        <w:tblPrEx>
          <w:tblCellMar>
            <w:top w:w="0" w:type="dxa"/>
            <w:left w:w="108" w:type="dxa"/>
            <w:bottom w:w="0" w:type="dxa"/>
            <w:right w:w="108" w:type="dxa"/>
          </w:tblCellMar>
        </w:tblPrEx>
        <w:trPr>
          <w:trHeight w:val="458" w:hRule="atLeast"/>
        </w:trPr>
        <w:tc>
          <w:tcPr>
            <w:tcW w:w="1560" w:type="dxa"/>
            <w:tcBorders>
              <w:top w:val="nil"/>
              <w:left w:val="nil"/>
              <w:bottom w:val="nil"/>
              <w:right w:val="nil"/>
            </w:tcBorders>
            <w:shd w:val="clear" w:color="auto" w:fill="auto"/>
          </w:tcPr>
          <w:p w14:paraId="5089334D">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"gene1" \o "click to view genes" </w:instrText>
            </w:r>
            <w:r>
              <w:fldChar w:fldCharType="separate"/>
            </w:r>
            <w:r>
              <w:t>GO:0040011</w:t>
            </w:r>
            <w:r>
              <w:fldChar w:fldCharType="end"/>
            </w:r>
          </w:p>
        </w:tc>
        <w:tc>
          <w:tcPr>
            <w:tcW w:w="1984" w:type="dxa"/>
            <w:tcBorders>
              <w:top w:val="nil"/>
              <w:left w:val="nil"/>
              <w:bottom w:val="nil"/>
              <w:right w:val="nil"/>
            </w:tcBorders>
            <w:shd w:val="clear" w:color="auto" w:fill="auto"/>
          </w:tcPr>
          <w:p w14:paraId="3A81F933">
            <w:pPr>
              <w:spacing w:line="240" w:lineRule="auto"/>
              <w:jc w:val="left"/>
            </w:pPr>
            <w:r>
              <w:t>locomotion</w:t>
            </w:r>
          </w:p>
        </w:tc>
        <w:tc>
          <w:tcPr>
            <w:tcW w:w="1418" w:type="dxa"/>
            <w:tcBorders>
              <w:top w:val="nil"/>
              <w:left w:val="nil"/>
              <w:bottom w:val="nil"/>
              <w:right w:val="nil"/>
            </w:tcBorders>
            <w:shd w:val="clear" w:color="auto" w:fill="auto"/>
          </w:tcPr>
          <w:p w14:paraId="2741E668">
            <w:pPr>
              <w:spacing w:line="240" w:lineRule="auto"/>
            </w:pPr>
            <w:r>
              <w:t>38 (18.72%)</w:t>
            </w:r>
          </w:p>
        </w:tc>
        <w:tc>
          <w:tcPr>
            <w:tcW w:w="1444" w:type="dxa"/>
            <w:tcBorders>
              <w:top w:val="nil"/>
              <w:left w:val="nil"/>
              <w:bottom w:val="nil"/>
              <w:right w:val="nil"/>
            </w:tcBorders>
            <w:shd w:val="clear" w:color="auto" w:fill="auto"/>
          </w:tcPr>
          <w:p w14:paraId="2630E532">
            <w:pPr>
              <w:spacing w:line="240" w:lineRule="auto"/>
            </w:pPr>
            <w:r>
              <w:t>149 (8.76%)</w:t>
            </w:r>
          </w:p>
        </w:tc>
        <w:tc>
          <w:tcPr>
            <w:tcW w:w="1004" w:type="dxa"/>
            <w:tcBorders>
              <w:top w:val="nil"/>
              <w:left w:val="nil"/>
              <w:bottom w:val="nil"/>
              <w:right w:val="nil"/>
            </w:tcBorders>
            <w:shd w:val="clear" w:color="auto" w:fill="auto"/>
          </w:tcPr>
          <w:p w14:paraId="3CD57898">
            <w:pPr>
              <w:spacing w:line="240" w:lineRule="auto"/>
            </w:pPr>
            <w:r>
              <w:t>0.000001</w:t>
            </w:r>
          </w:p>
        </w:tc>
        <w:tc>
          <w:tcPr>
            <w:tcW w:w="1004" w:type="dxa"/>
            <w:tcBorders>
              <w:top w:val="nil"/>
              <w:left w:val="nil"/>
              <w:bottom w:val="nil"/>
              <w:right w:val="nil"/>
            </w:tcBorders>
            <w:shd w:val="clear" w:color="auto" w:fill="auto"/>
          </w:tcPr>
          <w:p w14:paraId="6480395B">
            <w:pPr>
              <w:spacing w:line="240" w:lineRule="auto"/>
            </w:pPr>
            <w:r>
              <w:t>0.000182</w:t>
            </w:r>
          </w:p>
        </w:tc>
      </w:tr>
      <w:tr w14:paraId="380AB9D5">
        <w:tblPrEx>
          <w:tblCellMar>
            <w:top w:w="0" w:type="dxa"/>
            <w:left w:w="108" w:type="dxa"/>
            <w:bottom w:w="0" w:type="dxa"/>
            <w:right w:w="108" w:type="dxa"/>
          </w:tblCellMar>
        </w:tblPrEx>
        <w:trPr>
          <w:trHeight w:val="758" w:hRule="atLeast"/>
        </w:trPr>
        <w:tc>
          <w:tcPr>
            <w:tcW w:w="1560" w:type="dxa"/>
            <w:tcBorders>
              <w:top w:val="nil"/>
              <w:left w:val="nil"/>
              <w:bottom w:val="nil"/>
              <w:right w:val="nil"/>
            </w:tcBorders>
            <w:shd w:val="clear" w:color="auto" w:fill="auto"/>
          </w:tcPr>
          <w:p w14:paraId="7EEC1436">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"gene2" \o "click to view genes" </w:instrText>
            </w:r>
            <w:r>
              <w:fldChar w:fldCharType="separate"/>
            </w:r>
            <w:r>
              <w:t>GO:0006928</w:t>
            </w:r>
            <w:r>
              <w:fldChar w:fldCharType="end"/>
            </w:r>
          </w:p>
        </w:tc>
        <w:tc>
          <w:tcPr>
            <w:tcW w:w="1984" w:type="dxa"/>
            <w:tcBorders>
              <w:top w:val="nil"/>
              <w:left w:val="nil"/>
              <w:bottom w:val="nil"/>
              <w:right w:val="nil"/>
            </w:tcBorders>
            <w:shd w:val="clear" w:color="auto" w:fill="auto"/>
          </w:tcPr>
          <w:p w14:paraId="41D051B4">
            <w:pPr>
              <w:spacing w:line="240" w:lineRule="auto"/>
              <w:jc w:val="left"/>
            </w:pPr>
            <w:r>
              <w:t>movement of cell or subcellular component</w:t>
            </w:r>
          </w:p>
        </w:tc>
        <w:tc>
          <w:tcPr>
            <w:tcW w:w="1418" w:type="dxa"/>
            <w:tcBorders>
              <w:top w:val="nil"/>
              <w:left w:val="nil"/>
              <w:bottom w:val="nil"/>
              <w:right w:val="nil"/>
            </w:tcBorders>
            <w:shd w:val="clear" w:color="auto" w:fill="auto"/>
          </w:tcPr>
          <w:p w14:paraId="6FDB4A6B">
            <w:pPr>
              <w:spacing w:line="240" w:lineRule="auto"/>
            </w:pPr>
            <w:r>
              <w:t>29 (14.29%)</w:t>
            </w:r>
          </w:p>
        </w:tc>
        <w:tc>
          <w:tcPr>
            <w:tcW w:w="1444" w:type="dxa"/>
            <w:tcBorders>
              <w:top w:val="nil"/>
              <w:left w:val="nil"/>
              <w:bottom w:val="nil"/>
              <w:right w:val="nil"/>
            </w:tcBorders>
            <w:shd w:val="clear" w:color="auto" w:fill="auto"/>
          </w:tcPr>
          <w:p w14:paraId="4AC2D784">
            <w:pPr>
              <w:spacing w:line="240" w:lineRule="auto"/>
            </w:pPr>
            <w:r>
              <w:t>111 (6.53%)</w:t>
            </w:r>
          </w:p>
        </w:tc>
        <w:tc>
          <w:tcPr>
            <w:tcW w:w="1004" w:type="dxa"/>
            <w:tcBorders>
              <w:top w:val="nil"/>
              <w:left w:val="nil"/>
              <w:bottom w:val="nil"/>
              <w:right w:val="nil"/>
            </w:tcBorders>
            <w:shd w:val="clear" w:color="auto" w:fill="auto"/>
          </w:tcPr>
          <w:p w14:paraId="2FD2CB7B">
            <w:pPr>
              <w:spacing w:line="240" w:lineRule="auto"/>
            </w:pPr>
            <w:r>
              <w:t>0.000016</w:t>
            </w:r>
          </w:p>
        </w:tc>
        <w:tc>
          <w:tcPr>
            <w:tcW w:w="1004" w:type="dxa"/>
            <w:tcBorders>
              <w:top w:val="nil"/>
              <w:left w:val="nil"/>
              <w:bottom w:val="nil"/>
              <w:right w:val="nil"/>
            </w:tcBorders>
            <w:shd w:val="clear" w:color="auto" w:fill="auto"/>
          </w:tcPr>
          <w:p w14:paraId="44D4F012">
            <w:pPr>
              <w:spacing w:line="240" w:lineRule="auto"/>
            </w:pPr>
            <w:r>
              <w:t>0.000568</w:t>
            </w:r>
          </w:p>
        </w:tc>
      </w:tr>
      <w:tr w14:paraId="045E98FB">
        <w:tblPrEx>
          <w:tblCellMar>
            <w:top w:w="0" w:type="dxa"/>
            <w:left w:w="108" w:type="dxa"/>
            <w:bottom w:w="0" w:type="dxa"/>
            <w:right w:w="108" w:type="dxa"/>
          </w:tblCellMar>
        </w:tblPrEx>
        <w:trPr>
          <w:trHeight w:val="560" w:hRule="atLeast"/>
        </w:trPr>
        <w:tc>
          <w:tcPr>
            <w:tcW w:w="1560" w:type="dxa"/>
            <w:tcBorders>
              <w:top w:val="nil"/>
              <w:left w:val="nil"/>
              <w:bottom w:val="nil"/>
              <w:right w:val="nil"/>
            </w:tcBorders>
            <w:shd w:val="clear" w:color="auto" w:fill="auto"/>
          </w:tcPr>
          <w:p w14:paraId="0E87EB4F">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"gene3" \o "click to view genes" </w:instrText>
            </w:r>
            <w:r>
              <w:fldChar w:fldCharType="separate"/>
            </w:r>
            <w:r>
              <w:t>GO:0048870</w:t>
            </w:r>
            <w:r>
              <w:fldChar w:fldCharType="end"/>
            </w:r>
          </w:p>
        </w:tc>
        <w:tc>
          <w:tcPr>
            <w:tcW w:w="1984" w:type="dxa"/>
            <w:tcBorders>
              <w:top w:val="nil"/>
              <w:left w:val="nil"/>
              <w:bottom w:val="nil"/>
              <w:right w:val="nil"/>
            </w:tcBorders>
            <w:shd w:val="clear" w:color="auto" w:fill="auto"/>
          </w:tcPr>
          <w:p w14:paraId="0F5B01C1">
            <w:pPr>
              <w:spacing w:line="240" w:lineRule="auto"/>
              <w:jc w:val="left"/>
            </w:pPr>
            <w:r>
              <w:t>cell motility</w:t>
            </w:r>
          </w:p>
        </w:tc>
        <w:tc>
          <w:tcPr>
            <w:tcW w:w="1418" w:type="dxa"/>
            <w:tcBorders>
              <w:top w:val="nil"/>
              <w:left w:val="nil"/>
              <w:bottom w:val="nil"/>
              <w:right w:val="nil"/>
            </w:tcBorders>
            <w:shd w:val="clear" w:color="auto" w:fill="auto"/>
          </w:tcPr>
          <w:p w14:paraId="315F0A9A">
            <w:pPr>
              <w:spacing w:line="240" w:lineRule="auto"/>
            </w:pPr>
            <w:r>
              <w:t>29 (14.29%)</w:t>
            </w:r>
          </w:p>
        </w:tc>
        <w:tc>
          <w:tcPr>
            <w:tcW w:w="1444" w:type="dxa"/>
            <w:tcBorders>
              <w:top w:val="nil"/>
              <w:left w:val="nil"/>
              <w:bottom w:val="nil"/>
              <w:right w:val="nil"/>
            </w:tcBorders>
            <w:shd w:val="clear" w:color="auto" w:fill="auto"/>
          </w:tcPr>
          <w:p w14:paraId="26268658">
            <w:pPr>
              <w:spacing w:line="240" w:lineRule="auto"/>
            </w:pPr>
            <w:r>
              <w:t>111 (6.53%)</w:t>
            </w:r>
          </w:p>
        </w:tc>
        <w:tc>
          <w:tcPr>
            <w:tcW w:w="1004" w:type="dxa"/>
            <w:tcBorders>
              <w:top w:val="nil"/>
              <w:left w:val="nil"/>
              <w:bottom w:val="nil"/>
              <w:right w:val="nil"/>
            </w:tcBorders>
            <w:shd w:val="clear" w:color="auto" w:fill="auto"/>
          </w:tcPr>
          <w:p w14:paraId="2EFCB3FD">
            <w:pPr>
              <w:spacing w:line="240" w:lineRule="auto"/>
            </w:pPr>
            <w:r>
              <w:t>0.000016</w:t>
            </w:r>
          </w:p>
        </w:tc>
        <w:tc>
          <w:tcPr>
            <w:tcW w:w="1004" w:type="dxa"/>
            <w:tcBorders>
              <w:top w:val="nil"/>
              <w:left w:val="nil"/>
              <w:bottom w:val="nil"/>
              <w:right w:val="nil"/>
            </w:tcBorders>
            <w:shd w:val="clear" w:color="auto" w:fill="auto"/>
          </w:tcPr>
          <w:p w14:paraId="2F91B878">
            <w:pPr>
              <w:spacing w:line="240" w:lineRule="auto"/>
            </w:pPr>
            <w:r>
              <w:t>0.000568</w:t>
            </w:r>
          </w:p>
        </w:tc>
      </w:tr>
      <w:tr w14:paraId="60024081">
        <w:tblPrEx>
          <w:tblCellMar>
            <w:top w:w="0" w:type="dxa"/>
            <w:left w:w="108" w:type="dxa"/>
            <w:bottom w:w="0" w:type="dxa"/>
            <w:right w:w="108" w:type="dxa"/>
          </w:tblCellMar>
        </w:tblPrEx>
        <w:trPr>
          <w:trHeight w:val="560" w:hRule="atLeast"/>
        </w:trPr>
        <w:tc>
          <w:tcPr>
            <w:tcW w:w="1560" w:type="dxa"/>
            <w:tcBorders>
              <w:top w:val="nil"/>
              <w:left w:val="nil"/>
              <w:bottom w:val="nil"/>
              <w:right w:val="nil"/>
            </w:tcBorders>
            <w:shd w:val="clear" w:color="auto" w:fill="auto"/>
          </w:tcPr>
          <w:p w14:paraId="3C1F904D">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"gene4" \o "click to view genes" </w:instrText>
            </w:r>
            <w:r>
              <w:fldChar w:fldCharType="separate"/>
            </w:r>
            <w:r>
              <w:t>GO:0051674</w:t>
            </w:r>
            <w:r>
              <w:fldChar w:fldCharType="end"/>
            </w:r>
          </w:p>
        </w:tc>
        <w:tc>
          <w:tcPr>
            <w:tcW w:w="1984" w:type="dxa"/>
            <w:tcBorders>
              <w:top w:val="nil"/>
              <w:left w:val="nil"/>
              <w:bottom w:val="nil"/>
              <w:right w:val="nil"/>
            </w:tcBorders>
            <w:shd w:val="clear" w:color="auto" w:fill="auto"/>
          </w:tcPr>
          <w:p w14:paraId="21EFBFE1">
            <w:pPr>
              <w:spacing w:line="240" w:lineRule="auto"/>
              <w:jc w:val="left"/>
            </w:pPr>
            <w:r>
              <w:t>localization of cell</w:t>
            </w:r>
          </w:p>
        </w:tc>
        <w:tc>
          <w:tcPr>
            <w:tcW w:w="1418" w:type="dxa"/>
            <w:tcBorders>
              <w:top w:val="nil"/>
              <w:left w:val="nil"/>
              <w:bottom w:val="nil"/>
              <w:right w:val="nil"/>
            </w:tcBorders>
            <w:shd w:val="clear" w:color="auto" w:fill="auto"/>
          </w:tcPr>
          <w:p w14:paraId="05A0CF6B">
            <w:pPr>
              <w:spacing w:line="240" w:lineRule="auto"/>
            </w:pPr>
            <w:r>
              <w:t>29 (14.29%)</w:t>
            </w:r>
          </w:p>
        </w:tc>
        <w:tc>
          <w:tcPr>
            <w:tcW w:w="1444" w:type="dxa"/>
            <w:tcBorders>
              <w:top w:val="nil"/>
              <w:left w:val="nil"/>
              <w:bottom w:val="nil"/>
              <w:right w:val="nil"/>
            </w:tcBorders>
            <w:shd w:val="clear" w:color="auto" w:fill="auto"/>
          </w:tcPr>
          <w:p w14:paraId="0541E396">
            <w:pPr>
              <w:spacing w:line="240" w:lineRule="auto"/>
            </w:pPr>
            <w:r>
              <w:t>111 (6.53%)</w:t>
            </w:r>
          </w:p>
        </w:tc>
        <w:tc>
          <w:tcPr>
            <w:tcW w:w="1004" w:type="dxa"/>
            <w:tcBorders>
              <w:top w:val="nil"/>
              <w:left w:val="nil"/>
              <w:bottom w:val="nil"/>
              <w:right w:val="nil"/>
            </w:tcBorders>
            <w:shd w:val="clear" w:color="auto" w:fill="auto"/>
          </w:tcPr>
          <w:p w14:paraId="4BC4AF4F">
            <w:pPr>
              <w:spacing w:line="240" w:lineRule="auto"/>
            </w:pPr>
            <w:r>
              <w:t>0.000016</w:t>
            </w:r>
          </w:p>
        </w:tc>
        <w:tc>
          <w:tcPr>
            <w:tcW w:w="1004" w:type="dxa"/>
            <w:tcBorders>
              <w:top w:val="nil"/>
              <w:left w:val="nil"/>
              <w:bottom w:val="nil"/>
              <w:right w:val="nil"/>
            </w:tcBorders>
            <w:shd w:val="clear" w:color="auto" w:fill="auto"/>
          </w:tcPr>
          <w:p w14:paraId="53863DEB">
            <w:pPr>
              <w:spacing w:line="240" w:lineRule="auto"/>
            </w:pPr>
            <w:r>
              <w:t>0.000568</w:t>
            </w:r>
          </w:p>
        </w:tc>
      </w:tr>
      <w:tr w14:paraId="4C3A5B60">
        <w:tblPrEx>
          <w:tblCellMar>
            <w:top w:w="0" w:type="dxa"/>
            <w:left w:w="108" w:type="dxa"/>
            <w:bottom w:w="0" w:type="dxa"/>
            <w:right w:w="108" w:type="dxa"/>
          </w:tblCellMar>
        </w:tblPrEx>
        <w:trPr>
          <w:trHeight w:val="543" w:hRule="atLeast"/>
        </w:trPr>
        <w:tc>
          <w:tcPr>
            <w:tcW w:w="1560" w:type="dxa"/>
            <w:tcBorders>
              <w:top w:val="nil"/>
              <w:left w:val="nil"/>
              <w:bottom w:val="nil"/>
              <w:right w:val="nil"/>
            </w:tcBorders>
            <w:shd w:val="clear" w:color="auto" w:fill="auto"/>
          </w:tcPr>
          <w:p w14:paraId="5171706D">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"gene5" \o "click to view genes" </w:instrText>
            </w:r>
            <w:r>
              <w:fldChar w:fldCharType="separate"/>
            </w:r>
            <w:r>
              <w:t>GO:0007165</w:t>
            </w:r>
            <w:r>
              <w:fldChar w:fldCharType="end"/>
            </w:r>
          </w:p>
        </w:tc>
        <w:tc>
          <w:tcPr>
            <w:tcW w:w="1984" w:type="dxa"/>
            <w:tcBorders>
              <w:top w:val="nil"/>
              <w:left w:val="nil"/>
              <w:bottom w:val="nil"/>
              <w:right w:val="nil"/>
            </w:tcBorders>
            <w:shd w:val="clear" w:color="auto" w:fill="auto"/>
          </w:tcPr>
          <w:p w14:paraId="07F2DE17">
            <w:pPr>
              <w:spacing w:line="240" w:lineRule="auto"/>
              <w:jc w:val="left"/>
            </w:pPr>
            <w:r>
              <w:t>signal transduction</w:t>
            </w:r>
          </w:p>
        </w:tc>
        <w:tc>
          <w:tcPr>
            <w:tcW w:w="1418" w:type="dxa"/>
            <w:tcBorders>
              <w:top w:val="nil"/>
              <w:left w:val="nil"/>
              <w:bottom w:val="nil"/>
              <w:right w:val="nil"/>
            </w:tcBorders>
            <w:shd w:val="clear" w:color="auto" w:fill="auto"/>
          </w:tcPr>
          <w:p w14:paraId="0B3EDFB1">
            <w:pPr>
              <w:spacing w:line="240" w:lineRule="auto"/>
            </w:pPr>
            <w:r>
              <w:t>93 (45.81%)</w:t>
            </w:r>
          </w:p>
        </w:tc>
        <w:tc>
          <w:tcPr>
            <w:tcW w:w="1444" w:type="dxa"/>
            <w:tcBorders>
              <w:top w:val="nil"/>
              <w:left w:val="nil"/>
              <w:bottom w:val="nil"/>
              <w:right w:val="nil"/>
            </w:tcBorders>
            <w:shd w:val="clear" w:color="auto" w:fill="auto"/>
          </w:tcPr>
          <w:p w14:paraId="061839C9">
            <w:pPr>
              <w:spacing w:line="240" w:lineRule="auto"/>
            </w:pPr>
            <w:r>
              <w:t>559 (32.86%)</w:t>
            </w:r>
          </w:p>
        </w:tc>
        <w:tc>
          <w:tcPr>
            <w:tcW w:w="1004" w:type="dxa"/>
            <w:tcBorders>
              <w:top w:val="nil"/>
              <w:left w:val="nil"/>
              <w:bottom w:val="nil"/>
              <w:right w:val="nil"/>
            </w:tcBorders>
            <w:shd w:val="clear" w:color="auto" w:fill="auto"/>
          </w:tcPr>
          <w:p w14:paraId="6A6D7523">
            <w:pPr>
              <w:spacing w:line="240" w:lineRule="auto"/>
            </w:pPr>
            <w:r>
              <w:t>0.000029</w:t>
            </w:r>
          </w:p>
        </w:tc>
        <w:tc>
          <w:tcPr>
            <w:tcW w:w="1004" w:type="dxa"/>
            <w:tcBorders>
              <w:top w:val="nil"/>
              <w:left w:val="nil"/>
              <w:bottom w:val="nil"/>
              <w:right w:val="nil"/>
            </w:tcBorders>
            <w:shd w:val="clear" w:color="auto" w:fill="auto"/>
          </w:tcPr>
          <w:p w14:paraId="0433A47F">
            <w:pPr>
              <w:spacing w:line="240" w:lineRule="auto"/>
            </w:pPr>
            <w:r>
              <w:t>0.000568</w:t>
            </w:r>
          </w:p>
        </w:tc>
      </w:tr>
      <w:tr w14:paraId="22A8E3F4">
        <w:tblPrEx>
          <w:tblCellMar>
            <w:top w:w="0" w:type="dxa"/>
            <w:left w:w="108" w:type="dxa"/>
            <w:bottom w:w="0" w:type="dxa"/>
            <w:right w:w="108" w:type="dxa"/>
          </w:tblCellMar>
        </w:tblPrEx>
        <w:trPr>
          <w:trHeight w:val="707" w:hRule="atLeast"/>
        </w:trPr>
        <w:tc>
          <w:tcPr>
            <w:tcW w:w="1560" w:type="dxa"/>
            <w:tcBorders>
              <w:top w:val="nil"/>
              <w:left w:val="nil"/>
              <w:bottom w:val="nil"/>
              <w:right w:val="nil"/>
            </w:tcBorders>
            <w:shd w:val="clear" w:color="auto" w:fill="auto"/>
          </w:tcPr>
          <w:p w14:paraId="75D05766">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"gene6" \o "click to view genes" </w:instrText>
            </w:r>
            <w:r>
              <w:fldChar w:fldCharType="separate"/>
            </w:r>
            <w:r>
              <w:t>GO:0050789</w:t>
            </w:r>
            <w:r>
              <w:fldChar w:fldCharType="end"/>
            </w:r>
          </w:p>
        </w:tc>
        <w:tc>
          <w:tcPr>
            <w:tcW w:w="1984" w:type="dxa"/>
            <w:tcBorders>
              <w:top w:val="nil"/>
              <w:left w:val="nil"/>
              <w:bottom w:val="nil"/>
              <w:right w:val="nil"/>
            </w:tcBorders>
            <w:shd w:val="clear" w:color="auto" w:fill="auto"/>
          </w:tcPr>
          <w:p w14:paraId="54B5E8FA">
            <w:pPr>
              <w:spacing w:line="240" w:lineRule="auto"/>
              <w:jc w:val="left"/>
            </w:pPr>
            <w:r>
              <w:t>regulation of biological process</w:t>
            </w:r>
          </w:p>
        </w:tc>
        <w:tc>
          <w:tcPr>
            <w:tcW w:w="1418" w:type="dxa"/>
            <w:tcBorders>
              <w:top w:val="nil"/>
              <w:left w:val="nil"/>
              <w:bottom w:val="nil"/>
              <w:right w:val="nil"/>
            </w:tcBorders>
            <w:shd w:val="clear" w:color="auto" w:fill="auto"/>
          </w:tcPr>
          <w:p w14:paraId="61B7A1A6">
            <w:pPr>
              <w:spacing w:line="240" w:lineRule="auto"/>
            </w:pPr>
            <w:r>
              <w:t>93 (45.81%)</w:t>
            </w:r>
          </w:p>
        </w:tc>
        <w:tc>
          <w:tcPr>
            <w:tcW w:w="1444" w:type="dxa"/>
            <w:tcBorders>
              <w:top w:val="nil"/>
              <w:left w:val="nil"/>
              <w:bottom w:val="nil"/>
              <w:right w:val="nil"/>
            </w:tcBorders>
            <w:shd w:val="clear" w:color="auto" w:fill="auto"/>
          </w:tcPr>
          <w:p w14:paraId="5CC14D8C">
            <w:pPr>
              <w:spacing w:line="240" w:lineRule="auto"/>
            </w:pPr>
            <w:r>
              <w:t>559 (32.86%)</w:t>
            </w:r>
          </w:p>
        </w:tc>
        <w:tc>
          <w:tcPr>
            <w:tcW w:w="1004" w:type="dxa"/>
            <w:tcBorders>
              <w:top w:val="nil"/>
              <w:left w:val="nil"/>
              <w:bottom w:val="nil"/>
              <w:right w:val="nil"/>
            </w:tcBorders>
            <w:shd w:val="clear" w:color="auto" w:fill="auto"/>
          </w:tcPr>
          <w:p w14:paraId="7EC8D171">
            <w:pPr>
              <w:spacing w:line="240" w:lineRule="auto"/>
            </w:pPr>
            <w:r>
              <w:t>0.000029</w:t>
            </w:r>
          </w:p>
        </w:tc>
        <w:tc>
          <w:tcPr>
            <w:tcW w:w="1004" w:type="dxa"/>
            <w:tcBorders>
              <w:top w:val="nil"/>
              <w:left w:val="nil"/>
              <w:bottom w:val="nil"/>
              <w:right w:val="nil"/>
            </w:tcBorders>
            <w:shd w:val="clear" w:color="auto" w:fill="auto"/>
          </w:tcPr>
          <w:p w14:paraId="7917D73B">
            <w:pPr>
              <w:spacing w:line="240" w:lineRule="auto"/>
            </w:pPr>
            <w:r>
              <w:t>0.000568</w:t>
            </w:r>
          </w:p>
        </w:tc>
      </w:tr>
      <w:tr w14:paraId="4440BD27">
        <w:tblPrEx>
          <w:tblCellMar>
            <w:top w:w="0" w:type="dxa"/>
            <w:left w:w="108" w:type="dxa"/>
            <w:bottom w:w="0" w:type="dxa"/>
            <w:right w:w="108" w:type="dxa"/>
          </w:tblCellMar>
        </w:tblPrEx>
        <w:trPr>
          <w:trHeight w:val="702" w:hRule="atLeast"/>
        </w:trPr>
        <w:tc>
          <w:tcPr>
            <w:tcW w:w="1560" w:type="dxa"/>
            <w:tcBorders>
              <w:top w:val="nil"/>
              <w:left w:val="nil"/>
              <w:bottom w:val="nil"/>
              <w:right w:val="nil"/>
            </w:tcBorders>
            <w:shd w:val="clear" w:color="auto" w:fill="auto"/>
          </w:tcPr>
          <w:p w14:paraId="443DC24F">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"gene7" \o "click to view genes" </w:instrText>
            </w:r>
            <w:r>
              <w:fldChar w:fldCharType="separate"/>
            </w:r>
            <w:r>
              <w:t>GO:0050794</w:t>
            </w:r>
            <w:r>
              <w:fldChar w:fldCharType="end"/>
            </w:r>
          </w:p>
        </w:tc>
        <w:tc>
          <w:tcPr>
            <w:tcW w:w="1984" w:type="dxa"/>
            <w:tcBorders>
              <w:top w:val="nil"/>
              <w:left w:val="nil"/>
              <w:bottom w:val="nil"/>
              <w:right w:val="nil"/>
            </w:tcBorders>
            <w:shd w:val="clear" w:color="auto" w:fill="auto"/>
          </w:tcPr>
          <w:p w14:paraId="10543329">
            <w:pPr>
              <w:spacing w:line="240" w:lineRule="auto"/>
              <w:jc w:val="left"/>
            </w:pPr>
            <w:r>
              <w:t>regulation of cellular process</w:t>
            </w:r>
          </w:p>
        </w:tc>
        <w:tc>
          <w:tcPr>
            <w:tcW w:w="1418" w:type="dxa"/>
            <w:tcBorders>
              <w:top w:val="nil"/>
              <w:left w:val="nil"/>
              <w:bottom w:val="nil"/>
              <w:right w:val="nil"/>
            </w:tcBorders>
            <w:shd w:val="clear" w:color="auto" w:fill="auto"/>
          </w:tcPr>
          <w:p w14:paraId="093B52F0">
            <w:pPr>
              <w:spacing w:line="240" w:lineRule="auto"/>
            </w:pPr>
            <w:r>
              <w:t>93 (45.81%)</w:t>
            </w:r>
          </w:p>
        </w:tc>
        <w:tc>
          <w:tcPr>
            <w:tcW w:w="1444" w:type="dxa"/>
            <w:tcBorders>
              <w:top w:val="nil"/>
              <w:left w:val="nil"/>
              <w:bottom w:val="nil"/>
              <w:right w:val="nil"/>
            </w:tcBorders>
            <w:shd w:val="clear" w:color="auto" w:fill="auto"/>
          </w:tcPr>
          <w:p w14:paraId="43E966A7">
            <w:pPr>
              <w:spacing w:line="240" w:lineRule="auto"/>
            </w:pPr>
            <w:r>
              <w:t>559 (32.86%)</w:t>
            </w:r>
          </w:p>
        </w:tc>
        <w:tc>
          <w:tcPr>
            <w:tcW w:w="1004" w:type="dxa"/>
            <w:tcBorders>
              <w:top w:val="nil"/>
              <w:left w:val="nil"/>
              <w:bottom w:val="nil"/>
              <w:right w:val="nil"/>
            </w:tcBorders>
            <w:shd w:val="clear" w:color="auto" w:fill="auto"/>
          </w:tcPr>
          <w:p w14:paraId="6C13E79C">
            <w:pPr>
              <w:spacing w:line="240" w:lineRule="auto"/>
            </w:pPr>
            <w:r>
              <w:t>0.000029</w:t>
            </w:r>
          </w:p>
        </w:tc>
        <w:tc>
          <w:tcPr>
            <w:tcW w:w="1004" w:type="dxa"/>
            <w:tcBorders>
              <w:top w:val="nil"/>
              <w:left w:val="nil"/>
              <w:bottom w:val="nil"/>
              <w:right w:val="nil"/>
            </w:tcBorders>
            <w:shd w:val="clear" w:color="auto" w:fill="auto"/>
          </w:tcPr>
          <w:p w14:paraId="52A94ECC">
            <w:pPr>
              <w:spacing w:line="240" w:lineRule="auto"/>
            </w:pPr>
            <w:r>
              <w:t>0.000568</w:t>
            </w:r>
          </w:p>
        </w:tc>
      </w:tr>
      <w:tr w14:paraId="04330684">
        <w:tblPrEx>
          <w:tblCellMar>
            <w:top w:w="0" w:type="dxa"/>
            <w:left w:w="108" w:type="dxa"/>
            <w:bottom w:w="0" w:type="dxa"/>
            <w:right w:w="108" w:type="dxa"/>
          </w:tblCellMar>
        </w:tblPrEx>
        <w:trPr>
          <w:trHeight w:val="712" w:hRule="atLeast"/>
        </w:trPr>
        <w:tc>
          <w:tcPr>
            <w:tcW w:w="1560" w:type="dxa"/>
            <w:tcBorders>
              <w:top w:val="nil"/>
              <w:left w:val="nil"/>
              <w:bottom w:val="nil"/>
              <w:right w:val="nil"/>
            </w:tcBorders>
            <w:shd w:val="clear" w:color="auto" w:fill="auto"/>
          </w:tcPr>
          <w:p w14:paraId="02A5613B">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"gene8" \o "click to view genes" </w:instrText>
            </w:r>
            <w:r>
              <w:fldChar w:fldCharType="separate"/>
            </w:r>
            <w:r>
              <w:t>GO:0051716</w:t>
            </w:r>
            <w:r>
              <w:fldChar w:fldCharType="end"/>
            </w:r>
          </w:p>
        </w:tc>
        <w:tc>
          <w:tcPr>
            <w:tcW w:w="1984" w:type="dxa"/>
            <w:tcBorders>
              <w:top w:val="nil"/>
              <w:left w:val="nil"/>
              <w:bottom w:val="nil"/>
              <w:right w:val="nil"/>
            </w:tcBorders>
            <w:shd w:val="clear" w:color="auto" w:fill="auto"/>
          </w:tcPr>
          <w:p w14:paraId="1D8FC2AB">
            <w:pPr>
              <w:spacing w:line="240" w:lineRule="auto"/>
              <w:jc w:val="left"/>
            </w:pPr>
            <w:r>
              <w:t>cellular response to stimulus</w:t>
            </w:r>
          </w:p>
        </w:tc>
        <w:tc>
          <w:tcPr>
            <w:tcW w:w="1418" w:type="dxa"/>
            <w:tcBorders>
              <w:top w:val="nil"/>
              <w:left w:val="nil"/>
              <w:bottom w:val="nil"/>
              <w:right w:val="nil"/>
            </w:tcBorders>
            <w:shd w:val="clear" w:color="auto" w:fill="auto"/>
          </w:tcPr>
          <w:p w14:paraId="2F2BD05F">
            <w:pPr>
              <w:spacing w:line="240" w:lineRule="auto"/>
            </w:pPr>
            <w:r>
              <w:t>93 (45.81%)</w:t>
            </w:r>
          </w:p>
        </w:tc>
        <w:tc>
          <w:tcPr>
            <w:tcW w:w="1444" w:type="dxa"/>
            <w:tcBorders>
              <w:top w:val="nil"/>
              <w:left w:val="nil"/>
              <w:bottom w:val="nil"/>
              <w:right w:val="nil"/>
            </w:tcBorders>
            <w:shd w:val="clear" w:color="auto" w:fill="auto"/>
          </w:tcPr>
          <w:p w14:paraId="3EE5AA79">
            <w:pPr>
              <w:spacing w:line="240" w:lineRule="auto"/>
            </w:pPr>
            <w:r>
              <w:t>559 (32.86%)</w:t>
            </w:r>
          </w:p>
        </w:tc>
        <w:tc>
          <w:tcPr>
            <w:tcW w:w="1004" w:type="dxa"/>
            <w:tcBorders>
              <w:top w:val="nil"/>
              <w:left w:val="nil"/>
              <w:bottom w:val="nil"/>
              <w:right w:val="nil"/>
            </w:tcBorders>
            <w:shd w:val="clear" w:color="auto" w:fill="auto"/>
          </w:tcPr>
          <w:p w14:paraId="0BC9B542">
            <w:pPr>
              <w:spacing w:line="240" w:lineRule="auto"/>
            </w:pPr>
            <w:r>
              <w:t>0.000029</w:t>
            </w:r>
          </w:p>
        </w:tc>
        <w:tc>
          <w:tcPr>
            <w:tcW w:w="1004" w:type="dxa"/>
            <w:tcBorders>
              <w:top w:val="nil"/>
              <w:left w:val="nil"/>
              <w:bottom w:val="nil"/>
              <w:right w:val="nil"/>
            </w:tcBorders>
            <w:shd w:val="clear" w:color="auto" w:fill="auto"/>
          </w:tcPr>
          <w:p w14:paraId="543B5B86">
            <w:pPr>
              <w:spacing w:line="240" w:lineRule="auto"/>
            </w:pPr>
            <w:r>
              <w:t>0.000568</w:t>
            </w:r>
          </w:p>
        </w:tc>
      </w:tr>
      <w:tr w14:paraId="1B7A7CFB">
        <w:tblPrEx>
          <w:tblCellMar>
            <w:top w:w="0" w:type="dxa"/>
            <w:left w:w="108" w:type="dxa"/>
            <w:bottom w:w="0" w:type="dxa"/>
            <w:right w:w="108" w:type="dxa"/>
          </w:tblCellMar>
        </w:tblPrEx>
        <w:trPr>
          <w:trHeight w:val="424" w:hRule="atLeast"/>
        </w:trPr>
        <w:tc>
          <w:tcPr>
            <w:tcW w:w="1560" w:type="dxa"/>
            <w:tcBorders>
              <w:top w:val="nil"/>
              <w:left w:val="nil"/>
              <w:bottom w:val="nil"/>
              <w:right w:val="nil"/>
            </w:tcBorders>
            <w:shd w:val="clear" w:color="auto" w:fill="auto"/>
          </w:tcPr>
          <w:p w14:paraId="348D9978">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"gene9" \o "click to view genes" </w:instrText>
            </w:r>
            <w:r>
              <w:fldChar w:fldCharType="separate"/>
            </w:r>
            <w:r>
              <w:t>GO:0002376</w:t>
            </w:r>
            <w:r>
              <w:fldChar w:fldCharType="end"/>
            </w:r>
          </w:p>
        </w:tc>
        <w:tc>
          <w:tcPr>
            <w:tcW w:w="1984" w:type="dxa"/>
            <w:tcBorders>
              <w:top w:val="nil"/>
              <w:left w:val="nil"/>
              <w:bottom w:val="nil"/>
              <w:right w:val="nil"/>
            </w:tcBorders>
            <w:shd w:val="clear" w:color="auto" w:fill="auto"/>
          </w:tcPr>
          <w:p w14:paraId="37456E2E">
            <w:pPr>
              <w:spacing w:line="240" w:lineRule="auto"/>
              <w:jc w:val="left"/>
            </w:pPr>
            <w:r>
              <w:t>immune system process</w:t>
            </w:r>
          </w:p>
        </w:tc>
        <w:tc>
          <w:tcPr>
            <w:tcW w:w="1418" w:type="dxa"/>
            <w:tcBorders>
              <w:top w:val="nil"/>
              <w:left w:val="nil"/>
              <w:bottom w:val="nil"/>
              <w:right w:val="nil"/>
            </w:tcBorders>
            <w:shd w:val="clear" w:color="auto" w:fill="auto"/>
          </w:tcPr>
          <w:p w14:paraId="7DA0AF87">
            <w:pPr>
              <w:spacing w:line="240" w:lineRule="auto"/>
            </w:pPr>
            <w:r>
              <w:t>48 (23.65%)</w:t>
            </w:r>
          </w:p>
        </w:tc>
        <w:tc>
          <w:tcPr>
            <w:tcW w:w="1444" w:type="dxa"/>
            <w:tcBorders>
              <w:top w:val="nil"/>
              <w:left w:val="nil"/>
              <w:bottom w:val="nil"/>
              <w:right w:val="nil"/>
            </w:tcBorders>
            <w:shd w:val="clear" w:color="auto" w:fill="auto"/>
          </w:tcPr>
          <w:p w14:paraId="187ABF90">
            <w:pPr>
              <w:spacing w:line="240" w:lineRule="auto"/>
            </w:pPr>
            <w:r>
              <w:t>235 (13.82%)</w:t>
            </w:r>
          </w:p>
        </w:tc>
        <w:tc>
          <w:tcPr>
            <w:tcW w:w="1004" w:type="dxa"/>
            <w:tcBorders>
              <w:top w:val="nil"/>
              <w:left w:val="nil"/>
              <w:bottom w:val="nil"/>
              <w:right w:val="nil"/>
            </w:tcBorders>
            <w:shd w:val="clear" w:color="auto" w:fill="auto"/>
          </w:tcPr>
          <w:p w14:paraId="3813B1FB">
            <w:pPr>
              <w:spacing w:line="240" w:lineRule="auto"/>
            </w:pPr>
            <w:r>
              <w:t>0.000037</w:t>
            </w:r>
          </w:p>
        </w:tc>
        <w:tc>
          <w:tcPr>
            <w:tcW w:w="1004" w:type="dxa"/>
            <w:tcBorders>
              <w:top w:val="nil"/>
              <w:left w:val="nil"/>
              <w:bottom w:val="nil"/>
              <w:right w:val="nil"/>
            </w:tcBorders>
            <w:shd w:val="clear" w:color="auto" w:fill="auto"/>
          </w:tcPr>
          <w:p w14:paraId="669FCCA3">
            <w:pPr>
              <w:spacing w:line="240" w:lineRule="auto"/>
            </w:pPr>
            <w:r>
              <w:t>0.000623</w:t>
            </w:r>
          </w:p>
        </w:tc>
      </w:tr>
      <w:tr w14:paraId="1E59B719">
        <w:tblPrEx>
          <w:tblCellMar>
            <w:top w:w="0" w:type="dxa"/>
            <w:left w:w="108" w:type="dxa"/>
            <w:bottom w:w="0" w:type="dxa"/>
            <w:right w:w="108" w:type="dxa"/>
          </w:tblCellMar>
        </w:tblPrEx>
        <w:trPr>
          <w:trHeight w:val="700" w:hRule="atLeast"/>
        </w:trPr>
        <w:tc>
          <w:tcPr>
            <w:tcW w:w="1560" w:type="dxa"/>
            <w:tcBorders>
              <w:top w:val="nil"/>
              <w:left w:val="nil"/>
              <w:bottom w:val="nil"/>
              <w:right w:val="nil"/>
            </w:tcBorders>
            <w:shd w:val="clear" w:color="auto" w:fill="auto"/>
          </w:tcPr>
          <w:p w14:paraId="45197503">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"gene10" \o "click to view genes" </w:instrText>
            </w:r>
            <w:r>
              <w:fldChar w:fldCharType="separate"/>
            </w:r>
            <w:r>
              <w:t>GO:0044699</w:t>
            </w:r>
            <w:r>
              <w:fldChar w:fldCharType="end"/>
            </w:r>
          </w:p>
        </w:tc>
        <w:tc>
          <w:tcPr>
            <w:tcW w:w="1984" w:type="dxa"/>
            <w:tcBorders>
              <w:top w:val="nil"/>
              <w:left w:val="nil"/>
              <w:bottom w:val="nil"/>
              <w:right w:val="nil"/>
            </w:tcBorders>
            <w:shd w:val="clear" w:color="auto" w:fill="auto"/>
          </w:tcPr>
          <w:p w14:paraId="7CAAC708">
            <w:pPr>
              <w:spacing w:line="240" w:lineRule="auto"/>
              <w:jc w:val="left"/>
            </w:pPr>
            <w:r>
              <w:t>single-organism process</w:t>
            </w:r>
          </w:p>
        </w:tc>
        <w:tc>
          <w:tcPr>
            <w:tcW w:w="1418" w:type="dxa"/>
            <w:tcBorders>
              <w:top w:val="nil"/>
              <w:left w:val="nil"/>
              <w:bottom w:val="nil"/>
              <w:right w:val="nil"/>
            </w:tcBorders>
            <w:shd w:val="clear" w:color="auto" w:fill="auto"/>
          </w:tcPr>
          <w:p w14:paraId="3EA28108">
            <w:pPr>
              <w:spacing w:line="240" w:lineRule="auto"/>
            </w:pPr>
            <w:r>
              <w:t>156 (76.85%)</w:t>
            </w:r>
          </w:p>
        </w:tc>
        <w:tc>
          <w:tcPr>
            <w:tcW w:w="1444" w:type="dxa"/>
            <w:tcBorders>
              <w:top w:val="nil"/>
              <w:left w:val="nil"/>
              <w:bottom w:val="nil"/>
              <w:right w:val="nil"/>
            </w:tcBorders>
            <w:shd w:val="clear" w:color="auto" w:fill="auto"/>
          </w:tcPr>
          <w:p w14:paraId="7B3CE4F2">
            <w:pPr>
              <w:spacing w:line="240" w:lineRule="auto"/>
            </w:pPr>
            <w:r>
              <w:t>1097(64.49%)</w:t>
            </w:r>
          </w:p>
        </w:tc>
        <w:tc>
          <w:tcPr>
            <w:tcW w:w="1004" w:type="dxa"/>
            <w:tcBorders>
              <w:top w:val="nil"/>
              <w:left w:val="nil"/>
              <w:bottom w:val="nil"/>
              <w:right w:val="nil"/>
            </w:tcBorders>
            <w:shd w:val="clear" w:color="auto" w:fill="auto"/>
          </w:tcPr>
          <w:p w14:paraId="6A281E55">
            <w:pPr>
              <w:spacing w:line="240" w:lineRule="auto"/>
            </w:pPr>
            <w:r>
              <w:t>0.000039</w:t>
            </w:r>
          </w:p>
        </w:tc>
        <w:tc>
          <w:tcPr>
            <w:tcW w:w="1004" w:type="dxa"/>
            <w:tcBorders>
              <w:top w:val="nil"/>
              <w:left w:val="nil"/>
              <w:bottom w:val="nil"/>
              <w:right w:val="nil"/>
            </w:tcBorders>
            <w:shd w:val="clear" w:color="auto" w:fill="auto"/>
          </w:tcPr>
          <w:p w14:paraId="20209DFD">
            <w:pPr>
              <w:spacing w:line="240" w:lineRule="auto"/>
            </w:pPr>
            <w:r>
              <w:t>0.000623</w:t>
            </w:r>
          </w:p>
        </w:tc>
      </w:tr>
      <w:tr w14:paraId="74175294">
        <w:tblPrEx>
          <w:tblCellMar>
            <w:top w:w="0" w:type="dxa"/>
            <w:left w:w="108" w:type="dxa"/>
            <w:bottom w:w="0" w:type="dxa"/>
            <w:right w:w="108" w:type="dxa"/>
          </w:tblCellMar>
        </w:tblPrEx>
        <w:trPr>
          <w:trHeight w:val="710" w:hRule="atLeast"/>
        </w:trPr>
        <w:tc>
          <w:tcPr>
            <w:tcW w:w="1560" w:type="dxa"/>
            <w:tcBorders>
              <w:top w:val="nil"/>
              <w:left w:val="nil"/>
              <w:bottom w:val="nil"/>
              <w:right w:val="nil"/>
            </w:tcBorders>
            <w:shd w:val="clear" w:color="auto" w:fill="auto"/>
          </w:tcPr>
          <w:p w14:paraId="72D1F8CB">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"gene11" \o "click to view genes" </w:instrText>
            </w:r>
            <w:r>
              <w:fldChar w:fldCharType="separate"/>
            </w:r>
            <w:r>
              <w:t>GO:0044763</w:t>
            </w:r>
            <w:r>
              <w:fldChar w:fldCharType="end"/>
            </w:r>
          </w:p>
        </w:tc>
        <w:tc>
          <w:tcPr>
            <w:tcW w:w="1984" w:type="dxa"/>
            <w:tcBorders>
              <w:top w:val="nil"/>
              <w:left w:val="nil"/>
              <w:bottom w:val="nil"/>
              <w:right w:val="nil"/>
            </w:tcBorders>
            <w:shd w:val="clear" w:color="auto" w:fill="auto"/>
          </w:tcPr>
          <w:p w14:paraId="7C428538">
            <w:pPr>
              <w:spacing w:line="240" w:lineRule="auto"/>
              <w:jc w:val="left"/>
            </w:pPr>
            <w:r>
              <w:t>single-organism cellular process</w:t>
            </w:r>
          </w:p>
        </w:tc>
        <w:tc>
          <w:tcPr>
            <w:tcW w:w="1418" w:type="dxa"/>
            <w:tcBorders>
              <w:top w:val="nil"/>
              <w:left w:val="nil"/>
              <w:bottom w:val="nil"/>
              <w:right w:val="nil"/>
            </w:tcBorders>
            <w:shd w:val="clear" w:color="auto" w:fill="auto"/>
          </w:tcPr>
          <w:p w14:paraId="1EFDB0C1">
            <w:pPr>
              <w:spacing w:line="240" w:lineRule="auto"/>
            </w:pPr>
            <w:r>
              <w:t>137 (67.49%)</w:t>
            </w:r>
          </w:p>
        </w:tc>
        <w:tc>
          <w:tcPr>
            <w:tcW w:w="1444" w:type="dxa"/>
            <w:tcBorders>
              <w:top w:val="nil"/>
              <w:left w:val="nil"/>
              <w:bottom w:val="nil"/>
              <w:right w:val="nil"/>
            </w:tcBorders>
            <w:shd w:val="clear" w:color="auto" w:fill="auto"/>
          </w:tcPr>
          <w:p w14:paraId="057295E3">
            <w:pPr>
              <w:spacing w:line="240" w:lineRule="auto"/>
            </w:pPr>
            <w:r>
              <w:t>928 (54.56%)</w:t>
            </w:r>
          </w:p>
        </w:tc>
        <w:tc>
          <w:tcPr>
            <w:tcW w:w="1004" w:type="dxa"/>
            <w:tcBorders>
              <w:top w:val="nil"/>
              <w:left w:val="nil"/>
              <w:bottom w:val="nil"/>
              <w:right w:val="nil"/>
            </w:tcBorders>
            <w:shd w:val="clear" w:color="auto" w:fill="auto"/>
          </w:tcPr>
          <w:p w14:paraId="17ECDAAB">
            <w:pPr>
              <w:spacing w:line="240" w:lineRule="auto"/>
            </w:pPr>
            <w:r>
              <w:t>0.000046</w:t>
            </w:r>
          </w:p>
        </w:tc>
        <w:tc>
          <w:tcPr>
            <w:tcW w:w="1004" w:type="dxa"/>
            <w:tcBorders>
              <w:top w:val="nil"/>
              <w:left w:val="nil"/>
              <w:bottom w:val="nil"/>
              <w:right w:val="nil"/>
            </w:tcBorders>
            <w:shd w:val="clear" w:color="auto" w:fill="auto"/>
          </w:tcPr>
          <w:p w14:paraId="748D843F">
            <w:pPr>
              <w:spacing w:line="240" w:lineRule="auto"/>
            </w:pPr>
            <w:r>
              <w:t>0.000659</w:t>
            </w:r>
          </w:p>
        </w:tc>
      </w:tr>
      <w:tr w14:paraId="2ED3FC32">
        <w:tblPrEx>
          <w:tblCellMar>
            <w:top w:w="0" w:type="dxa"/>
            <w:left w:w="108" w:type="dxa"/>
            <w:bottom w:w="0" w:type="dxa"/>
            <w:right w:w="108" w:type="dxa"/>
          </w:tblCellMar>
        </w:tblPrEx>
        <w:trPr>
          <w:trHeight w:val="437" w:hRule="atLeast"/>
        </w:trPr>
        <w:tc>
          <w:tcPr>
            <w:tcW w:w="1560" w:type="dxa"/>
            <w:tcBorders>
              <w:top w:val="nil"/>
              <w:left w:val="nil"/>
              <w:bottom w:val="nil"/>
              <w:right w:val="nil"/>
            </w:tcBorders>
            <w:shd w:val="clear" w:color="auto" w:fill="auto"/>
          </w:tcPr>
          <w:p w14:paraId="3DC7F4F9">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"gene12" \o "click to view genes" </w:instrText>
            </w:r>
            <w:r>
              <w:fldChar w:fldCharType="separate"/>
            </w:r>
            <w:r>
              <w:t>GO:0065007</w:t>
            </w:r>
            <w:r>
              <w:fldChar w:fldCharType="end"/>
            </w:r>
          </w:p>
        </w:tc>
        <w:tc>
          <w:tcPr>
            <w:tcW w:w="1984" w:type="dxa"/>
            <w:tcBorders>
              <w:top w:val="nil"/>
              <w:left w:val="nil"/>
              <w:bottom w:val="nil"/>
              <w:right w:val="nil"/>
            </w:tcBorders>
            <w:shd w:val="clear" w:color="auto" w:fill="auto"/>
          </w:tcPr>
          <w:p w14:paraId="3B0DBC04">
            <w:pPr>
              <w:spacing w:line="240" w:lineRule="auto"/>
              <w:jc w:val="left"/>
            </w:pPr>
            <w:r>
              <w:t>biological regulation</w:t>
            </w:r>
          </w:p>
        </w:tc>
        <w:tc>
          <w:tcPr>
            <w:tcW w:w="1418" w:type="dxa"/>
            <w:tcBorders>
              <w:top w:val="nil"/>
              <w:left w:val="nil"/>
              <w:bottom w:val="nil"/>
              <w:right w:val="nil"/>
            </w:tcBorders>
            <w:shd w:val="clear" w:color="auto" w:fill="auto"/>
          </w:tcPr>
          <w:p w14:paraId="18F2AAD7">
            <w:pPr>
              <w:spacing w:line="240" w:lineRule="auto"/>
            </w:pPr>
            <w:r>
              <w:t>98 (48.28%)</w:t>
            </w:r>
          </w:p>
        </w:tc>
        <w:tc>
          <w:tcPr>
            <w:tcW w:w="1444" w:type="dxa"/>
            <w:tcBorders>
              <w:top w:val="nil"/>
              <w:left w:val="nil"/>
              <w:bottom w:val="nil"/>
              <w:right w:val="nil"/>
            </w:tcBorders>
            <w:shd w:val="clear" w:color="auto" w:fill="auto"/>
          </w:tcPr>
          <w:p w14:paraId="3090B53A">
            <w:pPr>
              <w:spacing w:line="240" w:lineRule="auto"/>
            </w:pPr>
            <w:r>
              <w:t>607 (35.68%)</w:t>
            </w:r>
          </w:p>
        </w:tc>
        <w:tc>
          <w:tcPr>
            <w:tcW w:w="1004" w:type="dxa"/>
            <w:tcBorders>
              <w:top w:val="nil"/>
              <w:left w:val="nil"/>
              <w:bottom w:val="nil"/>
              <w:right w:val="nil"/>
            </w:tcBorders>
            <w:shd w:val="clear" w:color="auto" w:fill="auto"/>
          </w:tcPr>
          <w:p w14:paraId="3A85319C">
            <w:pPr>
              <w:spacing w:line="240" w:lineRule="auto"/>
            </w:pPr>
            <w:r>
              <w:t>0.000059</w:t>
            </w:r>
          </w:p>
        </w:tc>
        <w:tc>
          <w:tcPr>
            <w:tcW w:w="1004" w:type="dxa"/>
            <w:tcBorders>
              <w:top w:val="nil"/>
              <w:left w:val="nil"/>
              <w:bottom w:val="nil"/>
              <w:right w:val="nil"/>
            </w:tcBorders>
            <w:shd w:val="clear" w:color="auto" w:fill="auto"/>
          </w:tcPr>
          <w:p w14:paraId="22CD08B6">
            <w:pPr>
              <w:spacing w:line="240" w:lineRule="auto"/>
            </w:pPr>
            <w:r>
              <w:t>0.000772</w:t>
            </w:r>
          </w:p>
        </w:tc>
      </w:tr>
      <w:tr w14:paraId="2B39365C">
        <w:tblPrEx>
          <w:tblCellMar>
            <w:top w:w="0" w:type="dxa"/>
            <w:left w:w="108" w:type="dxa"/>
            <w:bottom w:w="0" w:type="dxa"/>
            <w:right w:w="108" w:type="dxa"/>
          </w:tblCellMar>
        </w:tblPrEx>
        <w:trPr>
          <w:trHeight w:val="414" w:hRule="atLeast"/>
        </w:trPr>
        <w:tc>
          <w:tcPr>
            <w:tcW w:w="1560" w:type="dxa"/>
            <w:tcBorders>
              <w:top w:val="nil"/>
              <w:left w:val="nil"/>
              <w:bottom w:val="nil"/>
              <w:right w:val="nil"/>
            </w:tcBorders>
            <w:shd w:val="clear" w:color="auto" w:fill="auto"/>
          </w:tcPr>
          <w:p w14:paraId="157EC7FC">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"gene13" \o "click to view genes" </w:instrText>
            </w:r>
            <w:r>
              <w:fldChar w:fldCharType="separate"/>
            </w:r>
            <w:r>
              <w:t>GO:0007154</w:t>
            </w:r>
            <w:r>
              <w:fldChar w:fldCharType="end"/>
            </w:r>
          </w:p>
        </w:tc>
        <w:tc>
          <w:tcPr>
            <w:tcW w:w="1984" w:type="dxa"/>
            <w:tcBorders>
              <w:top w:val="nil"/>
              <w:left w:val="nil"/>
              <w:bottom w:val="nil"/>
              <w:right w:val="nil"/>
            </w:tcBorders>
            <w:shd w:val="clear" w:color="auto" w:fill="auto"/>
          </w:tcPr>
          <w:p w14:paraId="3BCABC67">
            <w:pPr>
              <w:spacing w:line="240" w:lineRule="auto"/>
              <w:jc w:val="left"/>
            </w:pPr>
            <w:r>
              <w:t>cell communication</w:t>
            </w:r>
          </w:p>
        </w:tc>
        <w:tc>
          <w:tcPr>
            <w:tcW w:w="1418" w:type="dxa"/>
            <w:tcBorders>
              <w:top w:val="nil"/>
              <w:left w:val="nil"/>
              <w:bottom w:val="nil"/>
              <w:right w:val="nil"/>
            </w:tcBorders>
            <w:shd w:val="clear" w:color="auto" w:fill="auto"/>
          </w:tcPr>
          <w:p w14:paraId="6BAA9B8C">
            <w:pPr>
              <w:spacing w:line="240" w:lineRule="auto"/>
            </w:pPr>
            <w:r>
              <w:t>96 (47.29%)</w:t>
            </w:r>
          </w:p>
        </w:tc>
        <w:tc>
          <w:tcPr>
            <w:tcW w:w="1444" w:type="dxa"/>
            <w:tcBorders>
              <w:top w:val="nil"/>
              <w:left w:val="nil"/>
              <w:bottom w:val="nil"/>
              <w:right w:val="nil"/>
            </w:tcBorders>
            <w:shd w:val="clear" w:color="auto" w:fill="auto"/>
          </w:tcPr>
          <w:p w14:paraId="0B1E4BCA">
            <w:pPr>
              <w:spacing w:line="240" w:lineRule="auto"/>
            </w:pPr>
            <w:r>
              <w:t>596 (35.04%)</w:t>
            </w:r>
          </w:p>
        </w:tc>
        <w:tc>
          <w:tcPr>
            <w:tcW w:w="1004" w:type="dxa"/>
            <w:tcBorders>
              <w:top w:val="nil"/>
              <w:left w:val="nil"/>
              <w:bottom w:val="nil"/>
              <w:right w:val="nil"/>
            </w:tcBorders>
            <w:shd w:val="clear" w:color="auto" w:fill="auto"/>
          </w:tcPr>
          <w:p w14:paraId="244E36A9">
            <w:pPr>
              <w:spacing w:line="240" w:lineRule="auto"/>
            </w:pPr>
            <w:r>
              <w:t>0.000085</w:t>
            </w:r>
          </w:p>
        </w:tc>
        <w:tc>
          <w:tcPr>
            <w:tcW w:w="1004" w:type="dxa"/>
            <w:tcBorders>
              <w:top w:val="nil"/>
              <w:left w:val="nil"/>
              <w:bottom w:val="nil"/>
              <w:right w:val="nil"/>
            </w:tcBorders>
            <w:shd w:val="clear" w:color="auto" w:fill="auto"/>
          </w:tcPr>
          <w:p w14:paraId="6793C6A9">
            <w:pPr>
              <w:spacing w:line="240" w:lineRule="auto"/>
            </w:pPr>
            <w:r>
              <w:t>0.000896</w:t>
            </w:r>
          </w:p>
        </w:tc>
      </w:tr>
      <w:tr w14:paraId="63317390">
        <w:tblPrEx>
          <w:tblCellMar>
            <w:top w:w="0" w:type="dxa"/>
            <w:left w:w="108" w:type="dxa"/>
            <w:bottom w:w="0" w:type="dxa"/>
            <w:right w:w="108" w:type="dxa"/>
          </w:tblCellMar>
        </w:tblPrEx>
        <w:trPr>
          <w:trHeight w:val="435" w:hRule="atLeast"/>
        </w:trPr>
        <w:tc>
          <w:tcPr>
            <w:tcW w:w="1560" w:type="dxa"/>
            <w:tcBorders>
              <w:top w:val="nil"/>
              <w:left w:val="nil"/>
              <w:bottom w:val="nil"/>
              <w:right w:val="nil"/>
            </w:tcBorders>
            <w:shd w:val="clear" w:color="auto" w:fill="auto"/>
          </w:tcPr>
          <w:p w14:paraId="4CE72FA7">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"gene14" \o "click to view genes" </w:instrText>
            </w:r>
            <w:r>
              <w:fldChar w:fldCharType="separate"/>
            </w:r>
            <w:r>
              <w:t>GO:0023052</w:t>
            </w:r>
            <w:r>
              <w:fldChar w:fldCharType="end"/>
            </w:r>
          </w:p>
        </w:tc>
        <w:tc>
          <w:tcPr>
            <w:tcW w:w="1984" w:type="dxa"/>
            <w:tcBorders>
              <w:top w:val="nil"/>
              <w:left w:val="nil"/>
              <w:bottom w:val="nil"/>
              <w:right w:val="nil"/>
            </w:tcBorders>
            <w:shd w:val="clear" w:color="auto" w:fill="auto"/>
          </w:tcPr>
          <w:p w14:paraId="5C1BF767">
            <w:pPr>
              <w:spacing w:line="240" w:lineRule="auto"/>
              <w:jc w:val="left"/>
            </w:pPr>
            <w:r>
              <w:t>signaling</w:t>
            </w:r>
          </w:p>
        </w:tc>
        <w:tc>
          <w:tcPr>
            <w:tcW w:w="1418" w:type="dxa"/>
            <w:tcBorders>
              <w:top w:val="nil"/>
              <w:left w:val="nil"/>
              <w:bottom w:val="nil"/>
              <w:right w:val="nil"/>
            </w:tcBorders>
            <w:shd w:val="clear" w:color="auto" w:fill="auto"/>
          </w:tcPr>
          <w:p w14:paraId="37EF0D2D">
            <w:pPr>
              <w:spacing w:line="240" w:lineRule="auto"/>
            </w:pPr>
            <w:r>
              <w:t>96 (47.29%)</w:t>
            </w:r>
          </w:p>
        </w:tc>
        <w:tc>
          <w:tcPr>
            <w:tcW w:w="1444" w:type="dxa"/>
            <w:tcBorders>
              <w:top w:val="nil"/>
              <w:left w:val="nil"/>
              <w:bottom w:val="nil"/>
              <w:right w:val="nil"/>
            </w:tcBorders>
            <w:shd w:val="clear" w:color="auto" w:fill="auto"/>
          </w:tcPr>
          <w:p w14:paraId="68D93A42">
            <w:pPr>
              <w:spacing w:line="240" w:lineRule="auto"/>
            </w:pPr>
            <w:r>
              <w:t>596 (35.04%)</w:t>
            </w:r>
          </w:p>
        </w:tc>
        <w:tc>
          <w:tcPr>
            <w:tcW w:w="1004" w:type="dxa"/>
            <w:tcBorders>
              <w:top w:val="nil"/>
              <w:left w:val="nil"/>
              <w:bottom w:val="nil"/>
              <w:right w:val="nil"/>
            </w:tcBorders>
            <w:shd w:val="clear" w:color="auto" w:fill="auto"/>
          </w:tcPr>
          <w:p w14:paraId="709CD7AE">
            <w:pPr>
              <w:spacing w:line="240" w:lineRule="auto"/>
            </w:pPr>
            <w:r>
              <w:t>0.000085</w:t>
            </w:r>
          </w:p>
        </w:tc>
        <w:tc>
          <w:tcPr>
            <w:tcW w:w="1004" w:type="dxa"/>
            <w:tcBorders>
              <w:top w:val="nil"/>
              <w:left w:val="nil"/>
              <w:bottom w:val="nil"/>
              <w:right w:val="nil"/>
            </w:tcBorders>
            <w:shd w:val="clear" w:color="auto" w:fill="auto"/>
          </w:tcPr>
          <w:p w14:paraId="4C0B2905">
            <w:pPr>
              <w:spacing w:line="240" w:lineRule="auto"/>
            </w:pPr>
            <w:r>
              <w:t>0.000896</w:t>
            </w:r>
          </w:p>
        </w:tc>
      </w:tr>
      <w:tr w14:paraId="20A647F0">
        <w:tblPrEx>
          <w:tblCellMar>
            <w:top w:w="0" w:type="dxa"/>
            <w:left w:w="108" w:type="dxa"/>
            <w:bottom w:w="0" w:type="dxa"/>
            <w:right w:w="108" w:type="dxa"/>
          </w:tblCellMar>
        </w:tblPrEx>
        <w:trPr>
          <w:trHeight w:val="74" w:hRule="atLeast"/>
        </w:trPr>
        <w:tc>
          <w:tcPr>
            <w:tcW w:w="1560" w:type="dxa"/>
            <w:tcBorders>
              <w:top w:val="nil"/>
              <w:left w:val="nil"/>
              <w:bottom w:val="single" w:color="auto" w:sz="4" w:space="0"/>
              <w:right w:val="nil"/>
            </w:tcBorders>
            <w:shd w:val="clear" w:color="auto" w:fill="auto"/>
          </w:tcPr>
          <w:p w14:paraId="7B2B57D7">
            <w:pPr>
              <w:spacing w:line="240" w:lineRule="auto"/>
            </w:pPr>
            <w:r>
              <w:fldChar w:fldCharType="begin"/>
            </w:r>
            <w:r>
              <w:instrText xml:space="preserve"> HYPERLINK "file:///E:\\000000CAR%20NK\\00000%25E6%25AF%2595%25E4%25B8%259A%25E8%25AE%25BA%25E6%2596%2587\\%25E5%25AE%259E%25E9%25AA%258C%25E7%25BB%2593%25E6%259E%259CPPT%25E6%25B1%2587%25E6%2580%25BB\\9%20%25E8%25BD%25AC%25E5%25BD%2595%25E7%25BB%2584%25E6%25B5%258B%25E5%25BA%258F\\%25E7%25BB%2593%25E6%259E%259C%25E5%259B%25BE%25E7%2589%2587\\GO%25E5%2588%2586%25E6%259E%2590\\N15_vs_NT.P.html" \l "gene15" \o "click to view genes" </w:instrText>
            </w:r>
            <w:r>
              <w:fldChar w:fldCharType="separate"/>
            </w:r>
            <w:r>
              <w:t>GO:0044700</w:t>
            </w:r>
            <w:r>
              <w:fldChar w:fldCharType="end"/>
            </w:r>
          </w:p>
        </w:tc>
        <w:tc>
          <w:tcPr>
            <w:tcW w:w="1984" w:type="dxa"/>
            <w:tcBorders>
              <w:top w:val="nil"/>
              <w:left w:val="nil"/>
              <w:bottom w:val="single" w:color="auto" w:sz="4" w:space="0"/>
              <w:right w:val="nil"/>
            </w:tcBorders>
            <w:shd w:val="clear" w:color="auto" w:fill="auto"/>
          </w:tcPr>
          <w:p w14:paraId="48D5CEF6">
            <w:pPr>
              <w:spacing w:line="240" w:lineRule="auto"/>
              <w:jc w:val="left"/>
            </w:pPr>
            <w:r>
              <w:t>single organism signaling</w:t>
            </w:r>
          </w:p>
        </w:tc>
        <w:tc>
          <w:tcPr>
            <w:tcW w:w="1418" w:type="dxa"/>
            <w:tcBorders>
              <w:top w:val="nil"/>
              <w:left w:val="nil"/>
              <w:bottom w:val="single" w:color="auto" w:sz="4" w:space="0"/>
              <w:right w:val="nil"/>
            </w:tcBorders>
            <w:shd w:val="clear" w:color="auto" w:fill="auto"/>
          </w:tcPr>
          <w:p w14:paraId="4D7196F2">
            <w:pPr>
              <w:spacing w:line="240" w:lineRule="auto"/>
            </w:pPr>
            <w:r>
              <w:t>96 (47.29%)</w:t>
            </w:r>
          </w:p>
        </w:tc>
        <w:tc>
          <w:tcPr>
            <w:tcW w:w="1444" w:type="dxa"/>
            <w:tcBorders>
              <w:top w:val="nil"/>
              <w:left w:val="nil"/>
              <w:bottom w:val="single" w:color="auto" w:sz="4" w:space="0"/>
              <w:right w:val="nil"/>
            </w:tcBorders>
            <w:shd w:val="clear" w:color="auto" w:fill="auto"/>
          </w:tcPr>
          <w:p w14:paraId="19B8AB1E">
            <w:pPr>
              <w:spacing w:line="240" w:lineRule="auto"/>
            </w:pPr>
            <w:r>
              <w:t>596 (35.04%)</w:t>
            </w:r>
          </w:p>
        </w:tc>
        <w:tc>
          <w:tcPr>
            <w:tcW w:w="1004" w:type="dxa"/>
            <w:tcBorders>
              <w:top w:val="nil"/>
              <w:left w:val="nil"/>
              <w:bottom w:val="single" w:color="auto" w:sz="4" w:space="0"/>
              <w:right w:val="nil"/>
            </w:tcBorders>
            <w:shd w:val="clear" w:color="auto" w:fill="auto"/>
          </w:tcPr>
          <w:p w14:paraId="5C895246">
            <w:pPr>
              <w:spacing w:line="240" w:lineRule="auto"/>
            </w:pPr>
            <w:r>
              <w:t>0.000085</w:t>
            </w:r>
          </w:p>
        </w:tc>
        <w:tc>
          <w:tcPr>
            <w:tcW w:w="1004" w:type="dxa"/>
            <w:tcBorders>
              <w:top w:val="nil"/>
              <w:left w:val="nil"/>
              <w:bottom w:val="single" w:color="auto" w:sz="4" w:space="0"/>
              <w:right w:val="nil"/>
            </w:tcBorders>
            <w:shd w:val="clear" w:color="auto" w:fill="auto"/>
          </w:tcPr>
          <w:p w14:paraId="1B261FFF">
            <w:pPr>
              <w:spacing w:line="240" w:lineRule="auto"/>
            </w:pPr>
            <w:r>
              <w:t>0.000896</w:t>
            </w:r>
          </w:p>
        </w:tc>
      </w:tr>
    </w:tbl>
    <w:p w14:paraId="04F1CC0C">
      <w:pPr>
        <w:pStyle w:val="2"/>
      </w:pPr>
    </w:p>
    <w:p w14:paraId="2EF9DB57">
      <w:pPr>
        <w:widowControl/>
        <w:spacing w:line="240" w:lineRule="auto"/>
        <w:jc w:val="left"/>
        <w:rPr>
          <w:rFonts w:eastAsia="Times New Roman"/>
          <w:b/>
          <w:bCs/>
          <w:kern w:val="44"/>
          <w:sz w:val="24"/>
          <w:szCs w:val="24"/>
        </w:rPr>
      </w:pPr>
      <w:r>
        <w:br w:type="page"/>
      </w:r>
    </w:p>
    <w:p w14:paraId="262294E9">
      <w:pPr>
        <w:pStyle w:val="2"/>
      </w:pPr>
      <w:r>
        <w:t xml:space="preserve">Supplementary Figures. </w:t>
      </w:r>
    </w:p>
    <w:p w14:paraId="7D8A232C"/>
    <w:p w14:paraId="17B77681">
      <w:r>
        <w:drawing>
          <wp:inline distT="0" distB="0" distL="0" distR="0">
            <wp:extent cx="4319270" cy="1955165"/>
            <wp:effectExtent l="0" t="0" r="0" b="0"/>
            <wp:docPr id="10215120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12069"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t="4612" b="52000"/>
                    <a:stretch>
                      <a:fillRect/>
                    </a:stretch>
                  </pic:blipFill>
                  <pic:spPr>
                    <a:xfrm>
                      <a:off x="0" y="0"/>
                      <a:ext cx="4362089" cy="1974634"/>
                    </a:xfrm>
                    <a:prstGeom prst="rect">
                      <a:avLst/>
                    </a:prstGeom>
                    <a:noFill/>
                    <a:ln>
                      <a:noFill/>
                    </a:ln>
                  </pic:spPr>
                </pic:pic>
              </a:graphicData>
            </a:graphic>
          </wp:inline>
        </w:drawing>
      </w:r>
    </w:p>
    <w:p w14:paraId="7449EDC1">
      <w:pPr>
        <w:rPr>
          <w:b/>
          <w:highlight w:val="yellow"/>
        </w:rPr>
      </w:pPr>
      <w:r>
        <w:rPr>
          <w:b/>
          <w:highlight w:val="yellow"/>
        </w:rPr>
        <w:t xml:space="preserve">Supplementary Figure 1. Identification of B-LCL lines </w:t>
      </w:r>
    </w:p>
    <w:p w14:paraId="5332FC79">
      <w:pPr>
        <w:rPr>
          <w:highlight w:val="yellow"/>
        </w:rPr>
      </w:pPr>
      <w:r>
        <w:rPr>
          <w:highlight w:val="yellow"/>
        </w:rPr>
        <w:t>CD19 expression of PBMC and B-LCL detected by flow cytometry. The CD19</w:t>
      </w:r>
      <w:r>
        <w:rPr>
          <w:highlight w:val="yellow"/>
          <w:vertAlign w:val="superscript"/>
        </w:rPr>
        <w:t>+</w:t>
      </w:r>
      <w:r>
        <w:rPr>
          <w:highlight w:val="yellow"/>
        </w:rPr>
        <w:t xml:space="preserve"> percentage of PBMC was 8.46</w:t>
      </w:r>
      <w:r>
        <w:rPr>
          <w:szCs w:val="21"/>
          <w:highlight w:val="yellow"/>
        </w:rPr>
        <w:t>±2</w:t>
      </w:r>
      <w:r>
        <w:rPr>
          <w:highlight w:val="yellow"/>
        </w:rPr>
        <w:t>.40% from 4 individual blood donors, while that in the B-LCL was 97.67</w:t>
      </w:r>
      <w:r>
        <w:rPr>
          <w:szCs w:val="21"/>
          <w:highlight w:val="yellow"/>
        </w:rPr>
        <w:t>±</w:t>
      </w:r>
      <w:r>
        <w:rPr>
          <w:highlight w:val="yellow"/>
        </w:rPr>
        <w:t xml:space="preserve"> 1.45%. This indicates that after EBV infection, B lymphocytes successfully transform into B-LCL. </w:t>
      </w:r>
    </w:p>
    <w:p w14:paraId="31B7F36B"/>
    <w:p w14:paraId="660C956E">
      <w:pPr>
        <w:widowControl/>
        <w:spacing w:line="240" w:lineRule="auto"/>
        <w:jc w:val="left"/>
      </w:pPr>
      <w:bookmarkStart w:id="29" w:name="OLE_LINK24"/>
      <w:r>
        <w:br w:type="page"/>
      </w:r>
    </w:p>
    <w:p w14:paraId="2E2477F6">
      <w:pPr>
        <w:rPr>
          <w:b/>
          <w:bCs/>
        </w:rPr>
      </w:pPr>
      <w:r>
        <w:rPr>
          <w:rFonts w:hint="eastAsia"/>
          <w:b/>
          <w:bCs/>
        </w:rPr>
        <w:t>A</w:t>
      </w:r>
      <w:r>
        <w:rPr>
          <w:b/>
          <w:bCs/>
        </w:rPr>
        <w:t xml:space="preserve">                                       B</w:t>
      </w:r>
    </w:p>
    <w:p w14:paraId="0BCD973F">
      <w:r>
        <w:rPr>
          <w:rFonts w:hint="eastAsia"/>
        </w:rPr>
        <w:drawing>
          <wp:inline distT="0" distB="0" distL="0" distR="0">
            <wp:extent cx="5274310" cy="2029460"/>
            <wp:effectExtent l="0" t="0" r="2540" b="8890"/>
            <wp:docPr id="805111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11463"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2029460"/>
                    </a:xfrm>
                    <a:prstGeom prst="rect">
                      <a:avLst/>
                    </a:prstGeom>
                    <a:noFill/>
                    <a:ln>
                      <a:noFill/>
                    </a:ln>
                  </pic:spPr>
                </pic:pic>
              </a:graphicData>
            </a:graphic>
          </wp:inline>
        </w:drawing>
      </w:r>
    </w:p>
    <w:p w14:paraId="69301025">
      <w:pPr>
        <w:rPr>
          <w:b/>
          <w:highlight w:val="yellow"/>
        </w:rPr>
      </w:pPr>
      <w:r>
        <w:rPr>
          <w:b/>
          <w:highlight w:val="yellow"/>
        </w:rPr>
        <w:t>Supplementary Figure 2. Schematic diagram of the pSFG-NKG2D CAR and pSFG-IL-15/IL-15Rα-NKG2D CAR plasmids</w:t>
      </w:r>
    </w:p>
    <w:p w14:paraId="73E8477C">
      <w:r>
        <w:rPr>
          <w:highlight w:val="yellow"/>
        </w:rPr>
        <w:t>(</w:t>
      </w:r>
      <w:r>
        <w:rPr>
          <w:b/>
          <w:bCs/>
          <w:highlight w:val="yellow"/>
        </w:rPr>
        <w:t>A</w:t>
      </w:r>
      <w:r>
        <w:rPr>
          <w:highlight w:val="yellow"/>
        </w:rPr>
        <w:t>) pSFG-NKG2D CAR plasmid map (CAR: 1142bp); (</w:t>
      </w:r>
      <w:r>
        <w:rPr>
          <w:b/>
          <w:bCs/>
          <w:highlight w:val="yellow"/>
        </w:rPr>
        <w:t>B</w:t>
      </w:r>
      <w:r>
        <w:rPr>
          <w:highlight w:val="yellow"/>
        </w:rPr>
        <w:t xml:space="preserve">) pSFG-IL-15/IL-15Rα-NKG2D CAR plasmid map (CAR: 1913bp). </w:t>
      </w:r>
      <w:bookmarkStart w:id="30" w:name="OLE_LINK19"/>
      <w:r>
        <w:rPr>
          <w:highlight w:val="yellow"/>
        </w:rPr>
        <w:t>Ncol I and Mlu</w:t>
      </w:r>
      <w:bookmarkEnd w:id="30"/>
      <w:r>
        <w:rPr>
          <w:highlight w:val="yellow"/>
        </w:rPr>
        <w:t xml:space="preserve"> I restriction sites in the pSFG vector for the insert fragment were shown.</w:t>
      </w:r>
    </w:p>
    <w:p w14:paraId="310B5D67">
      <w:pPr>
        <w:widowControl/>
        <w:spacing w:line="240" w:lineRule="auto"/>
        <w:jc w:val="left"/>
      </w:pPr>
      <w:r>
        <w:br w:type="page"/>
      </w:r>
    </w:p>
    <w:p w14:paraId="1C0B0DEA">
      <w:r>
        <w:rPr>
          <w:rFonts w:hint="eastAsia"/>
        </w:rPr>
        <w:drawing>
          <wp:inline distT="0" distB="0" distL="0" distR="0">
            <wp:extent cx="4968240" cy="3850640"/>
            <wp:effectExtent l="0" t="0" r="3810" b="0"/>
            <wp:docPr id="2372115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11589" name="图片 2"/>
                    <pic:cNvPicPr>
                      <a:picLocks noChangeAspect="1" noChangeArrowheads="1"/>
                    </pic:cNvPicPr>
                  </pic:nvPicPr>
                  <pic:blipFill>
                    <a:blip r:embed="rId12">
                      <a:extLst>
                        <a:ext uri="{28A0092B-C50C-407E-A947-70E740481C1C}">
                          <a14:useLocalDpi xmlns:a14="http://schemas.microsoft.com/office/drawing/2010/main" val="0"/>
                        </a:ext>
                      </a:extLst>
                    </a:blip>
                    <a:srcRect b="4293"/>
                    <a:stretch>
                      <a:fillRect/>
                    </a:stretch>
                  </pic:blipFill>
                  <pic:spPr>
                    <a:xfrm>
                      <a:off x="0" y="0"/>
                      <a:ext cx="4968240" cy="3850640"/>
                    </a:xfrm>
                    <a:prstGeom prst="rect">
                      <a:avLst/>
                    </a:prstGeom>
                    <a:noFill/>
                    <a:ln>
                      <a:noFill/>
                    </a:ln>
                  </pic:spPr>
                </pic:pic>
              </a:graphicData>
            </a:graphic>
          </wp:inline>
        </w:drawing>
      </w:r>
    </w:p>
    <w:p w14:paraId="6F218726">
      <w:pPr>
        <w:rPr>
          <w:b/>
          <w:szCs w:val="21"/>
          <w:highlight w:val="yellow"/>
        </w:rPr>
      </w:pPr>
      <w:r>
        <w:rPr>
          <w:b/>
          <w:highlight w:val="yellow"/>
        </w:rPr>
        <w:t>S</w:t>
      </w:r>
      <w:r>
        <w:rPr>
          <w:rFonts w:hint="eastAsia"/>
          <w:b/>
          <w:highlight w:val="yellow"/>
        </w:rPr>
        <w:t>upplementary</w:t>
      </w:r>
      <w:r>
        <w:rPr>
          <w:b/>
          <w:highlight w:val="yellow"/>
        </w:rPr>
        <w:t xml:space="preserve"> Figure</w:t>
      </w:r>
      <w:r>
        <w:rPr>
          <w:rFonts w:hint="eastAsia"/>
          <w:b/>
          <w:highlight w:val="yellow"/>
        </w:rPr>
        <w:t xml:space="preserve"> 3. </w:t>
      </w:r>
      <w:r>
        <w:rPr>
          <w:b/>
          <w:highlight w:val="yellow"/>
        </w:rPr>
        <w:t>Identification of pSFG-NKG2D CAR and pSFG-IL-15/IL-15Rα-NKG2D CAR by restriction enzyme digestion and Sanger sequencing</w:t>
      </w:r>
    </w:p>
    <w:p w14:paraId="744A9F08">
      <w:r>
        <w:rPr>
          <w:highlight w:val="yellow"/>
        </w:rPr>
        <w:t>(</w:t>
      </w:r>
      <w:r>
        <w:rPr>
          <w:b/>
          <w:bCs/>
          <w:highlight w:val="yellow"/>
        </w:rPr>
        <w:t>A</w:t>
      </w:r>
      <w:r>
        <w:rPr>
          <w:highlight w:val="yellow"/>
        </w:rPr>
        <w:t>) Identification of pSFG-NKG2D CAR by restriction enzyme digestion, M: 10000 DNA Marker; 1: Plasmid DNA (8818bp); 2: SphI single restriction enzyme digestion (8607bp/404bp); 3: NcoI+MluI double enzyme digestion (7676bp/1142bp). (</w:t>
      </w:r>
      <w:r>
        <w:rPr>
          <w:b/>
          <w:bCs/>
          <w:highlight w:val="yellow"/>
        </w:rPr>
        <w:t>B</w:t>
      </w:r>
      <w:r>
        <w:rPr>
          <w:highlight w:val="yellow"/>
        </w:rPr>
        <w:t>) Identification of pSFG-IL-15/IL-15Rα-NKG2D CAR-T by restriction enzyme digestion, M: 10000 DNA Marker; 1: Plasmid DNA (9589bp); 2: SphI single restriction enzyme digestion (8039bp/1149bp/404bp); 3: NcoI+MluI double enzyme digestion (7676bp/1913bp). C&amp;D. Sanger sequencing of NKG2D CAR and IL-15/IL-15Rα-NKG2D CAR.</w:t>
      </w:r>
    </w:p>
    <w:p w14:paraId="6DC3FB34">
      <w:r>
        <w:rPr>
          <w:rFonts w:hint="eastAsia"/>
        </w:rPr>
        <w:drawing>
          <wp:inline distT="0" distB="0" distL="0" distR="0">
            <wp:extent cx="5274310" cy="4323715"/>
            <wp:effectExtent l="0" t="0" r="0" b="635"/>
            <wp:docPr id="5460124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12427"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4323715"/>
                    </a:xfrm>
                    <a:prstGeom prst="rect">
                      <a:avLst/>
                    </a:prstGeom>
                    <a:noFill/>
                    <a:ln>
                      <a:noFill/>
                    </a:ln>
                  </pic:spPr>
                </pic:pic>
              </a:graphicData>
            </a:graphic>
          </wp:inline>
        </w:drawing>
      </w:r>
    </w:p>
    <w:p w14:paraId="26FE755F">
      <w:pPr>
        <w:rPr>
          <w:b/>
          <w:highlight w:val="yellow"/>
        </w:rPr>
      </w:pPr>
      <w:r>
        <w:rPr>
          <w:b/>
          <w:highlight w:val="yellow"/>
        </w:rPr>
        <w:t>S</w:t>
      </w:r>
      <w:r>
        <w:rPr>
          <w:rFonts w:hint="eastAsia"/>
          <w:b/>
          <w:highlight w:val="yellow"/>
        </w:rPr>
        <w:t>upplementary</w:t>
      </w:r>
      <w:r>
        <w:rPr>
          <w:b/>
          <w:highlight w:val="yellow"/>
        </w:rPr>
        <w:t xml:space="preserve"> Figure</w:t>
      </w:r>
      <w:r>
        <w:rPr>
          <w:rFonts w:hint="eastAsia"/>
          <w:b/>
          <w:highlight w:val="yellow"/>
        </w:rPr>
        <w:t xml:space="preserve"> 4.</w:t>
      </w:r>
      <w:r>
        <w:rPr>
          <w:b/>
          <w:highlight w:val="yellow"/>
        </w:rPr>
        <w:t xml:space="preserve"> pSFG-NKG2D CAR and pSFG-IL-15/IL-15Rα-NKG2D CAR plasmid expression in 293T cells detected by Western blot</w:t>
      </w:r>
    </w:p>
    <w:p w14:paraId="29449BD6">
      <w:pPr>
        <w:rPr>
          <w:highlight w:val="yellow"/>
        </w:rPr>
      </w:pPr>
      <w:r>
        <w:rPr>
          <w:highlight w:val="yellow"/>
        </w:rPr>
        <w:t>(</w:t>
      </w:r>
      <w:r>
        <w:rPr>
          <w:b/>
          <w:bCs/>
          <w:highlight w:val="yellow"/>
        </w:rPr>
        <w:t>A</w:t>
      </w:r>
      <w:r>
        <w:rPr>
          <w:highlight w:val="yellow"/>
        </w:rPr>
        <w:t>) Transduction of pSFG vector to 293T cells (eGFP</w:t>
      </w:r>
      <w:r>
        <w:rPr>
          <w:highlight w:val="yellow"/>
          <w:vertAlign w:val="superscript"/>
        </w:rPr>
        <w:t>+</w:t>
      </w:r>
      <w:r>
        <w:rPr>
          <w:highlight w:val="yellow"/>
        </w:rPr>
        <w:t>, by inverted fluorescence microscope, scale=400μm). After transfecting N and N15 groups with the SFG-CAR plasmid for 72h, the cell growth confluence rate was observed to be 90% with GFP expression ranging from 70% to 80% under a fluorescence microscope.</w:t>
      </w:r>
      <w:r>
        <w:rPr>
          <w:rFonts w:hint="eastAsia"/>
          <w:highlight w:val="yellow"/>
        </w:rPr>
        <w:t xml:space="preserve"> </w:t>
      </w:r>
      <w:r>
        <w:rPr>
          <w:highlight w:val="yellow"/>
        </w:rPr>
        <w:t>(</w:t>
      </w:r>
      <w:r>
        <w:rPr>
          <w:b/>
          <w:bCs/>
          <w:highlight w:val="yellow"/>
        </w:rPr>
        <w:t>B</w:t>
      </w:r>
      <w:r>
        <w:rPr>
          <w:highlight w:val="yellow"/>
        </w:rPr>
        <w:t xml:space="preserve">) Identification of NKG2D CAR and IL-15/IL-15Rα expressions in the precipitates and supernatants of 293T cell cultures by Western blot </w:t>
      </w:r>
      <w:bookmarkStart w:id="31" w:name="OLE_LINK23"/>
      <w:r>
        <w:rPr>
          <w:highlight w:val="yellow"/>
        </w:rPr>
        <w:t xml:space="preserve">after transduction with three types of retroviruses. </w:t>
      </w:r>
      <w:bookmarkEnd w:id="31"/>
      <w:r>
        <w:rPr>
          <w:highlight w:val="yellow"/>
        </w:rPr>
        <w:t xml:space="preserve">N: NKG2D CAR retrovirus transduction; N15: IL-15/IL-15Rα-NKG2D CAR retrovirus transduction; Ctrl: </w:t>
      </w:r>
      <w:bookmarkStart w:id="32" w:name="OLE_LINK21"/>
      <w:r>
        <w:rPr>
          <w:highlight w:val="yellow"/>
        </w:rPr>
        <w:t>empty</w:t>
      </w:r>
      <w:bookmarkEnd w:id="32"/>
      <w:r>
        <w:rPr>
          <w:highlight w:val="yellow"/>
        </w:rPr>
        <w:t xml:space="preserve"> retrovirus transduction. The correct bands of NKG2D CAR fragment (1142bp, 43kDa) present in the cell precipitates of N and N15 groups, while no band was observed in Ctrl group. The protein expression level in N15 group was lower than that in N group, which may be attributed to the larger fragment carried by the plasmid. The IL-15/IL-15Rα sequence utilized in this research comprises three components: IL-15 (342bp), a linker peptide (60bp), and the Sushi domain of IL-15Rα (a high-affinity IL-15 binding region, 285bp), with the addition of a His-tag at the sequence terminus. The complete protein size is approximately 25kDa. Detection using anti-His-tag and anti-IL-15 antibodies revealed double bands in both cell precipitate and supernatant of N15 group, consistent with theoretical values. The appearance of double bands may be attributed to the existence of two distinct structures for IL-15/IL-15Rα, which remain unchanged during protein denaturation.</w:t>
      </w:r>
      <w:bookmarkEnd w:id="29"/>
    </w:p>
    <w:p w14:paraId="14F8D600">
      <w:pPr>
        <w:widowControl/>
        <w:spacing w:line="240" w:lineRule="auto"/>
        <w:jc w:val="left"/>
      </w:pPr>
      <w:r>
        <w:br w:type="page"/>
      </w:r>
    </w:p>
    <w:p w14:paraId="3AC0DEED">
      <w:bookmarkStart w:id="33" w:name="OLE_LINK16"/>
      <w:r>
        <w:drawing>
          <wp:inline distT="0" distB="0" distL="0" distR="0">
            <wp:extent cx="3749040" cy="5007610"/>
            <wp:effectExtent l="0" t="0" r="0" b="0"/>
            <wp:docPr id="18143049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04934"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750611" cy="5010020"/>
                    </a:xfrm>
                    <a:prstGeom prst="rect">
                      <a:avLst/>
                    </a:prstGeom>
                    <a:noFill/>
                    <a:ln>
                      <a:noFill/>
                    </a:ln>
                  </pic:spPr>
                </pic:pic>
              </a:graphicData>
            </a:graphic>
          </wp:inline>
        </w:drawing>
      </w:r>
    </w:p>
    <w:p w14:paraId="14350CDB">
      <w:pPr>
        <w:rPr>
          <w:b/>
          <w:highlight w:val="yellow"/>
        </w:rPr>
      </w:pPr>
      <w:r>
        <w:rPr>
          <w:b/>
          <w:highlight w:val="yellow"/>
        </w:rPr>
        <w:t xml:space="preserve">Supplementary Figure </w:t>
      </w:r>
      <w:r>
        <w:rPr>
          <w:rFonts w:hint="eastAsia"/>
          <w:b/>
          <w:highlight w:val="yellow"/>
        </w:rPr>
        <w:t>5</w:t>
      </w:r>
      <w:r>
        <w:rPr>
          <w:b/>
          <w:highlight w:val="yellow"/>
        </w:rPr>
        <w:t>. Gating strategy of Flow cytometry Absolute Counting</w:t>
      </w:r>
    </w:p>
    <w:p w14:paraId="523AF078">
      <w:r>
        <w:rPr>
          <w:highlight w:val="yellow"/>
        </w:rPr>
        <w:t>(</w:t>
      </w:r>
      <w:r>
        <w:rPr>
          <w:b/>
          <w:bCs/>
          <w:highlight w:val="yellow"/>
        </w:rPr>
        <w:t>A</w:t>
      </w:r>
      <w:r>
        <w:rPr>
          <w:highlight w:val="yellow"/>
        </w:rPr>
        <w:t xml:space="preserve">) Set up FSC-SSC gate, circle the counting beads and lymphocyte population; </w:t>
      </w:r>
      <w:r>
        <w:rPr>
          <w:rFonts w:hint="eastAsia"/>
          <w:highlight w:val="yellow"/>
        </w:rPr>
        <w:t>then c</w:t>
      </w:r>
      <w:r>
        <w:rPr>
          <w:highlight w:val="yellow"/>
        </w:rPr>
        <w:t>ircle the live cell population from lymphocyte population</w:t>
      </w:r>
      <w:r>
        <w:rPr>
          <w:rFonts w:hint="eastAsia"/>
          <w:highlight w:val="yellow"/>
        </w:rPr>
        <w:t xml:space="preserve">; finally, calculate the live cell population according the formula mentioned in </w:t>
      </w:r>
      <w:r>
        <w:rPr>
          <w:highlight w:val="yellow"/>
        </w:rPr>
        <w:t>S</w:t>
      </w:r>
      <w:r>
        <w:rPr>
          <w:rFonts w:hint="eastAsia"/>
          <w:highlight w:val="yellow"/>
        </w:rPr>
        <w:t xml:space="preserve">upplementary methods. </w:t>
      </w:r>
      <w:r>
        <w:rPr>
          <w:highlight w:val="yellow"/>
        </w:rPr>
        <w:t>(</w:t>
      </w:r>
      <w:r>
        <w:rPr>
          <w:b/>
          <w:bCs/>
          <w:highlight w:val="yellow"/>
        </w:rPr>
        <w:t>B</w:t>
      </w:r>
      <w:r>
        <w:rPr>
          <w:rFonts w:hint="eastAsia"/>
          <w:b/>
          <w:bCs/>
          <w:highlight w:val="yellow"/>
        </w:rPr>
        <w:t>, C</w:t>
      </w:r>
      <w:r>
        <w:rPr>
          <w:b/>
          <w:bCs/>
          <w:highlight w:val="yellow"/>
        </w:rPr>
        <w:t>,</w:t>
      </w:r>
      <w:r>
        <w:rPr>
          <w:rFonts w:hint="eastAsia"/>
          <w:b/>
          <w:bCs/>
          <w:highlight w:val="yellow"/>
        </w:rPr>
        <w:t xml:space="preserve"> D</w:t>
      </w:r>
      <w:r>
        <w:rPr>
          <w:highlight w:val="yellow"/>
        </w:rPr>
        <w:t>)</w:t>
      </w:r>
      <w:r>
        <w:rPr>
          <w:rFonts w:hint="eastAsia"/>
          <w:highlight w:val="yellow"/>
        </w:rPr>
        <w:t xml:space="preserve">. Gating examples of NT, N and N15 </w:t>
      </w:r>
      <w:r>
        <w:rPr>
          <w:highlight w:val="yellow"/>
        </w:rPr>
        <w:t>groups,</w:t>
      </w:r>
      <w:r>
        <w:rPr>
          <w:rFonts w:hint="eastAsia"/>
          <w:highlight w:val="yellow"/>
        </w:rPr>
        <w:t xml:space="preserve"> respectively.</w:t>
      </w:r>
      <w:r>
        <w:rPr>
          <w:rFonts w:hint="eastAsia"/>
        </w:rPr>
        <w:t xml:space="preserve"> </w:t>
      </w:r>
    </w:p>
    <w:bookmarkEnd w:id="33"/>
    <w:p w14:paraId="2C131FCF"/>
    <w:p w14:paraId="2B7DC0D5">
      <w:r>
        <w:drawing>
          <wp:inline distT="0" distB="0" distL="0" distR="0">
            <wp:extent cx="6083300" cy="5573395"/>
            <wp:effectExtent l="0" t="0" r="0" b="0"/>
            <wp:docPr id="18499446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44624"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b="23532"/>
                    <a:stretch>
                      <a:fillRect/>
                    </a:stretch>
                  </pic:blipFill>
                  <pic:spPr>
                    <a:xfrm>
                      <a:off x="0" y="0"/>
                      <a:ext cx="6090126" cy="5573395"/>
                    </a:xfrm>
                    <a:prstGeom prst="rect">
                      <a:avLst/>
                    </a:prstGeom>
                    <a:noFill/>
                  </pic:spPr>
                </pic:pic>
              </a:graphicData>
            </a:graphic>
          </wp:inline>
        </w:drawing>
      </w:r>
    </w:p>
    <w:p w14:paraId="125B776F">
      <w:r>
        <w:rPr>
          <w:b/>
        </w:rPr>
        <w:t xml:space="preserve">Supplementary Figure </w:t>
      </w:r>
      <w:r>
        <w:rPr>
          <w:rFonts w:hint="eastAsia"/>
          <w:b/>
        </w:rPr>
        <w:t>6</w:t>
      </w:r>
      <w:r>
        <w:rPr>
          <w:b/>
        </w:rPr>
        <w:t>. Gating strategy in flow cytometric cytotoxicity assay for the co-cultures of B-LCLs and three types of T cells</w:t>
      </w:r>
      <w:r>
        <w:t>.</w:t>
      </w:r>
    </w:p>
    <w:p w14:paraId="5A019ECF">
      <w:r>
        <w:t>(</w:t>
      </w:r>
      <w:r>
        <w:rPr>
          <w:b/>
        </w:rPr>
        <w:t>A</w:t>
      </w:r>
      <w:r>
        <w:t>-</w:t>
      </w:r>
      <w:r>
        <w:rPr>
          <w:b/>
        </w:rPr>
        <w:t>C</w:t>
      </w:r>
      <w:r>
        <w:t>) NT-T cell group. (</w:t>
      </w:r>
      <w:r>
        <w:rPr>
          <w:b/>
        </w:rPr>
        <w:t>D</w:t>
      </w:r>
      <w:r>
        <w:t>-</w:t>
      </w:r>
      <w:r>
        <w:rPr>
          <w:b/>
        </w:rPr>
        <w:t>F</w:t>
      </w:r>
      <w:r>
        <w:t>) N CAR-T cell group. (</w:t>
      </w:r>
      <w:r>
        <w:rPr>
          <w:b/>
        </w:rPr>
        <w:t>G</w:t>
      </w:r>
      <w:r>
        <w:t>-</w:t>
      </w:r>
      <w:r>
        <w:rPr>
          <w:b/>
        </w:rPr>
        <w:t>I</w:t>
      </w:r>
      <w:r>
        <w:t>). N15 CAR-T cell group. First column (</w:t>
      </w:r>
      <w:r>
        <w:rPr>
          <w:b/>
        </w:rPr>
        <w:t>A</w:t>
      </w:r>
      <w:r>
        <w:t>,</w:t>
      </w:r>
      <w:r>
        <w:rPr>
          <w:b/>
        </w:rPr>
        <w:t>D</w:t>
      </w:r>
      <w:r>
        <w:t>,</w:t>
      </w:r>
      <w:r>
        <w:rPr>
          <w:b/>
        </w:rPr>
        <w:t>G</w:t>
      </w:r>
      <w:r>
        <w:t>,</w:t>
      </w:r>
      <w:r>
        <w:rPr>
          <w:b/>
        </w:rPr>
        <w:t>J</w:t>
      </w:r>
      <w:r>
        <w:t>): Adjust the voltages of forward scattering (FSC) and side scattering (SSC) to make the counting beads locate in the appropriate position; Circle out the counting beads and collect 2000 bead events</w:t>
      </w:r>
      <w:r>
        <w:rPr>
          <w:rFonts w:hint="eastAsia"/>
        </w:rPr>
        <w:t>.</w:t>
      </w:r>
      <w:r>
        <w:t xml:space="preserve"> Second column (</w:t>
      </w:r>
      <w:r>
        <w:rPr>
          <w:b/>
        </w:rPr>
        <w:t>B</w:t>
      </w:r>
      <w:r>
        <w:t>,</w:t>
      </w:r>
      <w:r>
        <w:rPr>
          <w:b/>
        </w:rPr>
        <w:t>E</w:t>
      </w:r>
      <w:r>
        <w:t>,</w:t>
      </w:r>
      <w:r>
        <w:rPr>
          <w:b/>
        </w:rPr>
        <w:t>H</w:t>
      </w:r>
      <w:r>
        <w:t>,</w:t>
      </w:r>
      <w:r>
        <w:rPr>
          <w:b/>
        </w:rPr>
        <w:t>K</w:t>
      </w:r>
      <w:r>
        <w:t>): Circle out the live cell population from lymphocyte populatio</w:t>
      </w:r>
      <w:r>
        <w:rPr>
          <w:szCs w:val="21"/>
        </w:rPr>
        <w:t>n</w:t>
      </w:r>
      <w:r>
        <w:rPr>
          <w:rFonts w:hint="eastAsia"/>
          <w:szCs w:val="21"/>
        </w:rPr>
        <w:t xml:space="preserve"> (</w:t>
      </w:r>
      <w:r>
        <w:rPr>
          <w:szCs w:val="21"/>
          <w:lang w:bidi="ar"/>
        </w:rPr>
        <w:t>APC-Cy 7</w:t>
      </w:r>
      <w:r>
        <w:rPr>
          <w:rFonts w:hint="eastAsia"/>
          <w:szCs w:val="21"/>
          <w:lang w:bidi="ar"/>
        </w:rPr>
        <w:t>-</w:t>
      </w:r>
      <w:r>
        <w:rPr>
          <w:rFonts w:hint="eastAsia"/>
          <w:szCs w:val="21"/>
        </w:rPr>
        <w:t>)</w:t>
      </w:r>
      <w:r>
        <w:rPr>
          <w:rFonts w:hint="eastAsia"/>
        </w:rPr>
        <w:t>.</w:t>
      </w:r>
      <w:r>
        <w:t xml:space="preserve"> Third column (</w:t>
      </w:r>
      <w:r>
        <w:rPr>
          <w:b/>
        </w:rPr>
        <w:t>C</w:t>
      </w:r>
      <w:r>
        <w:t>,</w:t>
      </w:r>
      <w:r>
        <w:rPr>
          <w:b/>
        </w:rPr>
        <w:t>F</w:t>
      </w:r>
      <w:r>
        <w:t>,</w:t>
      </w:r>
      <w:r>
        <w:rPr>
          <w:b/>
        </w:rPr>
        <w:t>I</w:t>
      </w:r>
      <w:r>
        <w:t>,</w:t>
      </w:r>
      <w:r>
        <w:rPr>
          <w:b/>
        </w:rPr>
        <w:t>L</w:t>
      </w:r>
      <w:r>
        <w:t>): Circle out the B-LCL population (Cell Trace V450)</w:t>
      </w:r>
      <w:r>
        <w:rPr>
          <w:rFonts w:hint="eastAsia"/>
        </w:rPr>
        <w:t>.</w:t>
      </w:r>
      <w:r>
        <w:t xml:space="preserve"> According to the value of beads events and B-LCL events, the absolute count of B-LCLs is calculated; then the percentage of target cell lysis is calculated </w:t>
      </w:r>
      <w:r>
        <w:rPr>
          <w:rFonts w:hint="eastAsia"/>
        </w:rPr>
        <w:t>with</w:t>
      </w:r>
      <w:r>
        <w:t xml:space="preserve"> B-LCL count in co-culture well and target cell alone well</w:t>
      </w:r>
      <w:r>
        <w:rPr>
          <w:rFonts w:hint="eastAsia"/>
        </w:rPr>
        <w:t xml:space="preserve"> according to Formula I</w:t>
      </w:r>
      <w:r>
        <w:t>.</w:t>
      </w:r>
    </w:p>
    <w:p w14:paraId="7F16DF34"/>
    <w:p w14:paraId="4902F5C2">
      <w:r>
        <w:drawing>
          <wp:inline distT="0" distB="0" distL="0" distR="0">
            <wp:extent cx="5274310" cy="3039745"/>
            <wp:effectExtent l="0" t="0" r="0" b="0"/>
            <wp:docPr id="17141927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92788"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3039745"/>
                    </a:xfrm>
                    <a:prstGeom prst="rect">
                      <a:avLst/>
                    </a:prstGeom>
                    <a:noFill/>
                    <a:ln>
                      <a:noFill/>
                    </a:ln>
                  </pic:spPr>
                </pic:pic>
              </a:graphicData>
            </a:graphic>
          </wp:inline>
        </w:drawing>
      </w:r>
      <w:r>
        <w:rPr>
          <w:b/>
        </w:rPr>
        <w:t>S</w:t>
      </w:r>
      <w:r>
        <w:rPr>
          <w:rFonts w:hint="eastAsia"/>
          <w:b/>
        </w:rPr>
        <w:t>upplementary</w:t>
      </w:r>
      <w:r>
        <w:rPr>
          <w:b/>
        </w:rPr>
        <w:t xml:space="preserve"> Figure </w:t>
      </w:r>
      <w:r>
        <w:rPr>
          <w:rFonts w:hint="eastAsia"/>
          <w:b/>
        </w:rPr>
        <w:t>7</w:t>
      </w:r>
      <w:r>
        <w:rPr>
          <w:b/>
        </w:rPr>
        <w:t>．</w:t>
      </w:r>
      <w:r>
        <w:rPr>
          <w:rFonts w:hint="eastAsia"/>
          <w:b/>
        </w:rPr>
        <w:t>C</w:t>
      </w:r>
      <w:r>
        <w:rPr>
          <w:b/>
        </w:rPr>
        <w:t>or</w:t>
      </w:r>
      <w:r>
        <w:rPr>
          <w:rFonts w:hint="eastAsia"/>
          <w:b/>
        </w:rPr>
        <w:t>relation</w:t>
      </w:r>
      <w:r>
        <w:rPr>
          <w:b/>
        </w:rPr>
        <w:t xml:space="preserve"> </w:t>
      </w:r>
      <w:r>
        <w:rPr>
          <w:rFonts w:hint="eastAsia"/>
          <w:b/>
        </w:rPr>
        <w:t>of</w:t>
      </w:r>
      <w:r>
        <w:rPr>
          <w:b/>
        </w:rPr>
        <w:t xml:space="preserve"> EGFP to NKG2D</w:t>
      </w:r>
      <w:r>
        <w:rPr>
          <w:rFonts w:hint="eastAsia"/>
          <w:b/>
        </w:rPr>
        <w:t xml:space="preserve"> expression</w:t>
      </w:r>
      <w:r>
        <w:rPr>
          <w:b/>
        </w:rPr>
        <w:t xml:space="preserve"> in three types of T cells</w:t>
      </w:r>
      <w:r>
        <w:t>.</w:t>
      </w:r>
    </w:p>
    <w:p w14:paraId="119AF38A">
      <w:r>
        <w:t>(</w:t>
      </w:r>
      <w:r>
        <w:rPr>
          <w:rFonts w:hint="eastAsia"/>
          <w:b/>
        </w:rPr>
        <w:t>A</w:t>
      </w:r>
      <w:r>
        <w:t xml:space="preserve">) Representative of flow cytometric scatter plot of EGFP and NKG2D expressions </w:t>
      </w:r>
      <w:r>
        <w:rPr>
          <w:rFonts w:hint="eastAsia"/>
        </w:rPr>
        <w:t>of</w:t>
      </w:r>
      <w:r>
        <w:t xml:space="preserve"> NT-T, N and N15 CAR-T cell groups on Day 13 post transduction. (</w:t>
      </w:r>
      <w:r>
        <w:rPr>
          <w:b/>
        </w:rPr>
        <w:t>B</w:t>
      </w:r>
      <w:r>
        <w:t>) Statistic graph of NKG2D ligand expression in B-LCLs and PBMCs the EGFP and NKG2D expressions of NT-T, N and N15 CAR-T cell groups on Day 13 post transduction</w:t>
      </w:r>
      <w:r>
        <w:rPr>
          <w:rFonts w:hint="eastAsia"/>
        </w:rPr>
        <w:t>.</w:t>
      </w:r>
    </w:p>
    <w:p w14:paraId="007DA35E"/>
    <w:p w14:paraId="4AC24C39">
      <w:r>
        <w:drawing>
          <wp:inline distT="0" distB="0" distL="0" distR="0">
            <wp:extent cx="5274310" cy="6931660"/>
            <wp:effectExtent l="0" t="0" r="0" b="0"/>
            <wp:docPr id="15532096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09653" name="图片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4310" cy="6931660"/>
                    </a:xfrm>
                    <a:prstGeom prst="rect">
                      <a:avLst/>
                    </a:prstGeom>
                    <a:noFill/>
                    <a:ln>
                      <a:noFill/>
                    </a:ln>
                  </pic:spPr>
                </pic:pic>
              </a:graphicData>
            </a:graphic>
          </wp:inline>
        </w:drawing>
      </w:r>
    </w:p>
    <w:p w14:paraId="1AF302CC">
      <w:r>
        <w:rPr>
          <w:b/>
        </w:rPr>
        <w:t>S</w:t>
      </w:r>
      <w:r>
        <w:rPr>
          <w:rFonts w:hint="eastAsia"/>
          <w:b/>
        </w:rPr>
        <w:t>upplementary</w:t>
      </w:r>
      <w:r>
        <w:rPr>
          <w:b/>
        </w:rPr>
        <w:t xml:space="preserve"> Figure </w:t>
      </w:r>
      <w:r>
        <w:rPr>
          <w:rFonts w:hint="eastAsia"/>
          <w:b/>
        </w:rPr>
        <w:t>8</w:t>
      </w:r>
      <w:r>
        <w:rPr>
          <w:b/>
        </w:rPr>
        <w:t xml:space="preserve">．The subsets of CD4/CD8, specific activation (CD25 and CD69) and exhaustion markers (PD-1, LAG-3 and TIM-3) </w:t>
      </w:r>
      <w:r>
        <w:rPr>
          <w:rFonts w:hint="eastAsia"/>
          <w:b/>
        </w:rPr>
        <w:t>detected</w:t>
      </w:r>
      <w:r>
        <w:rPr>
          <w:b/>
        </w:rPr>
        <w:t xml:space="preserve"> </w:t>
      </w:r>
      <w:r>
        <w:rPr>
          <w:rFonts w:hint="eastAsia"/>
          <w:b/>
        </w:rPr>
        <w:t>by</w:t>
      </w:r>
      <w:r>
        <w:rPr>
          <w:b/>
        </w:rPr>
        <w:t xml:space="preserve"> </w:t>
      </w:r>
      <w:r>
        <w:rPr>
          <w:rFonts w:hint="eastAsia"/>
          <w:b/>
        </w:rPr>
        <w:t>flow</w:t>
      </w:r>
      <w:r>
        <w:rPr>
          <w:b/>
        </w:rPr>
        <w:t xml:space="preserve"> </w:t>
      </w:r>
      <w:r>
        <w:rPr>
          <w:rFonts w:hint="eastAsia"/>
          <w:b/>
        </w:rPr>
        <w:t>cytometry</w:t>
      </w:r>
      <w:r>
        <w:t>.</w:t>
      </w:r>
    </w:p>
    <w:p w14:paraId="77BF08A6">
      <w:r>
        <w:rPr>
          <w:rFonts w:hint="eastAsia"/>
        </w:rPr>
        <w:t>(</w:t>
      </w:r>
      <w:r>
        <w:rPr>
          <w:b/>
        </w:rPr>
        <w:t>A</w:t>
      </w:r>
      <w:r>
        <w:t>)</w:t>
      </w:r>
      <w:r>
        <w:rPr>
          <w:rFonts w:hint="eastAsia"/>
        </w:rPr>
        <w:t xml:space="preserve"> </w:t>
      </w:r>
      <w:r>
        <w:t>Flow cytometric scatter plot of T cell subsets (CD8/CD4). (</w:t>
      </w:r>
      <w:r>
        <w:rPr>
          <w:b/>
        </w:rPr>
        <w:t>B</w:t>
      </w:r>
      <w:r>
        <w:t>) Ratio of CD8</w:t>
      </w:r>
      <w:r>
        <w:rPr>
          <w:vertAlign w:val="superscript"/>
        </w:rPr>
        <w:t>+</w:t>
      </w:r>
      <w:r>
        <w:t>/CD4</w:t>
      </w:r>
      <w:r>
        <w:rPr>
          <w:vertAlign w:val="superscript"/>
        </w:rPr>
        <w:t>+</w:t>
      </w:r>
      <w:r>
        <w:t xml:space="preserve"> T cells. (</w:t>
      </w:r>
      <w:r>
        <w:rPr>
          <w:b/>
        </w:rPr>
        <w:t>C</w:t>
      </w:r>
      <w:r>
        <w:t>) Flow cytometric histograms of CD259 expression in CD3</w:t>
      </w:r>
      <w:r>
        <w:rPr>
          <w:vertAlign w:val="superscript"/>
        </w:rPr>
        <w:t>+</w:t>
      </w:r>
      <w:r>
        <w:t xml:space="preserve"> NT-T, N and N15 CAR-T cells after CAR transduction. (</w:t>
      </w:r>
      <w:r>
        <w:rPr>
          <w:b/>
        </w:rPr>
        <w:t>D</w:t>
      </w:r>
      <w:r>
        <w:t>) Statistics graph of CD25 expression. (</w:t>
      </w:r>
      <w:r>
        <w:rPr>
          <w:b/>
        </w:rPr>
        <w:t>E</w:t>
      </w:r>
      <w:r>
        <w:t>) Flow cytometric histograms of CD69 expression in CD3</w:t>
      </w:r>
      <w:r>
        <w:rPr>
          <w:vertAlign w:val="superscript"/>
        </w:rPr>
        <w:t>+</w:t>
      </w:r>
      <w:r>
        <w:t xml:space="preserve"> NT-T, N and N15 CAR-T cells after CAR transduction. (</w:t>
      </w:r>
      <w:r>
        <w:rPr>
          <w:b/>
        </w:rPr>
        <w:t>F</w:t>
      </w:r>
      <w:r>
        <w:t>). Statistics graph of CD69 expression. (</w:t>
      </w:r>
      <w:r>
        <w:rPr>
          <w:b/>
        </w:rPr>
        <w:t>G</w:t>
      </w:r>
      <w:r>
        <w:t>,</w:t>
      </w:r>
      <w:r>
        <w:rPr>
          <w:b/>
        </w:rPr>
        <w:t>I</w:t>
      </w:r>
      <w:r>
        <w:t>,</w:t>
      </w:r>
      <w:r>
        <w:rPr>
          <w:b/>
        </w:rPr>
        <w:t>K</w:t>
      </w:r>
      <w:r>
        <w:t>). Flow cytometric analysis graph (Zeta Plot) of PD-1, LAG-3 and TIM-3 expression in CD3</w:t>
      </w:r>
      <w:r>
        <w:rPr>
          <w:vertAlign w:val="superscript"/>
        </w:rPr>
        <w:t>+</w:t>
      </w:r>
      <w:r>
        <w:t xml:space="preserve"> T cells. (</w:t>
      </w:r>
      <w:r>
        <w:rPr>
          <w:b/>
        </w:rPr>
        <w:t>H</w:t>
      </w:r>
      <w:r>
        <w:t>,</w:t>
      </w:r>
      <w:r>
        <w:rPr>
          <w:b/>
        </w:rPr>
        <w:t>J</w:t>
      </w:r>
      <w:r>
        <w:t>,</w:t>
      </w:r>
      <w:r>
        <w:rPr>
          <w:b/>
        </w:rPr>
        <w:t>L</w:t>
      </w:r>
      <w:r>
        <w:t>). Statistics graph of PD-1, LAG-3 and TIM-3 expression in CD3</w:t>
      </w:r>
      <w:r>
        <w:rPr>
          <w:vertAlign w:val="superscript"/>
        </w:rPr>
        <w:t>+</w:t>
      </w:r>
      <w:r>
        <w:t xml:space="preserve"> T cells. * </w:t>
      </w:r>
      <w:r>
        <w:rPr>
          <w:i/>
          <w:iCs/>
        </w:rPr>
        <w:t>P</w:t>
      </w:r>
      <w:r>
        <w:t xml:space="preserve"> &lt;0.05； **</w:t>
      </w:r>
      <w:r>
        <w:rPr>
          <w:i/>
          <w:iCs/>
        </w:rPr>
        <w:t xml:space="preserve"> P</w:t>
      </w:r>
      <w:r>
        <w:t xml:space="preserve"> &lt;0.01 ； ***</w:t>
      </w:r>
      <w:r>
        <w:rPr>
          <w:i/>
          <w:iCs/>
        </w:rPr>
        <w:t xml:space="preserve"> P </w:t>
      </w:r>
      <w:r>
        <w:t>&lt;0.001；****</w:t>
      </w:r>
      <w:r>
        <w:rPr>
          <w:i/>
          <w:iCs/>
        </w:rPr>
        <w:t xml:space="preserve"> P</w:t>
      </w:r>
      <w:r>
        <w:t xml:space="preserve"> &lt;0.0001.</w:t>
      </w:r>
    </w:p>
    <w:p w14:paraId="2D646EBB">
      <w:pPr>
        <w:widowControl/>
        <w:spacing w:line="240" w:lineRule="auto"/>
        <w:jc w:val="left"/>
      </w:pPr>
      <w:r>
        <w:br w:type="page"/>
      </w:r>
    </w:p>
    <w:p w14:paraId="76BBBF83">
      <w:r>
        <w:drawing>
          <wp:inline distT="0" distB="0" distL="0" distR="0">
            <wp:extent cx="5181600" cy="5328285"/>
            <wp:effectExtent l="0" t="0" r="0" b="5715"/>
            <wp:docPr id="1279909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0932" name="图片 3"/>
                    <pic:cNvPicPr>
                      <a:picLocks noChangeAspect="1" noChangeArrowheads="1"/>
                    </pic:cNvPicPr>
                  </pic:nvPicPr>
                  <pic:blipFill>
                    <a:blip r:embed="rId18">
                      <a:extLst>
                        <a:ext uri="{28A0092B-C50C-407E-A947-70E740481C1C}">
                          <a14:useLocalDpi xmlns:a14="http://schemas.microsoft.com/office/drawing/2010/main" val="0"/>
                        </a:ext>
                      </a:extLst>
                    </a:blip>
                    <a:srcRect r="11013"/>
                    <a:stretch>
                      <a:fillRect/>
                    </a:stretch>
                  </pic:blipFill>
                  <pic:spPr>
                    <a:xfrm>
                      <a:off x="0" y="0"/>
                      <a:ext cx="5188206" cy="5335576"/>
                    </a:xfrm>
                    <a:prstGeom prst="rect">
                      <a:avLst/>
                    </a:prstGeom>
                    <a:noFill/>
                    <a:ln>
                      <a:noFill/>
                    </a:ln>
                  </pic:spPr>
                </pic:pic>
              </a:graphicData>
            </a:graphic>
          </wp:inline>
        </w:drawing>
      </w:r>
    </w:p>
    <w:p w14:paraId="1BAF047F">
      <w:pPr>
        <w:rPr>
          <w:b/>
        </w:rPr>
      </w:pPr>
      <w:r>
        <w:rPr>
          <w:b/>
        </w:rPr>
        <w:t>S</w:t>
      </w:r>
      <w:r>
        <w:rPr>
          <w:rFonts w:hint="eastAsia"/>
          <w:b/>
        </w:rPr>
        <w:t>upplementary</w:t>
      </w:r>
      <w:r>
        <w:rPr>
          <w:b/>
        </w:rPr>
        <w:t xml:space="preserve"> Figure </w:t>
      </w:r>
      <w:r>
        <w:rPr>
          <w:rFonts w:hint="eastAsia"/>
          <w:b/>
        </w:rPr>
        <w:t>9</w:t>
      </w:r>
      <w:r>
        <w:rPr>
          <w:b/>
        </w:rPr>
        <w:t xml:space="preserve">. Analysis of transcriptomes from three types of T cells. </w:t>
      </w:r>
    </w:p>
    <w:p w14:paraId="244C3203">
      <w:r>
        <w:t>(</w:t>
      </w:r>
      <w:r>
        <w:rPr>
          <w:rFonts w:hint="eastAsia"/>
          <w:b/>
        </w:rPr>
        <w:t>A</w:t>
      </w:r>
      <w:r>
        <w:t>) PCA analysis. (</w:t>
      </w:r>
      <w:r>
        <w:rPr>
          <w:b/>
        </w:rPr>
        <w:t>B</w:t>
      </w:r>
      <w:r>
        <w:t>) Statistical chart of DEGs. (</w:t>
      </w:r>
      <w:r>
        <w:rPr>
          <w:b/>
        </w:rPr>
        <w:t>C</w:t>
      </w:r>
      <w:r>
        <w:t>-</w:t>
      </w:r>
      <w:r>
        <w:rPr>
          <w:b/>
        </w:rPr>
        <w:t>H</w:t>
      </w:r>
      <w:r>
        <w:t>) Related pathways identified by GSEA pathway enrichment.</w:t>
      </w:r>
    </w:p>
    <w:p w14:paraId="37EA44AF">
      <w:r>
        <w:br w:type="page"/>
      </w:r>
    </w:p>
    <w:p w14:paraId="3159B25C">
      <w:r>
        <w:drawing>
          <wp:inline distT="0" distB="0" distL="0" distR="0">
            <wp:extent cx="5274310" cy="4721860"/>
            <wp:effectExtent l="0" t="0" r="0" b="0"/>
            <wp:docPr id="288148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4825" name="图片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74310" cy="4721860"/>
                    </a:xfrm>
                    <a:prstGeom prst="rect">
                      <a:avLst/>
                    </a:prstGeom>
                    <a:noFill/>
                    <a:ln>
                      <a:noFill/>
                    </a:ln>
                  </pic:spPr>
                </pic:pic>
              </a:graphicData>
            </a:graphic>
          </wp:inline>
        </w:drawing>
      </w:r>
    </w:p>
    <w:p w14:paraId="591C4385">
      <w:r>
        <w:rPr>
          <w:b/>
          <w:bCs/>
        </w:rPr>
        <w:t xml:space="preserve">Supplementary Figure </w:t>
      </w:r>
      <w:r>
        <w:rPr>
          <w:rFonts w:hint="eastAsia"/>
          <w:b/>
          <w:bCs/>
        </w:rPr>
        <w:t>10</w:t>
      </w:r>
      <w:r>
        <w:rPr>
          <w:b/>
          <w:bCs/>
        </w:rPr>
        <w:t xml:space="preserve">. Measurement </w:t>
      </w:r>
      <w:r>
        <w:rPr>
          <w:rFonts w:hint="eastAsia"/>
          <w:b/>
          <w:bCs/>
        </w:rPr>
        <w:t>o</w:t>
      </w:r>
      <w:r>
        <w:rPr>
          <w:b/>
          <w:bCs/>
        </w:rPr>
        <w:t xml:space="preserve">f secretion </w:t>
      </w:r>
      <w:r>
        <w:rPr>
          <w:b/>
        </w:rPr>
        <w:t>cytokines in 6-72 h co-cultures of B-LCLs with three types of T cells by ELISA</w:t>
      </w:r>
      <w:r>
        <w:t>.</w:t>
      </w:r>
    </w:p>
    <w:p w14:paraId="2C5725D3">
      <w:r>
        <w:t>(</w:t>
      </w:r>
      <w:r>
        <w:rPr>
          <w:b/>
        </w:rPr>
        <w:t>A</w:t>
      </w:r>
      <w:r>
        <w:t>) IL-15. (</w:t>
      </w:r>
      <w:r>
        <w:rPr>
          <w:b/>
        </w:rPr>
        <w:t>B</w:t>
      </w:r>
      <w:r>
        <w:t>) IL-2. (</w:t>
      </w:r>
      <w:r>
        <w:rPr>
          <w:b/>
        </w:rPr>
        <w:t>C</w:t>
      </w:r>
      <w:r>
        <w:t>) IL-10. (</w:t>
      </w:r>
      <w:r>
        <w:rPr>
          <w:b/>
        </w:rPr>
        <w:t>D</w:t>
      </w:r>
      <w:r>
        <w:t>) IFN-γ. (</w:t>
      </w:r>
      <w:r>
        <w:rPr>
          <w:b/>
        </w:rPr>
        <w:t>E</w:t>
      </w:r>
      <w:r>
        <w:t>) GM-CSF. (</w:t>
      </w:r>
      <w:r>
        <w:rPr>
          <w:b/>
        </w:rPr>
        <w:t>F</w:t>
      </w:r>
      <w:r>
        <w:t>) TNF-α. (</w:t>
      </w:r>
      <w:r>
        <w:rPr>
          <w:b/>
        </w:rPr>
        <w:t>G</w:t>
      </w:r>
      <w:r>
        <w:t xml:space="preserve">) IL-6. (n=5)  * </w:t>
      </w:r>
      <w:r>
        <w:rPr>
          <w:i/>
          <w:iCs/>
        </w:rPr>
        <w:t>P</w:t>
      </w:r>
      <w:r>
        <w:t xml:space="preserve"> &lt;0.05</w:t>
      </w:r>
      <w:r>
        <w:rPr>
          <w:rFonts w:hint="eastAsia"/>
        </w:rPr>
        <w:t>;</w:t>
      </w:r>
      <w:r>
        <w:t xml:space="preserve"> **</w:t>
      </w:r>
      <w:r>
        <w:rPr>
          <w:i/>
          <w:iCs/>
        </w:rPr>
        <w:t xml:space="preserve"> P</w:t>
      </w:r>
      <w:r>
        <w:t xml:space="preserve"> &lt;0.01; ***</w:t>
      </w:r>
      <w:r>
        <w:rPr>
          <w:i/>
          <w:iCs/>
        </w:rPr>
        <w:t xml:space="preserve"> P </w:t>
      </w:r>
      <w:r>
        <w:t>&lt;0.001;</w:t>
      </w:r>
      <w:r>
        <w:rPr>
          <w:rFonts w:hint="eastAsia"/>
        </w:rPr>
        <w:t xml:space="preserve"> </w:t>
      </w:r>
      <w:r>
        <w:t>****</w:t>
      </w:r>
      <w:r>
        <w:rPr>
          <w:i/>
          <w:iCs/>
        </w:rPr>
        <w:t xml:space="preserve"> P</w:t>
      </w:r>
      <w:r>
        <w:t xml:space="preserve"> &lt;0.0001.</w:t>
      </w:r>
    </w:p>
    <w:p w14:paraId="2652E7B2"/>
    <w:p w14:paraId="558F5B8C">
      <w:r>
        <w:br w:type="page"/>
      </w:r>
    </w:p>
    <w:p w14:paraId="77B7F96D">
      <w:r>
        <w:rPr>
          <w:rFonts w:hint="eastAsia"/>
        </w:rPr>
        <w:drawing>
          <wp:inline distT="0" distB="0" distL="0" distR="0">
            <wp:extent cx="5274310" cy="5459095"/>
            <wp:effectExtent l="0" t="0" r="0" b="0"/>
            <wp:docPr id="18302177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17790" name="图片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74310" cy="5459095"/>
                    </a:xfrm>
                    <a:prstGeom prst="rect">
                      <a:avLst/>
                    </a:prstGeom>
                    <a:noFill/>
                    <a:ln>
                      <a:noFill/>
                    </a:ln>
                  </pic:spPr>
                </pic:pic>
              </a:graphicData>
            </a:graphic>
          </wp:inline>
        </w:drawing>
      </w:r>
    </w:p>
    <w:p w14:paraId="67E8B631">
      <w:r>
        <w:rPr>
          <w:b/>
        </w:rPr>
        <w:t>Supplementary Figure</w:t>
      </w:r>
      <w:r>
        <w:rPr>
          <w:rFonts w:hint="eastAsia"/>
          <w:b/>
        </w:rPr>
        <w:t xml:space="preserve"> 11</w:t>
      </w:r>
      <w:r>
        <w:rPr>
          <w:b/>
        </w:rPr>
        <w:t>. Representatives of flow cytometric plot for measuring B-LCLs, NT-T, N and N15 CAR-T cells from the treated B-LCL mouse models</w:t>
      </w:r>
      <w:r>
        <w:t>.</w:t>
      </w:r>
    </w:p>
    <w:p w14:paraId="65A26FB5">
      <w:r>
        <w:t>(</w:t>
      </w:r>
      <w:r>
        <w:rPr>
          <w:rFonts w:hint="eastAsia"/>
          <w:b/>
        </w:rPr>
        <w:t>A</w:t>
      </w:r>
      <w:r>
        <w:t>) The proportion of B-LCLs in liver. (</w:t>
      </w:r>
      <w:r>
        <w:rPr>
          <w:b/>
        </w:rPr>
        <w:t>B</w:t>
      </w:r>
      <w:r>
        <w:t>) The proportion of T cells in spleen. (</w:t>
      </w:r>
      <w:r>
        <w:rPr>
          <w:b/>
        </w:rPr>
        <w:t>C</w:t>
      </w:r>
      <w:r>
        <w:t>) The proportion of EGFP</w:t>
      </w:r>
      <w:r>
        <w:rPr>
          <w:vertAlign w:val="superscript"/>
        </w:rPr>
        <w:t>+</w:t>
      </w:r>
      <w:r>
        <w:t xml:space="preserve"> CAR-T cells in spleen. * </w:t>
      </w:r>
      <w:r>
        <w:rPr>
          <w:i/>
          <w:iCs/>
        </w:rPr>
        <w:t>P</w:t>
      </w:r>
      <w:r>
        <w:t xml:space="preserve">&lt;0.05; ** </w:t>
      </w:r>
      <w:r>
        <w:rPr>
          <w:i/>
          <w:iCs/>
        </w:rPr>
        <w:t>P</w:t>
      </w:r>
      <w:r>
        <w:t xml:space="preserve">&lt;0.01; *** </w:t>
      </w:r>
      <w:r>
        <w:rPr>
          <w:i/>
          <w:iCs/>
        </w:rPr>
        <w:t>P</w:t>
      </w:r>
      <w:r>
        <w:t>&lt;0.001;</w:t>
      </w:r>
      <w:r>
        <w:rPr>
          <w:rFonts w:hint="eastAsia"/>
        </w:rPr>
        <w:t xml:space="preserve"> </w:t>
      </w:r>
      <w:r>
        <w:t>****</w:t>
      </w:r>
      <w:r>
        <w:rPr>
          <w:i/>
          <w:iCs/>
        </w:rPr>
        <w:t xml:space="preserve"> P</w:t>
      </w:r>
      <w:r>
        <w:t>&lt;0.0001.</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2823445"/>
      <w:docPartObj>
        <w:docPartGallery w:val="AutoText"/>
      </w:docPartObj>
    </w:sdtPr>
    <w:sdtContent>
      <w:p w14:paraId="02D1C503">
        <w:pPr>
          <w:pStyle w:val="3"/>
          <w:jc w:val="right"/>
        </w:pPr>
        <w:r>
          <w:fldChar w:fldCharType="begin"/>
        </w:r>
        <w:r>
          <w:instrText xml:space="preserve"> PAGE   \* MERGEFORMAT </w:instrText>
        </w:r>
        <w:r>
          <w:fldChar w:fldCharType="separate"/>
        </w:r>
        <w:r>
          <w:t>3</w:t>
        </w:r>
        <w:r>
          <w:fldChar w:fldCharType="end"/>
        </w:r>
      </w:p>
    </w:sdtContent>
  </w:sdt>
  <w:p w14:paraId="18AE9108">
    <w:pPr>
      <w:rPr>
        <w:rFonts w:hint="eastAsia"/>
      </w:rPr>
    </w:pPr>
  </w:p>
  <w:p w14:paraId="48BE7E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O1MDW1NDE2NTAzMjJX0lEKTi0uzszPAykwqwUAwI+8NCwAAAA="/>
    <w:docVar w:name="commondata" w:val="eyJoZGlkIjoiMzEwNTM5NzYwMDRjMzkwZTVkZjY2ODkwMGIxNGU0OTUifQ=="/>
  </w:docVars>
  <w:rsids>
    <w:rsidRoot w:val="00B3044D"/>
    <w:rsid w:val="0000185C"/>
    <w:rsid w:val="00005D6A"/>
    <w:rsid w:val="000062F2"/>
    <w:rsid w:val="00006C00"/>
    <w:rsid w:val="00010866"/>
    <w:rsid w:val="00010C8D"/>
    <w:rsid w:val="00011137"/>
    <w:rsid w:val="00011959"/>
    <w:rsid w:val="0005083B"/>
    <w:rsid w:val="00052EEF"/>
    <w:rsid w:val="00053448"/>
    <w:rsid w:val="000615CF"/>
    <w:rsid w:val="000621E9"/>
    <w:rsid w:val="0006436E"/>
    <w:rsid w:val="00070C35"/>
    <w:rsid w:val="00077446"/>
    <w:rsid w:val="0008308D"/>
    <w:rsid w:val="000A504D"/>
    <w:rsid w:val="000A5F74"/>
    <w:rsid w:val="000C357E"/>
    <w:rsid w:val="000D7533"/>
    <w:rsid w:val="000E0366"/>
    <w:rsid w:val="000E62E6"/>
    <w:rsid w:val="000F4186"/>
    <w:rsid w:val="00107734"/>
    <w:rsid w:val="00114B1E"/>
    <w:rsid w:val="00132329"/>
    <w:rsid w:val="00133939"/>
    <w:rsid w:val="001344DE"/>
    <w:rsid w:val="00135B29"/>
    <w:rsid w:val="00136D28"/>
    <w:rsid w:val="001520E2"/>
    <w:rsid w:val="00153E5B"/>
    <w:rsid w:val="00156C98"/>
    <w:rsid w:val="00164050"/>
    <w:rsid w:val="00164580"/>
    <w:rsid w:val="0016495A"/>
    <w:rsid w:val="00165185"/>
    <w:rsid w:val="001673B9"/>
    <w:rsid w:val="00172817"/>
    <w:rsid w:val="0017568A"/>
    <w:rsid w:val="00180EAD"/>
    <w:rsid w:val="0018139F"/>
    <w:rsid w:val="00187A36"/>
    <w:rsid w:val="0019010C"/>
    <w:rsid w:val="001A54F9"/>
    <w:rsid w:val="001C445E"/>
    <w:rsid w:val="001C687E"/>
    <w:rsid w:val="001C7F86"/>
    <w:rsid w:val="001D4F40"/>
    <w:rsid w:val="001E172A"/>
    <w:rsid w:val="001F07A8"/>
    <w:rsid w:val="001F3C23"/>
    <w:rsid w:val="001F6383"/>
    <w:rsid w:val="0020780B"/>
    <w:rsid w:val="0021006D"/>
    <w:rsid w:val="0022348B"/>
    <w:rsid w:val="0024426E"/>
    <w:rsid w:val="00250EBC"/>
    <w:rsid w:val="00254B78"/>
    <w:rsid w:val="00257D1A"/>
    <w:rsid w:val="002654C5"/>
    <w:rsid w:val="00265E80"/>
    <w:rsid w:val="002A66F0"/>
    <w:rsid w:val="002B0770"/>
    <w:rsid w:val="002D1197"/>
    <w:rsid w:val="002D3D76"/>
    <w:rsid w:val="002F5ED0"/>
    <w:rsid w:val="002F7E54"/>
    <w:rsid w:val="0030289F"/>
    <w:rsid w:val="00305626"/>
    <w:rsid w:val="00314297"/>
    <w:rsid w:val="00314BBB"/>
    <w:rsid w:val="00314C06"/>
    <w:rsid w:val="00315985"/>
    <w:rsid w:val="00316081"/>
    <w:rsid w:val="003269FD"/>
    <w:rsid w:val="00332098"/>
    <w:rsid w:val="00336453"/>
    <w:rsid w:val="00345E4B"/>
    <w:rsid w:val="00347949"/>
    <w:rsid w:val="00363C50"/>
    <w:rsid w:val="00366333"/>
    <w:rsid w:val="00371999"/>
    <w:rsid w:val="0037267B"/>
    <w:rsid w:val="00386174"/>
    <w:rsid w:val="003A32D3"/>
    <w:rsid w:val="003B19B9"/>
    <w:rsid w:val="003B6A5A"/>
    <w:rsid w:val="003C6A55"/>
    <w:rsid w:val="003D2A8A"/>
    <w:rsid w:val="003D6E78"/>
    <w:rsid w:val="003E308B"/>
    <w:rsid w:val="003F08B6"/>
    <w:rsid w:val="003F209C"/>
    <w:rsid w:val="003F43A8"/>
    <w:rsid w:val="003F5F36"/>
    <w:rsid w:val="00412888"/>
    <w:rsid w:val="0041657B"/>
    <w:rsid w:val="00423E42"/>
    <w:rsid w:val="004514D6"/>
    <w:rsid w:val="00452DB4"/>
    <w:rsid w:val="0046237B"/>
    <w:rsid w:val="00463E4B"/>
    <w:rsid w:val="0047316E"/>
    <w:rsid w:val="004826BE"/>
    <w:rsid w:val="0048758C"/>
    <w:rsid w:val="00487F62"/>
    <w:rsid w:val="00493027"/>
    <w:rsid w:val="0049589F"/>
    <w:rsid w:val="004A2A50"/>
    <w:rsid w:val="004B56BB"/>
    <w:rsid w:val="004C07A6"/>
    <w:rsid w:val="004F1C1C"/>
    <w:rsid w:val="00522FEA"/>
    <w:rsid w:val="00532186"/>
    <w:rsid w:val="00541C31"/>
    <w:rsid w:val="00561ABB"/>
    <w:rsid w:val="00570926"/>
    <w:rsid w:val="005718E7"/>
    <w:rsid w:val="005743C0"/>
    <w:rsid w:val="005A6020"/>
    <w:rsid w:val="005A627A"/>
    <w:rsid w:val="005B0370"/>
    <w:rsid w:val="005B588B"/>
    <w:rsid w:val="005B6DF3"/>
    <w:rsid w:val="005C1241"/>
    <w:rsid w:val="005D5653"/>
    <w:rsid w:val="005F21D5"/>
    <w:rsid w:val="00605980"/>
    <w:rsid w:val="00606A78"/>
    <w:rsid w:val="00606EDE"/>
    <w:rsid w:val="006106EA"/>
    <w:rsid w:val="00625432"/>
    <w:rsid w:val="00640206"/>
    <w:rsid w:val="0064252F"/>
    <w:rsid w:val="006478F5"/>
    <w:rsid w:val="006479D1"/>
    <w:rsid w:val="00647C44"/>
    <w:rsid w:val="00652862"/>
    <w:rsid w:val="00661E74"/>
    <w:rsid w:val="00662544"/>
    <w:rsid w:val="0066738B"/>
    <w:rsid w:val="0066758C"/>
    <w:rsid w:val="00667A1E"/>
    <w:rsid w:val="00672BC9"/>
    <w:rsid w:val="00677B5D"/>
    <w:rsid w:val="00680C01"/>
    <w:rsid w:val="0069685F"/>
    <w:rsid w:val="00696F64"/>
    <w:rsid w:val="00697614"/>
    <w:rsid w:val="00697FBB"/>
    <w:rsid w:val="006A0BA5"/>
    <w:rsid w:val="006A4EC0"/>
    <w:rsid w:val="006A6B38"/>
    <w:rsid w:val="006A7101"/>
    <w:rsid w:val="006B6312"/>
    <w:rsid w:val="006C2851"/>
    <w:rsid w:val="006C3F2D"/>
    <w:rsid w:val="006C7C72"/>
    <w:rsid w:val="006E124F"/>
    <w:rsid w:val="006E791E"/>
    <w:rsid w:val="006F58A5"/>
    <w:rsid w:val="00702AEC"/>
    <w:rsid w:val="00710BCB"/>
    <w:rsid w:val="00711FEA"/>
    <w:rsid w:val="00713C16"/>
    <w:rsid w:val="00720BD4"/>
    <w:rsid w:val="0073114A"/>
    <w:rsid w:val="0073141B"/>
    <w:rsid w:val="0074161A"/>
    <w:rsid w:val="007423B1"/>
    <w:rsid w:val="00743CD3"/>
    <w:rsid w:val="007536B1"/>
    <w:rsid w:val="00763BD6"/>
    <w:rsid w:val="00775513"/>
    <w:rsid w:val="007757CE"/>
    <w:rsid w:val="00780FEA"/>
    <w:rsid w:val="00781806"/>
    <w:rsid w:val="00781D04"/>
    <w:rsid w:val="00782724"/>
    <w:rsid w:val="00787542"/>
    <w:rsid w:val="00790BC6"/>
    <w:rsid w:val="007975E1"/>
    <w:rsid w:val="007A2EBC"/>
    <w:rsid w:val="007D432A"/>
    <w:rsid w:val="007D5615"/>
    <w:rsid w:val="007D634F"/>
    <w:rsid w:val="007E03D4"/>
    <w:rsid w:val="007E101C"/>
    <w:rsid w:val="007E3BFC"/>
    <w:rsid w:val="007F071C"/>
    <w:rsid w:val="007F2B04"/>
    <w:rsid w:val="00800D1C"/>
    <w:rsid w:val="00805044"/>
    <w:rsid w:val="00815828"/>
    <w:rsid w:val="0082722B"/>
    <w:rsid w:val="00835AD6"/>
    <w:rsid w:val="00847A2F"/>
    <w:rsid w:val="00873170"/>
    <w:rsid w:val="0087564C"/>
    <w:rsid w:val="008812AA"/>
    <w:rsid w:val="00883746"/>
    <w:rsid w:val="008A158E"/>
    <w:rsid w:val="008A20EE"/>
    <w:rsid w:val="008A54CF"/>
    <w:rsid w:val="008B1076"/>
    <w:rsid w:val="008C0295"/>
    <w:rsid w:val="008C1A6F"/>
    <w:rsid w:val="008C7AD8"/>
    <w:rsid w:val="008D1028"/>
    <w:rsid w:val="008D6CE8"/>
    <w:rsid w:val="008E76C2"/>
    <w:rsid w:val="008E7C08"/>
    <w:rsid w:val="00912A79"/>
    <w:rsid w:val="009135B4"/>
    <w:rsid w:val="00920952"/>
    <w:rsid w:val="00920D1F"/>
    <w:rsid w:val="00920FF8"/>
    <w:rsid w:val="00932747"/>
    <w:rsid w:val="0093389D"/>
    <w:rsid w:val="00953353"/>
    <w:rsid w:val="0095346B"/>
    <w:rsid w:val="009550A0"/>
    <w:rsid w:val="00955CA6"/>
    <w:rsid w:val="009572D0"/>
    <w:rsid w:val="009650E0"/>
    <w:rsid w:val="0096583B"/>
    <w:rsid w:val="009740C5"/>
    <w:rsid w:val="00981809"/>
    <w:rsid w:val="00983BD8"/>
    <w:rsid w:val="00986A44"/>
    <w:rsid w:val="009964DC"/>
    <w:rsid w:val="00997EBB"/>
    <w:rsid w:val="009A45FC"/>
    <w:rsid w:val="009A621D"/>
    <w:rsid w:val="009B5A9D"/>
    <w:rsid w:val="009B69D5"/>
    <w:rsid w:val="009B70DE"/>
    <w:rsid w:val="009C58EE"/>
    <w:rsid w:val="009D04AA"/>
    <w:rsid w:val="009E1C1E"/>
    <w:rsid w:val="009E21FD"/>
    <w:rsid w:val="009F5FE0"/>
    <w:rsid w:val="00A21FBE"/>
    <w:rsid w:val="00A235C3"/>
    <w:rsid w:val="00A26090"/>
    <w:rsid w:val="00A27743"/>
    <w:rsid w:val="00A37607"/>
    <w:rsid w:val="00A4712B"/>
    <w:rsid w:val="00A55B11"/>
    <w:rsid w:val="00A61320"/>
    <w:rsid w:val="00A61FBE"/>
    <w:rsid w:val="00A672FE"/>
    <w:rsid w:val="00A75D5A"/>
    <w:rsid w:val="00A826AC"/>
    <w:rsid w:val="00A82724"/>
    <w:rsid w:val="00A83372"/>
    <w:rsid w:val="00A83F1C"/>
    <w:rsid w:val="00AB0028"/>
    <w:rsid w:val="00AB10C9"/>
    <w:rsid w:val="00AB479A"/>
    <w:rsid w:val="00AB5F6E"/>
    <w:rsid w:val="00AB76A9"/>
    <w:rsid w:val="00AE4546"/>
    <w:rsid w:val="00AE4725"/>
    <w:rsid w:val="00AE492B"/>
    <w:rsid w:val="00AE691D"/>
    <w:rsid w:val="00AF12A4"/>
    <w:rsid w:val="00AF3A81"/>
    <w:rsid w:val="00B119AA"/>
    <w:rsid w:val="00B15230"/>
    <w:rsid w:val="00B1738C"/>
    <w:rsid w:val="00B23190"/>
    <w:rsid w:val="00B24598"/>
    <w:rsid w:val="00B3044D"/>
    <w:rsid w:val="00B32ABD"/>
    <w:rsid w:val="00B4586B"/>
    <w:rsid w:val="00B47E4D"/>
    <w:rsid w:val="00B53956"/>
    <w:rsid w:val="00B60B9A"/>
    <w:rsid w:val="00B643EF"/>
    <w:rsid w:val="00B64F8E"/>
    <w:rsid w:val="00B70351"/>
    <w:rsid w:val="00B807CF"/>
    <w:rsid w:val="00B84C14"/>
    <w:rsid w:val="00B96E8F"/>
    <w:rsid w:val="00BA48EE"/>
    <w:rsid w:val="00BA76FD"/>
    <w:rsid w:val="00BA7B4F"/>
    <w:rsid w:val="00BA7E22"/>
    <w:rsid w:val="00BB397F"/>
    <w:rsid w:val="00BD2D38"/>
    <w:rsid w:val="00BD3F92"/>
    <w:rsid w:val="00BD5EF7"/>
    <w:rsid w:val="00BD7FEC"/>
    <w:rsid w:val="00BE13D3"/>
    <w:rsid w:val="00BE3166"/>
    <w:rsid w:val="00BE3910"/>
    <w:rsid w:val="00BF4502"/>
    <w:rsid w:val="00C004BD"/>
    <w:rsid w:val="00C03A89"/>
    <w:rsid w:val="00C044E6"/>
    <w:rsid w:val="00C123D3"/>
    <w:rsid w:val="00C13869"/>
    <w:rsid w:val="00C15179"/>
    <w:rsid w:val="00C155D6"/>
    <w:rsid w:val="00C17B39"/>
    <w:rsid w:val="00C23589"/>
    <w:rsid w:val="00C3164A"/>
    <w:rsid w:val="00C33E4F"/>
    <w:rsid w:val="00C43BC0"/>
    <w:rsid w:val="00C55E4C"/>
    <w:rsid w:val="00C614DB"/>
    <w:rsid w:val="00C77B65"/>
    <w:rsid w:val="00C8179C"/>
    <w:rsid w:val="00C838D5"/>
    <w:rsid w:val="00C90568"/>
    <w:rsid w:val="00C9453B"/>
    <w:rsid w:val="00CA3007"/>
    <w:rsid w:val="00CB06EC"/>
    <w:rsid w:val="00CB3F9F"/>
    <w:rsid w:val="00CB4CF4"/>
    <w:rsid w:val="00CB5232"/>
    <w:rsid w:val="00CC5178"/>
    <w:rsid w:val="00CD0169"/>
    <w:rsid w:val="00CF4FD2"/>
    <w:rsid w:val="00D04783"/>
    <w:rsid w:val="00D16F6A"/>
    <w:rsid w:val="00D22B0C"/>
    <w:rsid w:val="00D35BFE"/>
    <w:rsid w:val="00D36DD9"/>
    <w:rsid w:val="00D37819"/>
    <w:rsid w:val="00D41CDC"/>
    <w:rsid w:val="00D54239"/>
    <w:rsid w:val="00D55711"/>
    <w:rsid w:val="00D567BE"/>
    <w:rsid w:val="00D61C57"/>
    <w:rsid w:val="00D62375"/>
    <w:rsid w:val="00D77861"/>
    <w:rsid w:val="00D838C7"/>
    <w:rsid w:val="00D869B3"/>
    <w:rsid w:val="00D97370"/>
    <w:rsid w:val="00DA5AE1"/>
    <w:rsid w:val="00DB0361"/>
    <w:rsid w:val="00DB64D2"/>
    <w:rsid w:val="00DB6B40"/>
    <w:rsid w:val="00DC0BFC"/>
    <w:rsid w:val="00DC2A6A"/>
    <w:rsid w:val="00DD37FF"/>
    <w:rsid w:val="00DE7C59"/>
    <w:rsid w:val="00DF1DC5"/>
    <w:rsid w:val="00DF4EE7"/>
    <w:rsid w:val="00E0338B"/>
    <w:rsid w:val="00E033F8"/>
    <w:rsid w:val="00E16B3F"/>
    <w:rsid w:val="00E23A41"/>
    <w:rsid w:val="00E40A7D"/>
    <w:rsid w:val="00E42B9E"/>
    <w:rsid w:val="00E45007"/>
    <w:rsid w:val="00E46484"/>
    <w:rsid w:val="00E625EA"/>
    <w:rsid w:val="00E65202"/>
    <w:rsid w:val="00E70D2F"/>
    <w:rsid w:val="00E734A7"/>
    <w:rsid w:val="00E828C4"/>
    <w:rsid w:val="00E90533"/>
    <w:rsid w:val="00EA0948"/>
    <w:rsid w:val="00EA2F3A"/>
    <w:rsid w:val="00EA5A06"/>
    <w:rsid w:val="00EA75F1"/>
    <w:rsid w:val="00EA7A02"/>
    <w:rsid w:val="00EB299F"/>
    <w:rsid w:val="00EB3703"/>
    <w:rsid w:val="00EC2BE0"/>
    <w:rsid w:val="00ED454C"/>
    <w:rsid w:val="00EE0FC3"/>
    <w:rsid w:val="00EF33A2"/>
    <w:rsid w:val="00EF40C5"/>
    <w:rsid w:val="00EF4F16"/>
    <w:rsid w:val="00F05F49"/>
    <w:rsid w:val="00F1210F"/>
    <w:rsid w:val="00F13BF4"/>
    <w:rsid w:val="00F15BD6"/>
    <w:rsid w:val="00F23257"/>
    <w:rsid w:val="00F40296"/>
    <w:rsid w:val="00F4149A"/>
    <w:rsid w:val="00F46812"/>
    <w:rsid w:val="00F778B0"/>
    <w:rsid w:val="00F90762"/>
    <w:rsid w:val="00F911E8"/>
    <w:rsid w:val="00F93C29"/>
    <w:rsid w:val="00F9733F"/>
    <w:rsid w:val="00FA5EF3"/>
    <w:rsid w:val="00FA6537"/>
    <w:rsid w:val="00FB1ED1"/>
    <w:rsid w:val="00FB1FF8"/>
    <w:rsid w:val="00FB2872"/>
    <w:rsid w:val="00FD6233"/>
    <w:rsid w:val="00FF5A45"/>
    <w:rsid w:val="01013C8A"/>
    <w:rsid w:val="036D3B9D"/>
    <w:rsid w:val="05BB24F7"/>
    <w:rsid w:val="08D87DBE"/>
    <w:rsid w:val="0AB63668"/>
    <w:rsid w:val="116C5222"/>
    <w:rsid w:val="12FF498A"/>
    <w:rsid w:val="258B27FF"/>
    <w:rsid w:val="2B6B519F"/>
    <w:rsid w:val="2DB441AC"/>
    <w:rsid w:val="34BC3FEF"/>
    <w:rsid w:val="41CD50B0"/>
    <w:rsid w:val="49165EAB"/>
    <w:rsid w:val="4B3D4427"/>
    <w:rsid w:val="6EB84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4"/>
    <w:autoRedefine/>
    <w:qFormat/>
    <w:uiPriority w:val="9"/>
    <w:pPr>
      <w:keepNext/>
      <w:keepLines/>
      <w:spacing w:before="340" w:after="330" w:line="578" w:lineRule="auto"/>
      <w:jc w:val="left"/>
      <w:outlineLvl w:val="0"/>
    </w:pPr>
    <w:rPr>
      <w:rFonts w:eastAsia="Times New Roman"/>
      <w:b/>
      <w:bCs/>
      <w:kern w:val="44"/>
      <w:sz w:val="24"/>
      <w:szCs w:val="24"/>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3"/>
    <w:autoRedefine/>
    <w:unhideWhenUsed/>
    <w:qFormat/>
    <w:uiPriority w:val="99"/>
    <w:pPr>
      <w:tabs>
        <w:tab w:val="center" w:pos="4153"/>
        <w:tab w:val="right" w:pos="8306"/>
      </w:tabs>
      <w:snapToGrid w:val="0"/>
    </w:pPr>
    <w:rPr>
      <w:sz w:val="18"/>
      <w:szCs w:val="18"/>
    </w:rPr>
  </w:style>
  <w:style w:type="paragraph" w:styleId="4">
    <w:name w:val="header"/>
    <w:basedOn w:val="1"/>
    <w:link w:val="12"/>
    <w:autoRedefine/>
    <w:unhideWhenUsed/>
    <w:qFormat/>
    <w:uiPriority w:val="99"/>
    <w:pPr>
      <w:tabs>
        <w:tab w:val="center" w:pos="4153"/>
        <w:tab w:val="right" w:pos="8306"/>
      </w:tabs>
      <w:snapToGrid w:val="0"/>
    </w:pPr>
    <w:rPr>
      <w:sz w:val="18"/>
      <w:szCs w:val="18"/>
    </w:rPr>
  </w:style>
  <w:style w:type="paragraph" w:styleId="5">
    <w:name w:val="Normal (Web)"/>
    <w:basedOn w:val="1"/>
    <w:autoRedefine/>
    <w:unhideWhenUsed/>
    <w:qFormat/>
    <w:uiPriority w:val="99"/>
    <w:pPr>
      <w:spacing w:before="100" w:beforeAutospacing="1" w:after="100" w:afterAutospacing="1"/>
      <w:jc w:val="left"/>
    </w:pPr>
    <w:rPr>
      <w:kern w:val="0"/>
      <w:sz w:val="24"/>
      <w:szCs w:val="24"/>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20"/>
    <w:rPr>
      <w:i/>
    </w:rPr>
  </w:style>
  <w:style w:type="character" w:styleId="10">
    <w:name w:val="Hyperlink"/>
    <w:basedOn w:val="8"/>
    <w:autoRedefine/>
    <w:unhideWhenUsed/>
    <w:qFormat/>
    <w:uiPriority w:val="99"/>
    <w:rPr>
      <w:color w:val="0563C1"/>
      <w:u w:val="single"/>
    </w:rPr>
  </w:style>
  <w:style w:type="paragraph" w:styleId="11">
    <w:name w:val="List Paragraph"/>
    <w:basedOn w:val="1"/>
    <w:autoRedefine/>
    <w:qFormat/>
    <w:uiPriority w:val="34"/>
  </w:style>
  <w:style w:type="character" w:customStyle="1" w:styleId="12">
    <w:name w:val="页眉 字符"/>
    <w:basedOn w:val="8"/>
    <w:link w:val="4"/>
    <w:autoRedefine/>
    <w:qFormat/>
    <w:uiPriority w:val="99"/>
    <w:rPr>
      <w:sz w:val="18"/>
      <w:szCs w:val="18"/>
    </w:rPr>
  </w:style>
  <w:style w:type="character" w:customStyle="1" w:styleId="13">
    <w:name w:val="页脚 字符"/>
    <w:basedOn w:val="8"/>
    <w:link w:val="3"/>
    <w:autoRedefine/>
    <w:qFormat/>
    <w:uiPriority w:val="99"/>
    <w:rPr>
      <w:sz w:val="18"/>
      <w:szCs w:val="18"/>
    </w:rPr>
  </w:style>
  <w:style w:type="character" w:customStyle="1" w:styleId="14">
    <w:name w:val="标题 1 字符"/>
    <w:basedOn w:val="8"/>
    <w:link w:val="2"/>
    <w:autoRedefine/>
    <w:qFormat/>
    <w:uiPriority w:val="9"/>
    <w:rPr>
      <w:rFonts w:eastAsia="Times New Roman"/>
      <w:b/>
      <w:bCs/>
      <w:kern w:val="44"/>
      <w:sz w:val="24"/>
      <w:szCs w:val="24"/>
    </w:rPr>
  </w:style>
  <w:style w:type="table" w:customStyle="1" w:styleId="15">
    <w:name w:val="网格表 4 - 着色 31"/>
    <w:basedOn w:val="6"/>
    <w:autoRedefine/>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16">
    <w:name w:val="清单表 2 - 着色 31"/>
    <w:basedOn w:val="6"/>
    <w:autoRedefine/>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paragraph" w:customStyle="1" w:styleId="17">
    <w:name w:val="修订1"/>
    <w:autoRedefine/>
    <w:hidden/>
    <w:unhideWhenUsed/>
    <w:qFormat/>
    <w:uiPriority w:val="99"/>
    <w:rPr>
      <w:rFonts w:ascii="宋体" w:hAnsi="宋体" w:eastAsia="宋体" w:cstheme="minorBidi"/>
      <w:kern w:val="2"/>
      <w:sz w:val="21"/>
      <w:szCs w:val="22"/>
      <w:lang w:val="en-US" w:eastAsia="zh-CN" w:bidi="ar-SA"/>
    </w:rPr>
  </w:style>
  <w:style w:type="paragraph" w:customStyle="1" w:styleId="18">
    <w:name w:val="修订2"/>
    <w:hidden/>
    <w:unhideWhenUsed/>
    <w:qFormat/>
    <w:uiPriority w:val="99"/>
    <w:rPr>
      <w:rFonts w:ascii="宋体" w:hAnsi="宋体" w:eastAsia="宋体" w:cstheme="minorBidi"/>
      <w:kern w:val="2"/>
      <w:sz w:val="21"/>
      <w:szCs w:val="22"/>
      <w:lang w:val="en-US" w:eastAsia="zh-CN" w:bidi="ar-SA"/>
    </w:rPr>
  </w:style>
  <w:style w:type="paragraph" w:customStyle="1" w:styleId="19">
    <w:name w:val="修订3"/>
    <w:hidden/>
    <w:unhideWhenUsed/>
    <w:uiPriority w:val="99"/>
    <w:rPr>
      <w:rFonts w:ascii="宋体" w:hAnsi="宋体" w:eastAsia="宋体" w:cstheme="minorBidi"/>
      <w:kern w:val="2"/>
      <w:sz w:val="21"/>
      <w:szCs w:val="22"/>
      <w:lang w:val="en-US" w:eastAsia="zh-CN" w:bidi="ar-SA"/>
    </w:rPr>
  </w:style>
  <w:style w:type="paragraph" w:customStyle="1" w:styleId="20">
    <w:name w:val="Revision"/>
    <w:hidden/>
    <w:unhideWhenUsed/>
    <w:uiPriority w:val="99"/>
    <w:rPr>
      <w:rFonts w:ascii="Times New Roman" w:hAnsi="Times New Roman" w:eastAsia="宋体" w:cs="Times New Roman"/>
      <w:kern w:val="2"/>
      <w:sz w:val="21"/>
      <w:szCs w:val="22"/>
      <w:lang w:val="en-US" w:eastAsia="zh-CN" w:bidi="ar-SA"/>
    </w:rPr>
  </w:style>
  <w:style w:type="character" w:customStyle="1" w:styleId="21">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4.emf"/><Relationship Id="rId2" Type="http://schemas.openxmlformats.org/officeDocument/2006/relationships/settings" Target="settings.xml"/><Relationship Id="rId19" Type="http://schemas.openxmlformats.org/officeDocument/2006/relationships/image" Target="media/image13.emf"/><Relationship Id="rId18" Type="http://schemas.openxmlformats.org/officeDocument/2006/relationships/image" Target="media/image12.png"/><Relationship Id="rId17" Type="http://schemas.openxmlformats.org/officeDocument/2006/relationships/image" Target="media/image11.emf"/><Relationship Id="rId16" Type="http://schemas.openxmlformats.org/officeDocument/2006/relationships/image" Target="media/image10.emf"/><Relationship Id="rId15" Type="http://schemas.openxmlformats.org/officeDocument/2006/relationships/image" Target="media/image9.png"/><Relationship Id="rId14" Type="http://schemas.openxmlformats.org/officeDocument/2006/relationships/image" Target="media/image8.emf"/><Relationship Id="rId13" Type="http://schemas.openxmlformats.org/officeDocument/2006/relationships/image" Target="media/image7.emf"/><Relationship Id="rId12" Type="http://schemas.openxmlformats.org/officeDocument/2006/relationships/image" Target="media/image6.emf"/><Relationship Id="rId11" Type="http://schemas.openxmlformats.org/officeDocument/2006/relationships/image" Target="media/image5.emf"/><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C30B8-321D-439B-A363-2072EB4BBF19}">
  <ds:schemaRefs/>
</ds:datastoreItem>
</file>

<file path=docProps/app.xml><?xml version="1.0" encoding="utf-8"?>
<Properties xmlns="http://schemas.openxmlformats.org/officeDocument/2006/extended-properties" xmlns:vt="http://schemas.openxmlformats.org/officeDocument/2006/docPropsVTypes">
  <Template>Normal.dotm</Template>
  <Pages>31</Pages>
  <Words>4229</Words>
  <Characters>24829</Characters>
  <Lines>383</Lines>
  <Paragraphs>108</Paragraphs>
  <TotalTime>25</TotalTime>
  <ScaleCrop>false</ScaleCrop>
  <LinksUpToDate>false</LinksUpToDate>
  <CharactersWithSpaces>28358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2024-08-02T15:29:00Z</dcterms:created>
  <dc:creator>li chengyao</dc:creator>
  <cp:lastModifiedBy>maizi</cp:lastModifiedBy>
  <dcterms:modified xsi:type="dcterms:W3CDTF">2024-08-04T13:02:20Z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6EC942F160A84637B762473D27C295F9_13</vt:lpwstr>
  </property>
</Properties>
</file>