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A6620" w:rsidRPr="0074307B" w:rsidRDefault="001A6620" w:rsidP="001A6620">
      <w:pPr>
        <w:spacing w:line="360" w:lineRule="auto"/>
        <w:rPr>
          <w:rFonts w:ascii="Times New Roman" w:eastAsia="仿宋" w:hAnsi="Times New Roman" w:cs="Times New Roman"/>
          <w:sz w:val="24"/>
        </w:rPr>
      </w:pPr>
      <w:r w:rsidRPr="0074307B">
        <w:rPr>
          <w:rFonts w:ascii="Times New Roman" w:eastAsia="仿宋" w:hAnsi="Times New Roman" w:cs="Times New Roman"/>
          <w:sz w:val="24"/>
        </w:rPr>
        <w:t>Table 1. GLS2 expression and its correlation with pathological response rate</w:t>
      </w:r>
      <w:r>
        <w:rPr>
          <w:rFonts w:ascii="Times New Roman" w:eastAsia="仿宋" w:hAnsi="Times New Roman" w:cs="Times New Roman" w:hint="eastAsia"/>
          <w:sz w:val="24"/>
        </w:rPr>
        <w:t xml:space="preserve"> (</w:t>
      </w:r>
      <w:proofErr w:type="spellStart"/>
      <w:r>
        <w:rPr>
          <w:rFonts w:ascii="Times New Roman" w:eastAsia="仿宋" w:hAnsi="Times New Roman" w:cs="Times New Roman" w:hint="eastAsia"/>
          <w:sz w:val="24"/>
        </w:rPr>
        <w:t>pCR</w:t>
      </w:r>
      <w:proofErr w:type="spellEnd"/>
      <w:r>
        <w:rPr>
          <w:rFonts w:ascii="Times New Roman" w:eastAsia="仿宋" w:hAnsi="Times New Roman" w:cs="Times New Roman" w:hint="eastAsia"/>
          <w:sz w:val="24"/>
        </w:rPr>
        <w:t>)</w:t>
      </w:r>
      <w:r w:rsidRPr="0074307B">
        <w:rPr>
          <w:rFonts w:ascii="Times New Roman" w:eastAsia="仿宋" w:hAnsi="Times New Roman" w:cs="Times New Roman"/>
          <w:sz w:val="24"/>
        </w:rPr>
        <w:t>.</w:t>
      </w:r>
    </w:p>
    <w:tbl>
      <w:tblPr>
        <w:tblStyle w:val="ae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1A6620" w:rsidRPr="0074307B" w:rsidTr="00A266EA">
        <w:tc>
          <w:tcPr>
            <w:tcW w:w="2074" w:type="dxa"/>
            <w:tcBorders>
              <w:bottom w:val="nil"/>
            </w:tcBorders>
          </w:tcPr>
          <w:p w:rsidR="001A6620" w:rsidRPr="0074307B" w:rsidRDefault="001A6620" w:rsidP="00A266EA">
            <w:pPr>
              <w:spacing w:line="360" w:lineRule="auto"/>
              <w:rPr>
                <w:rFonts w:ascii="Times New Roman" w:eastAsia="仿宋" w:hAnsi="Times New Roman" w:cs="Times New Roman"/>
                <w:sz w:val="24"/>
              </w:rPr>
            </w:pPr>
            <w:bookmarkStart w:id="0" w:name="_Hlk157244243"/>
          </w:p>
        </w:tc>
        <w:tc>
          <w:tcPr>
            <w:tcW w:w="414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A6620" w:rsidRPr="0074307B" w:rsidRDefault="001A6620" w:rsidP="00A266EA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74307B">
              <w:rPr>
                <w:rFonts w:ascii="Times New Roman" w:eastAsia="仿宋" w:hAnsi="Times New Roman" w:cs="Times New Roman"/>
                <w:sz w:val="24"/>
              </w:rPr>
              <w:t>GLS2 expression (N, %)</w:t>
            </w:r>
          </w:p>
        </w:tc>
        <w:tc>
          <w:tcPr>
            <w:tcW w:w="2074" w:type="dxa"/>
            <w:vMerge w:val="restart"/>
            <w:vAlign w:val="center"/>
          </w:tcPr>
          <w:p w:rsidR="001A6620" w:rsidRPr="0074307B" w:rsidRDefault="001A6620" w:rsidP="00A266EA">
            <w:pPr>
              <w:spacing w:line="360" w:lineRule="auto"/>
              <w:rPr>
                <w:rFonts w:ascii="Times New Roman" w:eastAsia="仿宋" w:hAnsi="Times New Roman" w:cs="Times New Roman"/>
                <w:sz w:val="24"/>
              </w:rPr>
            </w:pPr>
            <w:r w:rsidRPr="0074307B">
              <w:rPr>
                <w:rFonts w:ascii="Times New Roman" w:eastAsia="仿宋" w:hAnsi="Times New Roman" w:cs="Times New Roman"/>
                <w:i/>
                <w:iCs/>
                <w:sz w:val="24"/>
              </w:rPr>
              <w:t xml:space="preserve">p </w:t>
            </w:r>
            <w:r w:rsidRPr="0074307B">
              <w:rPr>
                <w:rFonts w:ascii="Times New Roman" w:eastAsia="仿宋" w:hAnsi="Times New Roman" w:cs="Times New Roman"/>
                <w:sz w:val="24"/>
              </w:rPr>
              <w:t>value</w:t>
            </w:r>
          </w:p>
        </w:tc>
      </w:tr>
      <w:bookmarkEnd w:id="0"/>
      <w:tr w:rsidR="001A6620" w:rsidRPr="0074307B" w:rsidTr="00A266EA">
        <w:tc>
          <w:tcPr>
            <w:tcW w:w="2074" w:type="dxa"/>
            <w:tcBorders>
              <w:top w:val="nil"/>
              <w:bottom w:val="single" w:sz="4" w:space="0" w:color="auto"/>
            </w:tcBorders>
          </w:tcPr>
          <w:p w:rsidR="001A6620" w:rsidRPr="0074307B" w:rsidRDefault="001A6620" w:rsidP="00A266EA">
            <w:pPr>
              <w:spacing w:line="360" w:lineRule="auto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20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A6620" w:rsidRPr="0074307B" w:rsidRDefault="001A6620" w:rsidP="00A266EA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74307B">
              <w:rPr>
                <w:rFonts w:ascii="Times New Roman" w:eastAsia="仿宋" w:hAnsi="Times New Roman" w:cs="Times New Roman"/>
                <w:sz w:val="24"/>
              </w:rPr>
              <w:t>High</w:t>
            </w:r>
          </w:p>
        </w:tc>
        <w:tc>
          <w:tcPr>
            <w:tcW w:w="20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A6620" w:rsidRPr="0074307B" w:rsidRDefault="001A6620" w:rsidP="00A266EA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74307B">
              <w:rPr>
                <w:rFonts w:ascii="Times New Roman" w:eastAsia="仿宋" w:hAnsi="Times New Roman" w:cs="Times New Roman"/>
                <w:sz w:val="24"/>
              </w:rPr>
              <w:t>Low</w:t>
            </w:r>
          </w:p>
        </w:tc>
        <w:tc>
          <w:tcPr>
            <w:tcW w:w="2074" w:type="dxa"/>
            <w:vMerge/>
            <w:tcBorders>
              <w:bottom w:val="single" w:sz="4" w:space="0" w:color="auto"/>
            </w:tcBorders>
          </w:tcPr>
          <w:p w:rsidR="001A6620" w:rsidRPr="0074307B" w:rsidRDefault="001A6620" w:rsidP="00A266EA">
            <w:pPr>
              <w:spacing w:line="360" w:lineRule="auto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1A6620" w:rsidRPr="0074307B" w:rsidTr="00A266EA">
        <w:tc>
          <w:tcPr>
            <w:tcW w:w="2074" w:type="dxa"/>
            <w:tcBorders>
              <w:top w:val="single" w:sz="4" w:space="0" w:color="auto"/>
            </w:tcBorders>
          </w:tcPr>
          <w:p w:rsidR="001A6620" w:rsidRPr="0074307B" w:rsidRDefault="001A6620" w:rsidP="00A266EA">
            <w:pPr>
              <w:spacing w:line="360" w:lineRule="auto"/>
              <w:rPr>
                <w:rFonts w:ascii="Times New Roman" w:eastAsia="仿宋" w:hAnsi="Times New Roman" w:cs="Times New Roman"/>
                <w:sz w:val="24"/>
              </w:rPr>
            </w:pPr>
            <w:bookmarkStart w:id="1" w:name="OLE_LINK316"/>
            <w:bookmarkStart w:id="2" w:name="OLE_LINK317"/>
            <w:proofErr w:type="spellStart"/>
            <w:r w:rsidRPr="0074307B">
              <w:rPr>
                <w:rFonts w:ascii="Times New Roman" w:eastAsia="仿宋" w:hAnsi="Times New Roman" w:cs="Times New Roman"/>
                <w:sz w:val="24"/>
              </w:rPr>
              <w:t>pCR</w:t>
            </w:r>
            <w:proofErr w:type="spellEnd"/>
          </w:p>
        </w:tc>
        <w:tc>
          <w:tcPr>
            <w:tcW w:w="2074" w:type="dxa"/>
            <w:tcBorders>
              <w:top w:val="single" w:sz="4" w:space="0" w:color="auto"/>
            </w:tcBorders>
            <w:vAlign w:val="center"/>
          </w:tcPr>
          <w:p w:rsidR="001A6620" w:rsidRPr="0074307B" w:rsidRDefault="001A6620" w:rsidP="00A266EA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74307B">
              <w:rPr>
                <w:rFonts w:ascii="Times New Roman" w:eastAsia="仿宋" w:hAnsi="Times New Roman" w:cs="Times New Roman"/>
                <w:sz w:val="24"/>
              </w:rPr>
              <w:t>17 (43.6)</w:t>
            </w:r>
          </w:p>
        </w:tc>
        <w:tc>
          <w:tcPr>
            <w:tcW w:w="2074" w:type="dxa"/>
            <w:tcBorders>
              <w:top w:val="single" w:sz="4" w:space="0" w:color="auto"/>
            </w:tcBorders>
            <w:vAlign w:val="center"/>
          </w:tcPr>
          <w:p w:rsidR="001A6620" w:rsidRPr="0074307B" w:rsidRDefault="001A6620" w:rsidP="00A266EA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74307B">
              <w:rPr>
                <w:rFonts w:ascii="Times New Roman" w:eastAsia="仿宋" w:hAnsi="Times New Roman" w:cs="Times New Roman"/>
                <w:sz w:val="24"/>
              </w:rPr>
              <w:t>12 (85.7)</w:t>
            </w:r>
          </w:p>
        </w:tc>
        <w:tc>
          <w:tcPr>
            <w:tcW w:w="2074" w:type="dxa"/>
            <w:vMerge w:val="restart"/>
            <w:tcBorders>
              <w:top w:val="single" w:sz="4" w:space="0" w:color="auto"/>
            </w:tcBorders>
            <w:vAlign w:val="center"/>
          </w:tcPr>
          <w:p w:rsidR="001A6620" w:rsidRPr="0074307B" w:rsidRDefault="001A6620" w:rsidP="00A266EA">
            <w:pPr>
              <w:spacing w:line="360" w:lineRule="auto"/>
              <w:rPr>
                <w:rFonts w:ascii="Times New Roman" w:eastAsia="仿宋" w:hAnsi="Times New Roman" w:cs="Times New Roman"/>
                <w:sz w:val="24"/>
              </w:rPr>
            </w:pPr>
            <w:r w:rsidRPr="0074307B">
              <w:rPr>
                <w:rFonts w:ascii="Times New Roman" w:eastAsia="仿宋" w:hAnsi="Times New Roman" w:cs="Times New Roman"/>
                <w:sz w:val="24"/>
              </w:rPr>
              <w:t>0.01</w:t>
            </w:r>
          </w:p>
        </w:tc>
      </w:tr>
      <w:tr w:rsidR="001A6620" w:rsidRPr="0074307B" w:rsidTr="00A266EA">
        <w:tc>
          <w:tcPr>
            <w:tcW w:w="2074" w:type="dxa"/>
          </w:tcPr>
          <w:p w:rsidR="001A6620" w:rsidRPr="0074307B" w:rsidRDefault="001A6620" w:rsidP="00A266EA">
            <w:pPr>
              <w:spacing w:line="360" w:lineRule="auto"/>
              <w:rPr>
                <w:rFonts w:ascii="Times New Roman" w:eastAsia="仿宋" w:hAnsi="Times New Roman" w:cs="Times New Roman"/>
                <w:sz w:val="24"/>
              </w:rPr>
            </w:pPr>
            <w:r w:rsidRPr="0074307B">
              <w:rPr>
                <w:rFonts w:ascii="Times New Roman" w:eastAsia="仿宋" w:hAnsi="Times New Roman" w:cs="Times New Roman"/>
                <w:sz w:val="24"/>
              </w:rPr>
              <w:t>Non-</w:t>
            </w:r>
            <w:proofErr w:type="spellStart"/>
            <w:r w:rsidRPr="0074307B">
              <w:rPr>
                <w:rFonts w:ascii="Times New Roman" w:eastAsia="仿宋" w:hAnsi="Times New Roman" w:cs="Times New Roman"/>
                <w:sz w:val="24"/>
              </w:rPr>
              <w:t>pCR</w:t>
            </w:r>
            <w:proofErr w:type="spellEnd"/>
          </w:p>
        </w:tc>
        <w:tc>
          <w:tcPr>
            <w:tcW w:w="2074" w:type="dxa"/>
            <w:vAlign w:val="center"/>
          </w:tcPr>
          <w:p w:rsidR="001A6620" w:rsidRPr="0074307B" w:rsidRDefault="001A6620" w:rsidP="00A266EA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74307B">
              <w:rPr>
                <w:rFonts w:ascii="Times New Roman" w:eastAsia="仿宋" w:hAnsi="Times New Roman" w:cs="Times New Roman"/>
                <w:sz w:val="24"/>
              </w:rPr>
              <w:t>22 (56.4)</w:t>
            </w:r>
          </w:p>
        </w:tc>
        <w:tc>
          <w:tcPr>
            <w:tcW w:w="2074" w:type="dxa"/>
            <w:vAlign w:val="center"/>
          </w:tcPr>
          <w:p w:rsidR="001A6620" w:rsidRPr="0074307B" w:rsidRDefault="001A6620" w:rsidP="00A266EA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74307B">
              <w:rPr>
                <w:rFonts w:ascii="Times New Roman" w:eastAsia="仿宋" w:hAnsi="Times New Roman" w:cs="Times New Roman"/>
                <w:sz w:val="24"/>
              </w:rPr>
              <w:t>2 (14.3)</w:t>
            </w:r>
          </w:p>
        </w:tc>
        <w:tc>
          <w:tcPr>
            <w:tcW w:w="2074" w:type="dxa"/>
            <w:vMerge/>
          </w:tcPr>
          <w:p w:rsidR="001A6620" w:rsidRPr="0074307B" w:rsidRDefault="001A6620" w:rsidP="00A266EA">
            <w:pPr>
              <w:spacing w:line="360" w:lineRule="auto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bookmarkEnd w:id="1"/>
      <w:bookmarkEnd w:id="2"/>
    </w:tbl>
    <w:p w:rsidR="009B66A2" w:rsidRDefault="009B66A2"/>
    <w:sectPr w:rsidR="009B66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620"/>
    <w:rsid w:val="000406CD"/>
    <w:rsid w:val="00043182"/>
    <w:rsid w:val="000508DD"/>
    <w:rsid w:val="0007369B"/>
    <w:rsid w:val="000A5A93"/>
    <w:rsid w:val="000B5EAC"/>
    <w:rsid w:val="000D558B"/>
    <w:rsid w:val="000D7598"/>
    <w:rsid w:val="0013635A"/>
    <w:rsid w:val="00173FC3"/>
    <w:rsid w:val="001A1C2D"/>
    <w:rsid w:val="001A6620"/>
    <w:rsid w:val="001D5C56"/>
    <w:rsid w:val="002B5ED4"/>
    <w:rsid w:val="002F78B6"/>
    <w:rsid w:val="00306DFE"/>
    <w:rsid w:val="003527AE"/>
    <w:rsid w:val="00391255"/>
    <w:rsid w:val="004303EA"/>
    <w:rsid w:val="00446E21"/>
    <w:rsid w:val="00450E32"/>
    <w:rsid w:val="0047606A"/>
    <w:rsid w:val="004B369E"/>
    <w:rsid w:val="004F7239"/>
    <w:rsid w:val="00513BA3"/>
    <w:rsid w:val="00562FB5"/>
    <w:rsid w:val="00574DE4"/>
    <w:rsid w:val="005C08AB"/>
    <w:rsid w:val="00635350"/>
    <w:rsid w:val="006F5E4D"/>
    <w:rsid w:val="00711C19"/>
    <w:rsid w:val="0076289E"/>
    <w:rsid w:val="0079231B"/>
    <w:rsid w:val="007B4906"/>
    <w:rsid w:val="007F20CC"/>
    <w:rsid w:val="00823D2C"/>
    <w:rsid w:val="008A6CFC"/>
    <w:rsid w:val="008E1361"/>
    <w:rsid w:val="008E7647"/>
    <w:rsid w:val="00920E14"/>
    <w:rsid w:val="009A5EB2"/>
    <w:rsid w:val="009B66A2"/>
    <w:rsid w:val="009F2C54"/>
    <w:rsid w:val="00A16513"/>
    <w:rsid w:val="00A24740"/>
    <w:rsid w:val="00A524CF"/>
    <w:rsid w:val="00B87EFF"/>
    <w:rsid w:val="00BB659B"/>
    <w:rsid w:val="00C156FA"/>
    <w:rsid w:val="00C36689"/>
    <w:rsid w:val="00CA55AF"/>
    <w:rsid w:val="00CD7E18"/>
    <w:rsid w:val="00D33105"/>
    <w:rsid w:val="00DE74AE"/>
    <w:rsid w:val="00E44A5D"/>
    <w:rsid w:val="00E800FE"/>
    <w:rsid w:val="00E96814"/>
    <w:rsid w:val="00EC5A56"/>
    <w:rsid w:val="00EF3CC8"/>
    <w:rsid w:val="00F12033"/>
    <w:rsid w:val="00F13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D71E1BB1-075C-874F-84B9-B116073D3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6620"/>
    <w:pPr>
      <w:widowControl w:val="0"/>
      <w:jc w:val="both"/>
    </w:pPr>
    <w:rPr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A662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66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662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6620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6620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6620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A662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A6620"/>
    <w:pPr>
      <w:keepNext/>
      <w:keepLines/>
      <w:outlineLvl w:val="7"/>
    </w:pPr>
    <w:rPr>
      <w:rFonts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A6620"/>
    <w:pPr>
      <w:keepNext/>
      <w:keepLines/>
      <w:outlineLvl w:val="8"/>
    </w:pPr>
    <w:rPr>
      <w:rFonts w:eastAsiaTheme="majorEastAsia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A662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A6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A6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A662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A6620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A662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A662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A662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A662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A662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1A6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A662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1A662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A6620"/>
    <w:pPr>
      <w:spacing w:before="160" w:after="160"/>
      <w:jc w:val="center"/>
    </w:pPr>
    <w:rPr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1A66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A6620"/>
    <w:pPr>
      <w:ind w:left="720"/>
      <w:contextualSpacing/>
    </w:pPr>
    <w:rPr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1A66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A6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1A66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A6620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1A6620"/>
    <w:rPr>
      <w:sz w:val="21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Jing</dc:creator>
  <cp:keywords/>
  <dc:description/>
  <cp:lastModifiedBy>Wang Jing</cp:lastModifiedBy>
  <cp:revision>1</cp:revision>
  <dcterms:created xsi:type="dcterms:W3CDTF">2024-12-24T11:30:00Z</dcterms:created>
  <dcterms:modified xsi:type="dcterms:W3CDTF">2024-12-24T11:31:00Z</dcterms:modified>
</cp:coreProperties>
</file>