
<file path=[Content_Types].xml><?xml version="1.0" encoding="utf-8"?>
<Types xmlns="http://schemas.openxmlformats.org/package/2006/content-types">
  <Default Extension="png" ContentType="image/png"/>
  <Override PartName="/word/webextensions/taskpanes.xml" ContentType="application/vnd.ms-office.webextensiontaskpan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extensions/webextension1.xml" ContentType="application/vnd.ms-office.webextension+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11/relationships/webextensiontaskpanes" Target="word/webextensions/taskpanes.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43FF" w:rsidRPr="00905D56" w:rsidRDefault="00E643FF" w:rsidP="00E643FF">
      <w:pPr>
        <w:rPr>
          <w:b/>
          <w:bCs/>
          <w:lang w:val="en-GB"/>
        </w:rPr>
      </w:pPr>
      <w:r w:rsidRPr="00905D56">
        <w:rPr>
          <w:b/>
          <w:bCs/>
          <w:lang w:val="en-GB"/>
        </w:rPr>
        <w:t xml:space="preserve">Transcriptomic profiling of circulating </w:t>
      </w:r>
      <w:proofErr w:type="spellStart"/>
      <w:r w:rsidRPr="00905D56">
        <w:rPr>
          <w:b/>
          <w:bCs/>
          <w:lang w:val="en-GB"/>
        </w:rPr>
        <w:t>tumor</w:t>
      </w:r>
      <w:proofErr w:type="spellEnd"/>
      <w:r w:rsidRPr="00905D56">
        <w:rPr>
          <w:b/>
          <w:bCs/>
          <w:lang w:val="en-GB"/>
        </w:rPr>
        <w:t xml:space="preserve"> cells from metastatic breast cancer patients reveals new hints in their biological features and phenotypic heterogeneity</w:t>
      </w:r>
    </w:p>
    <w:p w:rsidR="009C1FEC" w:rsidRPr="00E643FF" w:rsidRDefault="009C1FEC" w:rsidP="009C1FEC">
      <w:pPr>
        <w:rPr>
          <w:i/>
          <w:iCs/>
          <w:lang w:val="en-GB"/>
        </w:rPr>
      </w:pPr>
      <w:r w:rsidRPr="00E643FF">
        <w:rPr>
          <w:i/>
          <w:iCs/>
          <w:lang w:val="en-GB"/>
        </w:rPr>
        <w:t>For a better understanding of our manuscript, we provide a graphical abstract</w:t>
      </w:r>
      <w:r w:rsidR="007871BD" w:rsidRPr="00E643FF">
        <w:rPr>
          <w:i/>
          <w:iCs/>
          <w:lang w:val="en-GB"/>
        </w:rPr>
        <w:t xml:space="preserve">, </w:t>
      </w:r>
      <w:r w:rsidRPr="00E643FF">
        <w:rPr>
          <w:i/>
          <w:iCs/>
          <w:lang w:val="en-GB"/>
        </w:rPr>
        <w:t>full material and methods section</w:t>
      </w:r>
      <w:r w:rsidR="007871BD" w:rsidRPr="00E643FF">
        <w:rPr>
          <w:i/>
          <w:iCs/>
          <w:lang w:val="en-GB"/>
        </w:rPr>
        <w:t>, and supplementary material</w:t>
      </w:r>
      <w:r w:rsidRPr="00E643FF">
        <w:rPr>
          <w:i/>
          <w:iCs/>
          <w:lang w:val="en-GB"/>
        </w:rPr>
        <w:t>.</w:t>
      </w:r>
    </w:p>
    <w:p w:rsidR="000933D6" w:rsidRPr="00E643FF" w:rsidRDefault="005D581E" w:rsidP="00E643FF">
      <w:pPr>
        <w:rPr>
          <w:b/>
          <w:bCs/>
          <w:lang w:val="en-GB"/>
        </w:rPr>
      </w:pPr>
      <w:r w:rsidRPr="00E643FF">
        <w:rPr>
          <w:b/>
          <w:bCs/>
          <w:lang w:val="en-GB"/>
        </w:rPr>
        <w:t>Figure S1</w:t>
      </w:r>
      <w:r w:rsidR="000933D6" w:rsidRPr="00E643FF">
        <w:rPr>
          <w:b/>
          <w:bCs/>
          <w:lang w:val="en-GB"/>
        </w:rPr>
        <w:t xml:space="preserve">. </w:t>
      </w:r>
      <w:r w:rsidRPr="00E643FF">
        <w:rPr>
          <w:lang w:val="en-GB"/>
        </w:rPr>
        <w:t>Graphical abstract summarizing the experimental approach and principal findings related to CTC heterogeneity and gene expression in metastatic breast cancer.</w:t>
      </w:r>
      <w:r w:rsidR="001605A1" w:rsidRPr="00E643FF">
        <w:rPr>
          <w:lang w:val="en-GB"/>
        </w:rPr>
        <w:t xml:space="preserve"> Created </w:t>
      </w:r>
      <w:r w:rsidR="00E643FF" w:rsidRPr="00E643FF">
        <w:rPr>
          <w:lang w:val="en-GB"/>
        </w:rPr>
        <w:t>with</w:t>
      </w:r>
      <w:r w:rsidR="001605A1" w:rsidRPr="00E643FF">
        <w:rPr>
          <w:lang w:val="en-GB"/>
        </w:rPr>
        <w:t xml:space="preserve"> BioRender.</w:t>
      </w:r>
      <w:r w:rsidR="00E643FF" w:rsidRPr="00E643FF">
        <w:rPr>
          <w:lang w:val="en-GB"/>
        </w:rPr>
        <w:t xml:space="preserve">com. </w:t>
      </w:r>
      <w:r w:rsidR="001605A1" w:rsidRPr="00E643FF">
        <w:rPr>
          <w:lang w:val="en-GB"/>
        </w:rPr>
        <w:t xml:space="preserve"> </w:t>
      </w:r>
    </w:p>
    <w:p w:rsidR="00D37EEA" w:rsidRPr="001605A1" w:rsidRDefault="00E643FF">
      <w:pPr>
        <w:rPr>
          <w:lang w:val="en-GB"/>
        </w:rPr>
      </w:pPr>
      <w:r>
        <w:rPr>
          <w:noProof/>
          <w:lang w:eastAsia="it-IT"/>
        </w:rPr>
        <w:drawing>
          <wp:inline distT="0" distB="0" distL="0" distR="0">
            <wp:extent cx="6120130" cy="4284345"/>
            <wp:effectExtent l="0" t="0" r="0" b="1905"/>
            <wp:docPr id="135411975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119757" name="Immagine 1354119757"/>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120130" cy="4284345"/>
                    </a:xfrm>
                    <a:prstGeom prst="rect">
                      <a:avLst/>
                    </a:prstGeom>
                  </pic:spPr>
                </pic:pic>
              </a:graphicData>
            </a:graphic>
          </wp:inline>
        </w:drawing>
      </w:r>
    </w:p>
    <w:p w:rsidR="00E643FF" w:rsidRDefault="00E643FF" w:rsidP="00DA682A">
      <w:pPr>
        <w:spacing w:line="480" w:lineRule="auto"/>
        <w:rPr>
          <w:b/>
          <w:lang w:val="en-GB"/>
        </w:rPr>
      </w:pPr>
    </w:p>
    <w:p w:rsidR="00E643FF" w:rsidRDefault="00E643FF" w:rsidP="00DA682A">
      <w:pPr>
        <w:spacing w:line="480" w:lineRule="auto"/>
        <w:rPr>
          <w:b/>
          <w:lang w:val="en-GB"/>
        </w:rPr>
      </w:pPr>
    </w:p>
    <w:p w:rsidR="00E643FF" w:rsidRDefault="00E643FF" w:rsidP="00DA682A">
      <w:pPr>
        <w:spacing w:line="480" w:lineRule="auto"/>
        <w:rPr>
          <w:b/>
          <w:lang w:val="en-GB"/>
        </w:rPr>
      </w:pPr>
    </w:p>
    <w:p w:rsidR="00E643FF" w:rsidRDefault="00E643FF" w:rsidP="00DA682A">
      <w:pPr>
        <w:spacing w:line="480" w:lineRule="auto"/>
        <w:rPr>
          <w:b/>
          <w:lang w:val="en-GB"/>
        </w:rPr>
      </w:pPr>
    </w:p>
    <w:p w:rsidR="00E643FF" w:rsidRDefault="00E643FF" w:rsidP="00DA682A">
      <w:pPr>
        <w:spacing w:line="480" w:lineRule="auto"/>
        <w:rPr>
          <w:b/>
          <w:lang w:val="en-GB"/>
        </w:rPr>
      </w:pPr>
    </w:p>
    <w:p w:rsidR="00E643FF" w:rsidRDefault="00E643FF" w:rsidP="00DA682A">
      <w:pPr>
        <w:spacing w:line="480" w:lineRule="auto"/>
        <w:rPr>
          <w:b/>
          <w:lang w:val="en-GB"/>
        </w:rPr>
      </w:pPr>
    </w:p>
    <w:p w:rsidR="00E643FF" w:rsidRDefault="00E643FF" w:rsidP="00DA682A">
      <w:pPr>
        <w:spacing w:line="480" w:lineRule="auto"/>
        <w:rPr>
          <w:b/>
          <w:lang w:val="en-GB"/>
        </w:rPr>
      </w:pPr>
    </w:p>
    <w:p w:rsidR="00DA682A" w:rsidRPr="00905D56" w:rsidRDefault="00991C45" w:rsidP="00DA682A">
      <w:pPr>
        <w:spacing w:line="480" w:lineRule="auto"/>
        <w:rPr>
          <w:b/>
          <w:bCs/>
          <w:lang w:val="en-GB"/>
        </w:rPr>
      </w:pPr>
      <w:r>
        <w:rPr>
          <w:b/>
          <w:lang w:val="en-GB"/>
        </w:rPr>
        <w:lastRenderedPageBreak/>
        <w:t xml:space="preserve">Supplementary </w:t>
      </w:r>
      <w:r w:rsidR="00DA682A" w:rsidRPr="00905D56">
        <w:rPr>
          <w:b/>
          <w:lang w:val="en-GB"/>
        </w:rPr>
        <w:t xml:space="preserve"> Methods</w:t>
      </w:r>
    </w:p>
    <w:p w:rsidR="00DA682A" w:rsidRPr="00905D56" w:rsidRDefault="00DA682A" w:rsidP="00DA682A">
      <w:pPr>
        <w:spacing w:line="480" w:lineRule="auto"/>
        <w:rPr>
          <w:b/>
          <w:lang w:val="en-GB"/>
        </w:rPr>
      </w:pPr>
      <w:r w:rsidRPr="00905D56">
        <w:rPr>
          <w:b/>
          <w:lang w:val="en-GB"/>
        </w:rPr>
        <w:t>1</w:t>
      </w:r>
      <w:r w:rsidR="00E643FF">
        <w:rPr>
          <w:b/>
          <w:lang w:val="en-GB"/>
        </w:rPr>
        <w:t>.</w:t>
      </w:r>
      <w:r w:rsidRPr="00905D56">
        <w:rPr>
          <w:b/>
          <w:lang w:val="en-GB"/>
        </w:rPr>
        <w:t xml:space="preserve"> Patient samples</w:t>
      </w:r>
    </w:p>
    <w:p w:rsidR="00DA682A" w:rsidRPr="00905D56" w:rsidRDefault="00DA682A" w:rsidP="00DA682A">
      <w:pPr>
        <w:spacing w:line="480" w:lineRule="auto"/>
        <w:rPr>
          <w:lang w:val="en-GB"/>
        </w:rPr>
      </w:pPr>
      <w:r w:rsidRPr="00905D56">
        <w:rPr>
          <w:lang w:val="en-GB"/>
        </w:rPr>
        <w:t xml:space="preserve">Blood sample for </w:t>
      </w:r>
      <w:r w:rsidR="00BD3AC4">
        <w:rPr>
          <w:lang w:val="en-GB"/>
        </w:rPr>
        <w:t xml:space="preserve">circulating </w:t>
      </w:r>
      <w:proofErr w:type="spellStart"/>
      <w:r w:rsidR="00BD3AC4">
        <w:rPr>
          <w:lang w:val="en-GB"/>
        </w:rPr>
        <w:t>tumor</w:t>
      </w:r>
      <w:proofErr w:type="spellEnd"/>
      <w:r w:rsidR="00BD3AC4">
        <w:rPr>
          <w:lang w:val="en-GB"/>
        </w:rPr>
        <w:t xml:space="preserve"> cell (</w:t>
      </w:r>
      <w:r w:rsidRPr="00905D56">
        <w:rPr>
          <w:lang w:val="en-GB"/>
        </w:rPr>
        <w:t>CTC</w:t>
      </w:r>
      <w:r w:rsidR="00BD3AC4">
        <w:rPr>
          <w:lang w:val="en-GB"/>
        </w:rPr>
        <w:t>)</w:t>
      </w:r>
      <w:r w:rsidRPr="00905D56">
        <w:rPr>
          <w:lang w:val="en-GB"/>
        </w:rPr>
        <w:t xml:space="preserve"> analysis were collected from patients with hormone receptor (HR)-positive (ER&gt;10%), HER2-negative </w:t>
      </w:r>
      <w:r w:rsidR="00BD3AC4">
        <w:rPr>
          <w:lang w:val="en-GB"/>
        </w:rPr>
        <w:t>metastatic breast cancer (M</w:t>
      </w:r>
      <w:r w:rsidRPr="00905D56">
        <w:rPr>
          <w:lang w:val="en-GB"/>
        </w:rPr>
        <w:t>BC</w:t>
      </w:r>
      <w:r w:rsidR="00BD3AC4">
        <w:rPr>
          <w:lang w:val="en-GB"/>
        </w:rPr>
        <w:t>)</w:t>
      </w:r>
      <w:r w:rsidRPr="00905D56">
        <w:rPr>
          <w:lang w:val="en-GB"/>
        </w:rPr>
        <w:t xml:space="preserve">. A prior history of non-breast malignancy (except for adequately controlled basal cell carcinoma of the skin, and other </w:t>
      </w:r>
      <w:r w:rsidRPr="00905D56">
        <w:rPr>
          <w:i/>
          <w:lang w:val="en-GB"/>
        </w:rPr>
        <w:t>in situ</w:t>
      </w:r>
      <w:r w:rsidRPr="00905D56">
        <w:rPr>
          <w:lang w:val="en-GB"/>
        </w:rPr>
        <w:t xml:space="preserve"> carcinomas) was exclusion criterion. Approximately 7,5 ml of peripheral blood was collected from 10 patients with diagnosis of MBC in EDTA-tubes at different time points: before starting therapy, during treatment assessment (cycle duration 21 or 28 days) and every 4 cycles, and at end of therapy or time of disease progression (timepoint C). All the experiments were undertaken with the understanding and written consent of each subject. The present study has been approved by the local ethics committee (CEROM IRSTB174.19 and IRSTB114). Part of the patients were recruited in the KENDO phase II trial (NCT03227328). The study complied with the provisions of the Good Clinical Practice guidelines and the Declaration of Helsinki and local laws and fulfilled Regulation (EU) 2016/679 of the European Parliament and the Council of April 27, 2016, on the protection of natural persons regarding the processing of personal data. </w:t>
      </w:r>
    </w:p>
    <w:p w:rsidR="00DA682A" w:rsidRPr="00905D56" w:rsidRDefault="00DA682A" w:rsidP="00DA682A">
      <w:pPr>
        <w:spacing w:line="480" w:lineRule="auto"/>
        <w:rPr>
          <w:b/>
          <w:bCs/>
          <w:lang w:val="en-GB"/>
        </w:rPr>
      </w:pPr>
      <w:r w:rsidRPr="00905D56">
        <w:rPr>
          <w:b/>
          <w:bCs/>
          <w:lang w:val="en-GB"/>
        </w:rPr>
        <w:t>2</w:t>
      </w:r>
      <w:r w:rsidR="00E643FF">
        <w:rPr>
          <w:b/>
          <w:bCs/>
          <w:lang w:val="en-GB"/>
        </w:rPr>
        <w:t>.</w:t>
      </w:r>
      <w:r w:rsidRPr="00905D56">
        <w:rPr>
          <w:b/>
          <w:bCs/>
          <w:lang w:val="en-GB"/>
        </w:rPr>
        <w:t xml:space="preserve"> Cell Culture</w:t>
      </w:r>
    </w:p>
    <w:p w:rsidR="00DA682A" w:rsidRPr="00905D56" w:rsidRDefault="00DA682A" w:rsidP="00DA682A">
      <w:pPr>
        <w:spacing w:line="480" w:lineRule="auto"/>
        <w:rPr>
          <w:lang w:val="en-GB"/>
        </w:rPr>
      </w:pPr>
      <w:r w:rsidRPr="00905D56">
        <w:rPr>
          <w:lang w:val="en-GB"/>
        </w:rPr>
        <w:t>For set-up experiments, two breast cancer cell lines were used. SKBR-3 and MCF7 cell lines were obtained from ATCC (American Type Culture Collection) and maintained, respectively, in RPMI1640 medium (</w:t>
      </w:r>
      <w:proofErr w:type="spellStart"/>
      <w:r w:rsidRPr="00905D56">
        <w:rPr>
          <w:lang w:val="en-GB"/>
        </w:rPr>
        <w:t>Euroclone</w:t>
      </w:r>
      <w:proofErr w:type="spellEnd"/>
      <w:r w:rsidRPr="00905D56">
        <w:rPr>
          <w:lang w:val="en-GB"/>
        </w:rPr>
        <w:t>, cat n. ECB9006L) and EMEM (ATCC, cat. n. 30-2003) supplemented with 10% FBS (</w:t>
      </w:r>
      <w:proofErr w:type="spellStart"/>
      <w:r w:rsidRPr="00905D56">
        <w:rPr>
          <w:lang w:val="en-GB"/>
        </w:rPr>
        <w:t>Gibco</w:t>
      </w:r>
      <w:proofErr w:type="spellEnd"/>
      <w:r w:rsidRPr="00905D56">
        <w:rPr>
          <w:lang w:val="en-GB"/>
        </w:rPr>
        <w:t>™, Thermo Fisher Scientific, cat. n. A5256701), 2mM of L-glutamine (</w:t>
      </w:r>
      <w:proofErr w:type="spellStart"/>
      <w:r w:rsidRPr="00905D56">
        <w:rPr>
          <w:lang w:val="en-GB"/>
        </w:rPr>
        <w:t>Gibco</w:t>
      </w:r>
      <w:proofErr w:type="spellEnd"/>
      <w:r w:rsidRPr="00905D56">
        <w:rPr>
          <w:lang w:val="en-GB"/>
        </w:rPr>
        <w:t>™, Thermo Fisher Scientific, cat. n. 25030024), 1% penicillin/streptomycin (</w:t>
      </w:r>
      <w:proofErr w:type="spellStart"/>
      <w:r w:rsidRPr="00905D56">
        <w:rPr>
          <w:lang w:val="en-GB"/>
        </w:rPr>
        <w:t>Gibco</w:t>
      </w:r>
      <w:proofErr w:type="spellEnd"/>
      <w:r w:rsidRPr="00905D56">
        <w:rPr>
          <w:lang w:val="en-GB"/>
        </w:rPr>
        <w:t xml:space="preserve">™, Thermo Fisher Scientific, cat. n. 15140122), and 2% </w:t>
      </w:r>
      <w:proofErr w:type="spellStart"/>
      <w:r w:rsidRPr="00905D56">
        <w:rPr>
          <w:lang w:val="en-GB"/>
        </w:rPr>
        <w:t>amphotericin</w:t>
      </w:r>
      <w:proofErr w:type="spellEnd"/>
      <w:r w:rsidRPr="00905D56">
        <w:rPr>
          <w:lang w:val="en-GB"/>
        </w:rPr>
        <w:t xml:space="preserve"> B (</w:t>
      </w:r>
      <w:proofErr w:type="spellStart"/>
      <w:r w:rsidRPr="00905D56">
        <w:rPr>
          <w:lang w:val="en-GB"/>
        </w:rPr>
        <w:t>Euroclone</w:t>
      </w:r>
      <w:proofErr w:type="spellEnd"/>
      <w:r w:rsidRPr="00905D56">
        <w:rPr>
          <w:lang w:val="en-GB"/>
        </w:rPr>
        <w:t>, cat. n. ECM0009D) in a humidified 37 °C, 5% CO2 incubator.</w:t>
      </w:r>
    </w:p>
    <w:p w:rsidR="00DA682A" w:rsidRPr="00905D56" w:rsidRDefault="00E643FF" w:rsidP="00DA682A">
      <w:pPr>
        <w:spacing w:line="480" w:lineRule="auto"/>
        <w:rPr>
          <w:b/>
          <w:lang w:val="en-GB"/>
        </w:rPr>
      </w:pPr>
      <w:r>
        <w:rPr>
          <w:b/>
          <w:lang w:val="en-GB"/>
        </w:rPr>
        <w:t>3.</w:t>
      </w:r>
      <w:r w:rsidR="00DA682A" w:rsidRPr="00905D56">
        <w:rPr>
          <w:b/>
          <w:lang w:val="en-GB"/>
        </w:rPr>
        <w:t xml:space="preserve"> Epithelial cell enrichment</w:t>
      </w:r>
    </w:p>
    <w:p w:rsidR="00DA682A" w:rsidRPr="00905D56" w:rsidRDefault="00DA682A" w:rsidP="00DA682A">
      <w:pPr>
        <w:spacing w:after="0" w:line="480" w:lineRule="auto"/>
        <w:rPr>
          <w:lang w:val="en-GB"/>
        </w:rPr>
      </w:pPr>
      <w:r w:rsidRPr="00905D56">
        <w:rPr>
          <w:lang w:val="en-GB"/>
        </w:rPr>
        <w:t xml:space="preserve">The enrichment of epithelial cells was performed using an </w:t>
      </w:r>
      <w:proofErr w:type="spellStart"/>
      <w:r w:rsidRPr="00905D56">
        <w:rPr>
          <w:lang w:val="en-GB"/>
        </w:rPr>
        <w:t>immunodensity</w:t>
      </w:r>
      <w:proofErr w:type="spellEnd"/>
      <w:r w:rsidRPr="00905D56">
        <w:rPr>
          <w:lang w:val="en-GB"/>
        </w:rPr>
        <w:t xml:space="preserve">-based negative selection method, starting from peripheral blood of healthy volunteers spiked with cancer cell lines SKBR-3 and MCF7 for antibody cocktail validation experiments, and peripheral blood of MBC patients for CTC recovery. SKBR3 </w:t>
      </w:r>
      <w:r w:rsidRPr="00905D56">
        <w:rPr>
          <w:lang w:val="en-GB"/>
        </w:rPr>
        <w:lastRenderedPageBreak/>
        <w:t xml:space="preserve">cell were used also spiked at different concentrations (250, 100, 50 and 25 cells/ml of blood) to 5 ml EDTA tubes containing ~3 ml of peripheral blood from a healthy donor to estimate the detection rate at the </w:t>
      </w:r>
      <w:proofErr w:type="spellStart"/>
      <w:r w:rsidRPr="00905D56">
        <w:rPr>
          <w:lang w:val="en-GB"/>
        </w:rPr>
        <w:t>DEPArray</w:t>
      </w:r>
      <w:proofErr w:type="spellEnd"/>
      <w:r w:rsidRPr="00905D56">
        <w:rPr>
          <w:lang w:val="en-GB"/>
        </w:rPr>
        <w:t xml:space="preserve">.  For cancer cell and CTC enrichment, 50 µl/ml of </w:t>
      </w:r>
      <w:proofErr w:type="spellStart"/>
      <w:r w:rsidRPr="00905D56">
        <w:rPr>
          <w:lang w:val="en-GB"/>
        </w:rPr>
        <w:t>RosetteSep</w:t>
      </w:r>
      <w:proofErr w:type="spellEnd"/>
      <w:r w:rsidRPr="00905D56">
        <w:rPr>
          <w:lang w:val="en-GB"/>
        </w:rPr>
        <w:t xml:space="preserve"> CTC enrichment cocktail containing anti-CD36 antibody (</w:t>
      </w:r>
      <w:proofErr w:type="spellStart"/>
      <w:r w:rsidRPr="00905D56">
        <w:rPr>
          <w:lang w:val="en-GB"/>
        </w:rPr>
        <w:t>StemCell</w:t>
      </w:r>
      <w:proofErr w:type="spellEnd"/>
      <w:r w:rsidRPr="00905D56">
        <w:rPr>
          <w:lang w:val="en-GB"/>
        </w:rPr>
        <w:t xml:space="preserve"> technologies, cat. n. 15167) was added directly to the blood-containing tube, mixed frequently and incubated at room temperature. After 20-minute incubation, processed blood was diluted with an equal volume of 1X PBS, and slowly poured on a </w:t>
      </w:r>
      <w:proofErr w:type="spellStart"/>
      <w:r w:rsidRPr="00905D56">
        <w:rPr>
          <w:lang w:val="en-GB"/>
        </w:rPr>
        <w:t>SepMate</w:t>
      </w:r>
      <w:proofErr w:type="spellEnd"/>
      <w:r w:rsidRPr="00905D56">
        <w:rPr>
          <w:lang w:val="en-GB"/>
        </w:rPr>
        <w:t xml:space="preserve"> tube (</w:t>
      </w:r>
      <w:proofErr w:type="spellStart"/>
      <w:r w:rsidRPr="00905D56">
        <w:rPr>
          <w:lang w:val="en-GB"/>
        </w:rPr>
        <w:t>StemCell</w:t>
      </w:r>
      <w:proofErr w:type="spellEnd"/>
      <w:r w:rsidRPr="00905D56">
        <w:rPr>
          <w:lang w:val="en-GB"/>
        </w:rPr>
        <w:t xml:space="preserve"> technologies, cat. n. 85450) together with 15 ml of </w:t>
      </w:r>
      <w:proofErr w:type="spellStart"/>
      <w:r w:rsidRPr="00905D56">
        <w:rPr>
          <w:lang w:val="en-GB"/>
        </w:rPr>
        <w:t>Histopaque</w:t>
      </w:r>
      <w:proofErr w:type="spellEnd"/>
      <w:r w:rsidRPr="00905D56">
        <w:rPr>
          <w:lang w:val="en-GB"/>
        </w:rPr>
        <w:t xml:space="preserve"> (Sigma-Aldrich, cat. n. 10771-500ML), and centrifuged 1200 x g for 10 minutes, brake on. The resulting cellular pellet was washed twice with 1X PBS and stored at -80°C in a freezing solution containing 90% FBS + 10% DMSO. </w:t>
      </w:r>
    </w:p>
    <w:p w:rsidR="00DA682A" w:rsidRPr="00905D56" w:rsidRDefault="00E643FF" w:rsidP="00DA682A">
      <w:pPr>
        <w:spacing w:line="480" w:lineRule="auto"/>
        <w:rPr>
          <w:b/>
          <w:lang w:val="en-GB"/>
        </w:rPr>
      </w:pPr>
      <w:r>
        <w:rPr>
          <w:b/>
          <w:lang w:val="en-GB"/>
        </w:rPr>
        <w:t>4.</w:t>
      </w:r>
      <w:r w:rsidR="00DA682A" w:rsidRPr="00905D56">
        <w:rPr>
          <w:b/>
          <w:lang w:val="en-GB"/>
        </w:rPr>
        <w:t xml:space="preserve"> Multi-antibody staining and </w:t>
      </w:r>
      <w:proofErr w:type="spellStart"/>
      <w:r w:rsidR="00DA682A" w:rsidRPr="00905D56">
        <w:rPr>
          <w:b/>
          <w:lang w:val="en-GB"/>
        </w:rPr>
        <w:t>DEPArray</w:t>
      </w:r>
      <w:proofErr w:type="spellEnd"/>
      <w:r w:rsidR="00DA682A" w:rsidRPr="00905D56">
        <w:rPr>
          <w:b/>
          <w:lang w:val="en-GB"/>
        </w:rPr>
        <w:t xml:space="preserve"> analysis</w:t>
      </w:r>
    </w:p>
    <w:p w:rsidR="00DA682A" w:rsidRPr="00905D56" w:rsidRDefault="00DA682A" w:rsidP="00DA682A">
      <w:pPr>
        <w:spacing w:line="480" w:lineRule="auto"/>
        <w:rPr>
          <w:lang w:val="en-GB"/>
        </w:rPr>
      </w:pPr>
      <w:r w:rsidRPr="00905D56">
        <w:rPr>
          <w:lang w:val="en-GB"/>
        </w:rPr>
        <w:t>Epithelial cell-enriched pellets from SKBR-3 and MCF7spiked sample, as well as from MBC patients, were subjected to antibody staining by mixing the following primary antibodies: anti-CD326 (</w:t>
      </w:r>
      <w:proofErr w:type="spellStart"/>
      <w:r w:rsidRPr="00905D56">
        <w:rPr>
          <w:lang w:val="en-GB"/>
        </w:rPr>
        <w:t>EpCAM</w:t>
      </w:r>
      <w:proofErr w:type="spellEnd"/>
      <w:r w:rsidRPr="00905D56">
        <w:rPr>
          <w:lang w:val="en-GB"/>
        </w:rPr>
        <w:t xml:space="preserve">, clone HEA-125; 1:10 dilution; </w:t>
      </w:r>
      <w:proofErr w:type="spellStart"/>
      <w:r w:rsidRPr="00905D56">
        <w:rPr>
          <w:lang w:val="en-GB"/>
        </w:rPr>
        <w:t>Miltenyi</w:t>
      </w:r>
      <w:proofErr w:type="spellEnd"/>
      <w:r w:rsidRPr="00905D56">
        <w:rPr>
          <w:lang w:val="en-GB"/>
        </w:rPr>
        <w:t xml:space="preserve"> Biotech, cat. n. 130-113-264) and anti-CD324 (E-cadherin) (clone 67A4; 1:10 dilution; </w:t>
      </w:r>
      <w:proofErr w:type="spellStart"/>
      <w:r w:rsidRPr="00905D56">
        <w:rPr>
          <w:lang w:val="en-GB"/>
        </w:rPr>
        <w:t>Miltenyi</w:t>
      </w:r>
      <w:proofErr w:type="spellEnd"/>
      <w:r w:rsidRPr="00905D56">
        <w:rPr>
          <w:lang w:val="en-GB"/>
        </w:rPr>
        <w:t xml:space="preserve"> Biotech, cat. n. 130-128-815) to detect epithelial markers (E-tag; PE channel); anti-CD45 (clone HI30; 1:10 dilution; Invitrogen, cat. n. MHCD4520) to identify white blood cells (WBCs) (FITC channel). Nuclear staining was performed using Hoechst33342 (1 µg/ml; </w:t>
      </w:r>
      <w:proofErr w:type="spellStart"/>
      <w:r w:rsidRPr="00905D56">
        <w:rPr>
          <w:lang w:val="en-GB"/>
        </w:rPr>
        <w:t>ThermoFisher</w:t>
      </w:r>
      <w:proofErr w:type="spellEnd"/>
      <w:r w:rsidRPr="00905D56">
        <w:rPr>
          <w:lang w:val="en-GB"/>
        </w:rPr>
        <w:t xml:space="preserve"> Sc., cat. n. H3570) in the DAPI channel. After a 30-minute incubation at 4°C, the stained cellular pellet was washed twice with RPMI 1640 supplemented with FBS 10% and stored in the dark until use. For each sample, 12,5 µl of sample was loaded into a </w:t>
      </w:r>
      <w:proofErr w:type="spellStart"/>
      <w:r w:rsidRPr="00905D56">
        <w:rPr>
          <w:lang w:val="en-GB"/>
        </w:rPr>
        <w:t>DEPArray</w:t>
      </w:r>
      <w:proofErr w:type="spellEnd"/>
      <w:r w:rsidRPr="00905D56">
        <w:rPr>
          <w:lang w:val="en-GB"/>
        </w:rPr>
        <w:t xml:space="preserve"> Cartridge along with 2,5 ml of RPMI 1640 + FBS 10% and processed on the </w:t>
      </w:r>
      <w:proofErr w:type="spellStart"/>
      <w:r w:rsidRPr="00905D56">
        <w:rPr>
          <w:lang w:val="en-GB"/>
        </w:rPr>
        <w:t>DEPArray</w:t>
      </w:r>
      <w:proofErr w:type="spellEnd"/>
      <w:r w:rsidRPr="00905D56">
        <w:rPr>
          <w:lang w:val="en-GB"/>
        </w:rPr>
        <w:t xml:space="preserve"> </w:t>
      </w:r>
      <w:proofErr w:type="spellStart"/>
      <w:r w:rsidRPr="00905D56">
        <w:rPr>
          <w:lang w:val="en-GB"/>
        </w:rPr>
        <w:t>NxT</w:t>
      </w:r>
      <w:proofErr w:type="spellEnd"/>
      <w:r w:rsidRPr="00905D56">
        <w:rPr>
          <w:lang w:val="en-GB"/>
        </w:rPr>
        <w:t xml:space="preserve"> platform (</w:t>
      </w:r>
      <w:proofErr w:type="spellStart"/>
      <w:r w:rsidRPr="00905D56">
        <w:rPr>
          <w:lang w:val="en-GB"/>
        </w:rPr>
        <w:t>Menarini</w:t>
      </w:r>
      <w:proofErr w:type="spellEnd"/>
      <w:r w:rsidRPr="00905D56">
        <w:rPr>
          <w:lang w:val="en-GB"/>
        </w:rPr>
        <w:t xml:space="preserve"> Silicon Biosystems, Bologna, Italy). Samples were analyzed using the CTC-RUO live cells setting. </w:t>
      </w:r>
      <w:proofErr w:type="spellStart"/>
      <w:r w:rsidRPr="00905D56">
        <w:rPr>
          <w:lang w:val="en-GB"/>
        </w:rPr>
        <w:t>Routability</w:t>
      </w:r>
      <w:proofErr w:type="spellEnd"/>
      <w:r w:rsidRPr="00905D56">
        <w:rPr>
          <w:lang w:val="en-GB"/>
        </w:rPr>
        <w:t xml:space="preserve">, defined as the percentage of cells that can be routed within the </w:t>
      </w:r>
      <w:proofErr w:type="spellStart"/>
      <w:r w:rsidRPr="00905D56">
        <w:rPr>
          <w:lang w:val="en-GB"/>
        </w:rPr>
        <w:t>DEPArray</w:t>
      </w:r>
      <w:proofErr w:type="spellEnd"/>
      <w:r w:rsidRPr="00905D56">
        <w:rPr>
          <w:lang w:val="en-GB"/>
        </w:rPr>
        <w:t xml:space="preserve"> cartridge compared to the number of identified cells, was evaluated as already reported in a previous publication from our group</w:t>
      </w:r>
      <w:r w:rsidR="00BD3AC4">
        <w:rPr>
          <w:lang w:val="en-GB"/>
        </w:rPr>
        <w:t xml:space="preserve"> [1]</w:t>
      </w:r>
      <w:r w:rsidRPr="00905D56">
        <w:rPr>
          <w:lang w:val="en-GB"/>
        </w:rPr>
        <w:t>. Cells of interest identified in samples from MBC patients were isolated as single cells in sterile 200 µl</w:t>
      </w:r>
      <w:r w:rsidRPr="00905D56">
        <w:rPr>
          <w:b/>
          <w:lang w:val="en-GB"/>
        </w:rPr>
        <w:t xml:space="preserve"> </w:t>
      </w:r>
      <w:r w:rsidRPr="00905D56">
        <w:rPr>
          <w:lang w:val="en-GB"/>
        </w:rPr>
        <w:t xml:space="preserve">PCR-tubes, washed with 1X PBS and subjected to volume reduction, following the manufacturer’s guidelines for the </w:t>
      </w:r>
      <w:proofErr w:type="spellStart"/>
      <w:r w:rsidRPr="00905D56">
        <w:rPr>
          <w:lang w:val="en-GB"/>
        </w:rPr>
        <w:t>DEPArray</w:t>
      </w:r>
      <w:proofErr w:type="spellEnd"/>
      <w:r w:rsidRPr="00905D56">
        <w:rPr>
          <w:lang w:val="en-GB"/>
        </w:rPr>
        <w:t xml:space="preserve">. </w:t>
      </w:r>
    </w:p>
    <w:p w:rsidR="00DA682A" w:rsidRPr="00905D56" w:rsidRDefault="00E643FF" w:rsidP="00DA682A">
      <w:pPr>
        <w:spacing w:line="480" w:lineRule="auto"/>
        <w:rPr>
          <w:b/>
          <w:lang w:val="en-GB"/>
        </w:rPr>
      </w:pPr>
      <w:r>
        <w:rPr>
          <w:b/>
          <w:lang w:val="en-GB"/>
        </w:rPr>
        <w:t>5.</w:t>
      </w:r>
      <w:r w:rsidR="00DA682A" w:rsidRPr="00905D56">
        <w:rPr>
          <w:b/>
          <w:lang w:val="en-GB"/>
        </w:rPr>
        <w:t xml:space="preserve"> RNA-sequencing and bioinformatic analysis</w:t>
      </w:r>
    </w:p>
    <w:p w:rsidR="00DA682A" w:rsidRPr="00905D56" w:rsidRDefault="00DA682A" w:rsidP="00DA682A">
      <w:pPr>
        <w:spacing w:after="0" w:line="480" w:lineRule="auto"/>
        <w:rPr>
          <w:lang w:val="en-GB"/>
        </w:rPr>
      </w:pPr>
      <w:r w:rsidRPr="00905D56">
        <w:rPr>
          <w:lang w:val="en-GB"/>
        </w:rPr>
        <w:lastRenderedPageBreak/>
        <w:t xml:space="preserve">For CTC gene expression analysis, libraries were prepared using the </w:t>
      </w:r>
      <w:proofErr w:type="spellStart"/>
      <w:r w:rsidRPr="00905D56">
        <w:rPr>
          <w:lang w:val="en-GB"/>
        </w:rPr>
        <w:t>QIAseq</w:t>
      </w:r>
      <w:proofErr w:type="spellEnd"/>
      <w:r w:rsidRPr="00905D56">
        <w:rPr>
          <w:lang w:val="en-GB"/>
        </w:rPr>
        <w:t xml:space="preserve"> UPX 3’ </w:t>
      </w:r>
      <w:proofErr w:type="spellStart"/>
      <w:r w:rsidRPr="00905D56">
        <w:rPr>
          <w:lang w:val="en-GB"/>
        </w:rPr>
        <w:t>Transcriptome</w:t>
      </w:r>
      <w:proofErr w:type="spellEnd"/>
      <w:r w:rsidRPr="00905D56">
        <w:rPr>
          <w:lang w:val="en-GB"/>
        </w:rPr>
        <w:t xml:space="preserve"> kit (Qiagen, cat. n. 333090) as reported in a previous paper from our group</w:t>
      </w:r>
      <w:r w:rsidR="00BD3AC4">
        <w:rPr>
          <w:rFonts w:ascii="Calibri" w:eastAsia="Times New Roman" w:hAnsi="Calibri" w:cs="Calibri"/>
          <w:color w:val="000000"/>
          <w:vertAlign w:val="superscript"/>
          <w:lang w:val="en-GB"/>
        </w:rPr>
        <w:t xml:space="preserve"> </w:t>
      </w:r>
      <w:r w:rsidR="00BD3AC4">
        <w:rPr>
          <w:lang w:val="en-GB"/>
        </w:rPr>
        <w:t>[1]</w:t>
      </w:r>
      <w:r w:rsidRPr="00905D56">
        <w:rPr>
          <w:lang w:val="en-GB"/>
        </w:rPr>
        <w:t xml:space="preserve">. We included in library preparation the Xpress Ref Universal Total RNA (Qiagen, cat. n. 338112) (8 replicates) as a “control” sample. Briefly, immediately after being washed with 1X PBS, </w:t>
      </w:r>
      <w:proofErr w:type="spellStart"/>
      <w:r w:rsidRPr="00905D56">
        <w:rPr>
          <w:lang w:val="en-GB"/>
        </w:rPr>
        <w:t>DEPArray</w:t>
      </w:r>
      <w:proofErr w:type="spellEnd"/>
      <w:r w:rsidRPr="00905D56">
        <w:rPr>
          <w:lang w:val="en-GB"/>
        </w:rPr>
        <w:t xml:space="preserve">-recovered CTCs were subjected to cell lysis using the reagents provided by the kit, and stored at -80°C until downstream analysis following the instructions provided in the protocol. During reverse transcription, each cell was given a different Cell-ID to be demultiplexed during bioinformatic analysis. Prepared libraries were quantified using the </w:t>
      </w:r>
      <w:proofErr w:type="spellStart"/>
      <w:r w:rsidRPr="00905D56">
        <w:rPr>
          <w:lang w:val="en-GB"/>
        </w:rPr>
        <w:t>QIAseq</w:t>
      </w:r>
      <w:proofErr w:type="spellEnd"/>
      <w:r w:rsidRPr="00905D56">
        <w:rPr>
          <w:lang w:val="en-GB"/>
        </w:rPr>
        <w:t xml:space="preserve"> Library Quantification Assay kit (Qiagen, cat. n. 333314) and Applied Biosystems 7500 Real-Time PCR system (</w:t>
      </w:r>
      <w:proofErr w:type="spellStart"/>
      <w:r w:rsidRPr="00905D56">
        <w:rPr>
          <w:lang w:val="en-GB"/>
        </w:rPr>
        <w:t>ThermoFisher</w:t>
      </w:r>
      <w:proofErr w:type="spellEnd"/>
      <w:r w:rsidRPr="00905D56">
        <w:rPr>
          <w:lang w:val="en-GB"/>
        </w:rPr>
        <w:t xml:space="preserve"> Sc.), while average fragment size was evaluated using the Agilent Bioanalyzer High Sensitivity. Lastly, libraries were combined in an equimolar pool, denatured with 0,1M NaOH and diluted to a final concentration of 3 </w:t>
      </w:r>
      <w:proofErr w:type="spellStart"/>
      <w:r w:rsidRPr="00905D56">
        <w:rPr>
          <w:lang w:val="en-GB"/>
        </w:rPr>
        <w:t>pM.</w:t>
      </w:r>
      <w:proofErr w:type="spellEnd"/>
      <w:r w:rsidRPr="00905D56">
        <w:rPr>
          <w:lang w:val="en-GB"/>
        </w:rPr>
        <w:t xml:space="preserve"> Paired end 100x27 sequencing was performed on V3-150 cycles cartridge using the </w:t>
      </w:r>
      <w:proofErr w:type="spellStart"/>
      <w:r w:rsidRPr="00905D56">
        <w:rPr>
          <w:lang w:val="en-GB"/>
        </w:rPr>
        <w:t>Illumina</w:t>
      </w:r>
      <w:proofErr w:type="spellEnd"/>
      <w:r w:rsidRPr="00905D56">
        <w:rPr>
          <w:lang w:val="en-GB"/>
        </w:rPr>
        <w:t xml:space="preserve"> </w:t>
      </w:r>
      <w:proofErr w:type="spellStart"/>
      <w:r w:rsidRPr="00905D56">
        <w:rPr>
          <w:lang w:val="en-GB"/>
        </w:rPr>
        <w:t>MiSeq</w:t>
      </w:r>
      <w:proofErr w:type="spellEnd"/>
      <w:r w:rsidRPr="00905D56">
        <w:rPr>
          <w:lang w:val="en-GB"/>
        </w:rPr>
        <w:t xml:space="preserve"> Sequencing system (</w:t>
      </w:r>
      <w:proofErr w:type="spellStart"/>
      <w:r w:rsidRPr="00905D56">
        <w:rPr>
          <w:lang w:val="en-GB"/>
        </w:rPr>
        <w:t>Illumina</w:t>
      </w:r>
      <w:proofErr w:type="spellEnd"/>
      <w:r w:rsidRPr="00905D56">
        <w:rPr>
          <w:lang w:val="en-GB"/>
        </w:rPr>
        <w:t xml:space="preserve"> Inc.).  A custom sequencing primer was used as suggested by Qiagen, to save 23 bases of common sequence in the Read 2 adapter (Appendix C of the kit handbook). </w:t>
      </w:r>
    </w:p>
    <w:p w:rsidR="00DA682A" w:rsidRPr="00905D56" w:rsidRDefault="00DA682A" w:rsidP="00DA682A">
      <w:pPr>
        <w:spacing w:line="480" w:lineRule="auto"/>
        <w:rPr>
          <w:lang w:val="en-GB"/>
        </w:rPr>
      </w:pPr>
      <w:r w:rsidRPr="00905D56">
        <w:rPr>
          <w:lang w:val="en-GB"/>
        </w:rPr>
        <w:t xml:space="preserve">Bioinformatic and statistical analyses were performed using the ready-to-use workflow (UPX 3’ RNA application) of the CLC Genomic Workbench 23.0.5 (Qiagen), Biomedical Genomics Analysis plugin. </w:t>
      </w:r>
      <w:proofErr w:type="spellStart"/>
      <w:r w:rsidRPr="00905D56">
        <w:rPr>
          <w:lang w:val="en-GB"/>
        </w:rPr>
        <w:t>Fastq</w:t>
      </w:r>
      <w:proofErr w:type="spellEnd"/>
      <w:r w:rsidRPr="00905D56">
        <w:rPr>
          <w:lang w:val="en-GB"/>
        </w:rPr>
        <w:t xml:space="preserve"> data were </w:t>
      </w:r>
      <w:sdt>
        <w:sdtPr>
          <w:tag w:val="goog_rdk_9"/>
          <w:id w:val="-1625612956"/>
        </w:sdtPr>
        <w:sdtContent>
          <w:r w:rsidRPr="00905D56">
            <w:rPr>
              <w:lang w:val="en-GB"/>
            </w:rPr>
            <w:t>uploaded</w:t>
          </w:r>
        </w:sdtContent>
      </w:sdt>
      <w:r w:rsidRPr="00905D56">
        <w:rPr>
          <w:lang w:val="en-GB"/>
        </w:rPr>
        <w:t xml:space="preserve"> in the wizard tool as Illumina reads, and demultiplexed by selecting the specific Cell-ID used during reverse transcription. Gene expression tracks were generated through the “Quantify </w:t>
      </w:r>
      <w:proofErr w:type="spellStart"/>
      <w:r w:rsidRPr="00905D56">
        <w:rPr>
          <w:lang w:val="en-GB"/>
        </w:rPr>
        <w:t>QIAseq</w:t>
      </w:r>
      <w:proofErr w:type="spellEnd"/>
      <w:r w:rsidRPr="00905D56">
        <w:rPr>
          <w:lang w:val="en-GB"/>
        </w:rPr>
        <w:t xml:space="preserve"> UPX 3’” workflow with the following settings. For statistical analysis, the “Differential Expression for RNA-</w:t>
      </w:r>
      <w:proofErr w:type="spellStart"/>
      <w:r w:rsidRPr="00905D56">
        <w:rPr>
          <w:lang w:val="en-GB"/>
        </w:rPr>
        <w:t>seq</w:t>
      </w:r>
      <w:proofErr w:type="spellEnd"/>
      <w:r w:rsidRPr="00905D56">
        <w:rPr>
          <w:lang w:val="en-GB"/>
        </w:rPr>
        <w:t xml:space="preserve">” workflow was used. Gene set enrichment analyses (GSEA) were performed using </w:t>
      </w:r>
      <w:proofErr w:type="spellStart"/>
      <w:r w:rsidRPr="00905D56">
        <w:rPr>
          <w:lang w:val="en-GB"/>
        </w:rPr>
        <w:t>EnrichR</w:t>
      </w:r>
      <w:proofErr w:type="spellEnd"/>
      <w:r w:rsidRPr="00905D56">
        <w:rPr>
          <w:lang w:val="en-GB"/>
        </w:rPr>
        <w:t xml:space="preserve"> web too</w:t>
      </w:r>
      <w:r w:rsidR="00BD3AC4">
        <w:rPr>
          <w:lang w:val="en-GB"/>
        </w:rPr>
        <w:t>l [2-4]</w:t>
      </w:r>
      <w:r w:rsidRPr="00905D56">
        <w:rPr>
          <w:lang w:val="en-GB"/>
        </w:rPr>
        <w:t xml:space="preserve">. Enrichment and differential gene expression plots were prepared using </w:t>
      </w:r>
      <w:proofErr w:type="spellStart"/>
      <w:r w:rsidRPr="00905D56">
        <w:rPr>
          <w:lang w:val="en-GB"/>
        </w:rPr>
        <w:t>SRplot</w:t>
      </w:r>
      <w:proofErr w:type="spellEnd"/>
      <w:r w:rsidR="00BD3AC4">
        <w:rPr>
          <w:lang w:val="en-GB"/>
        </w:rPr>
        <w:t xml:space="preserve"> [5]</w:t>
      </w:r>
      <w:r w:rsidRPr="00905D56">
        <w:rPr>
          <w:lang w:val="en-GB"/>
        </w:rPr>
        <w:t xml:space="preserve">. </w:t>
      </w:r>
    </w:p>
    <w:p w:rsidR="00531F71" w:rsidRDefault="00531F71" w:rsidP="00DA682A">
      <w:pPr>
        <w:spacing w:line="480" w:lineRule="auto"/>
        <w:rPr>
          <w:b/>
          <w:bCs/>
          <w:lang w:val="en-GB"/>
        </w:rPr>
      </w:pPr>
    </w:p>
    <w:p w:rsidR="00531F71" w:rsidRDefault="00531F71" w:rsidP="00DA682A">
      <w:pPr>
        <w:spacing w:line="480" w:lineRule="auto"/>
        <w:rPr>
          <w:b/>
          <w:bCs/>
          <w:lang w:val="en-GB"/>
        </w:rPr>
      </w:pPr>
    </w:p>
    <w:p w:rsidR="00531F71" w:rsidRDefault="00531F71" w:rsidP="00DA682A">
      <w:pPr>
        <w:spacing w:line="480" w:lineRule="auto"/>
        <w:rPr>
          <w:b/>
          <w:bCs/>
          <w:lang w:val="en-GB"/>
        </w:rPr>
      </w:pPr>
    </w:p>
    <w:p w:rsidR="00531F71" w:rsidRDefault="00531F71" w:rsidP="00DA682A">
      <w:pPr>
        <w:spacing w:line="480" w:lineRule="auto"/>
        <w:rPr>
          <w:b/>
          <w:bCs/>
          <w:lang w:val="en-GB"/>
        </w:rPr>
      </w:pPr>
    </w:p>
    <w:p w:rsidR="009C1FEC" w:rsidRPr="00905D56" w:rsidRDefault="009C1FEC" w:rsidP="00DA682A">
      <w:pPr>
        <w:spacing w:line="480" w:lineRule="auto"/>
        <w:rPr>
          <w:b/>
          <w:bCs/>
          <w:lang w:val="en-GB"/>
        </w:rPr>
      </w:pPr>
      <w:r w:rsidRPr="00905D56">
        <w:rPr>
          <w:b/>
          <w:bCs/>
          <w:lang w:val="en-GB"/>
        </w:rPr>
        <w:lastRenderedPageBreak/>
        <w:t>References</w:t>
      </w:r>
    </w:p>
    <w:sdt>
      <w:sdtPr>
        <w:rPr>
          <w:lang w:val="en-GB"/>
        </w:rPr>
        <w:tag w:val="rw.bWnCOutputStyleIdiblio"/>
        <w:id w:val="1487287342"/>
        <w:placeholder>
          <w:docPart w:val="04A390331DDD4397818233283BC8C996"/>
        </w:placeholder>
      </w:sdtPr>
      <w:sdtContent>
        <w:p w:rsidR="009C1FEC" w:rsidRPr="00905D56" w:rsidRDefault="009C1FEC">
          <w:pPr>
            <w:pStyle w:val="NormaleWeb"/>
            <w:spacing w:line="480" w:lineRule="auto"/>
            <w:divId w:val="1384718989"/>
            <w:rPr>
              <w:rFonts w:ascii="Calibri" w:hAnsi="Calibri" w:cs="Calibri"/>
              <w:color w:val="000000"/>
              <w:sz w:val="22"/>
              <w:szCs w:val="22"/>
              <w:lang w:val="en-GB"/>
            </w:rPr>
          </w:pPr>
          <w:r w:rsidRPr="00905D56">
            <w:rPr>
              <w:rFonts w:ascii="Calibri" w:hAnsi="Calibri" w:cs="Calibri"/>
              <w:color w:val="000000"/>
              <w:sz w:val="22"/>
              <w:szCs w:val="22"/>
              <w:lang w:val="en-GB"/>
            </w:rPr>
            <w:t xml:space="preserve">1. Rossi T, Angeli D, Martinelli G, Fabbri F, Gallerani G. From phenotypical investigation to RNA-sequencing for gene expression analysis: A workflow for single and pooled rare cells. </w:t>
          </w:r>
          <w:r w:rsidRPr="00905D56">
            <w:rPr>
              <w:rFonts w:ascii="Calibri" w:hAnsi="Calibri" w:cs="Calibri"/>
              <w:i/>
              <w:iCs/>
              <w:color w:val="000000"/>
              <w:sz w:val="22"/>
              <w:szCs w:val="22"/>
              <w:lang w:val="en-GB"/>
            </w:rPr>
            <w:t>Front Genet</w:t>
          </w:r>
          <w:r w:rsidRPr="00905D56">
            <w:rPr>
              <w:rFonts w:ascii="Calibri" w:hAnsi="Calibri" w:cs="Calibri"/>
              <w:color w:val="000000"/>
              <w:sz w:val="22"/>
              <w:szCs w:val="22"/>
              <w:lang w:val="en-GB"/>
            </w:rPr>
            <w:t xml:space="preserve">. 2022;13:1012191. </w:t>
          </w:r>
          <w:hyperlink r:id="rId6" w:tgtFrame="_blank" w:history="1">
            <w:r w:rsidRPr="00905D56">
              <w:rPr>
                <w:rStyle w:val="Collegamentoipertestuale"/>
                <w:rFonts w:ascii="Calibri" w:hAnsi="Calibri" w:cs="Calibri"/>
                <w:sz w:val="22"/>
                <w:szCs w:val="22"/>
                <w:lang w:val="en-GB"/>
              </w:rPr>
              <w:t>https://www.ncbi.nlm.nih.gov/pubmed/36452152</w:t>
            </w:r>
          </w:hyperlink>
          <w:r w:rsidRPr="00905D56">
            <w:rPr>
              <w:rFonts w:ascii="Calibri" w:hAnsi="Calibri" w:cs="Calibri"/>
              <w:color w:val="000000"/>
              <w:sz w:val="22"/>
              <w:szCs w:val="22"/>
              <w:lang w:val="en-GB"/>
            </w:rPr>
            <w:t xml:space="preserve">. </w:t>
          </w:r>
          <w:proofErr w:type="spellStart"/>
          <w:r w:rsidRPr="00905D56">
            <w:rPr>
              <w:rFonts w:ascii="Calibri" w:hAnsi="Calibri" w:cs="Calibri"/>
              <w:color w:val="000000"/>
              <w:sz w:val="22"/>
              <w:szCs w:val="22"/>
              <w:lang w:val="en-GB"/>
            </w:rPr>
            <w:t>doi</w:t>
          </w:r>
          <w:proofErr w:type="spellEnd"/>
          <w:r w:rsidRPr="00905D56">
            <w:rPr>
              <w:rFonts w:ascii="Calibri" w:hAnsi="Calibri" w:cs="Calibri"/>
              <w:color w:val="000000"/>
              <w:sz w:val="22"/>
              <w:szCs w:val="22"/>
              <w:lang w:val="en-GB"/>
            </w:rPr>
            <w:t>: 10.3389/fgene.2022.1012191.</w:t>
          </w:r>
        </w:p>
        <w:p w:rsidR="009C1FEC" w:rsidRPr="00905D56" w:rsidRDefault="009C1FEC">
          <w:pPr>
            <w:pStyle w:val="NormaleWeb"/>
            <w:spacing w:line="480" w:lineRule="auto"/>
            <w:divId w:val="1384718989"/>
            <w:rPr>
              <w:rFonts w:ascii="Calibri" w:hAnsi="Calibri" w:cs="Calibri"/>
              <w:color w:val="000000"/>
              <w:sz w:val="22"/>
              <w:szCs w:val="22"/>
              <w:lang w:val="en-GB"/>
            </w:rPr>
          </w:pPr>
          <w:r w:rsidRPr="00905D56">
            <w:rPr>
              <w:rFonts w:ascii="Calibri" w:hAnsi="Calibri" w:cs="Calibri"/>
              <w:color w:val="000000"/>
              <w:sz w:val="22"/>
              <w:szCs w:val="22"/>
              <w:lang w:val="en-GB"/>
            </w:rPr>
            <w:t xml:space="preserve">2. Xie Z, Bailey A, Kuleshov MV, et al. Gene set knowledge discovery with </w:t>
          </w:r>
          <w:proofErr w:type="spellStart"/>
          <w:r w:rsidRPr="00905D56">
            <w:rPr>
              <w:rFonts w:ascii="Calibri" w:hAnsi="Calibri" w:cs="Calibri"/>
              <w:color w:val="000000"/>
              <w:sz w:val="22"/>
              <w:szCs w:val="22"/>
              <w:lang w:val="en-GB"/>
            </w:rPr>
            <w:t>enrichr</w:t>
          </w:r>
          <w:proofErr w:type="spellEnd"/>
          <w:r w:rsidRPr="00905D56">
            <w:rPr>
              <w:rFonts w:ascii="Calibri" w:hAnsi="Calibri" w:cs="Calibri"/>
              <w:color w:val="000000"/>
              <w:sz w:val="22"/>
              <w:szCs w:val="22"/>
              <w:lang w:val="en-GB"/>
            </w:rPr>
            <w:t xml:space="preserve">. </w:t>
          </w:r>
          <w:r w:rsidRPr="00905D56">
            <w:rPr>
              <w:rFonts w:ascii="Calibri" w:hAnsi="Calibri" w:cs="Calibri"/>
              <w:i/>
              <w:iCs/>
              <w:color w:val="000000"/>
              <w:sz w:val="22"/>
              <w:szCs w:val="22"/>
              <w:lang w:val="en-GB"/>
            </w:rPr>
            <w:t>Current protocols</w:t>
          </w:r>
          <w:r w:rsidRPr="00905D56">
            <w:rPr>
              <w:rFonts w:ascii="Calibri" w:hAnsi="Calibri" w:cs="Calibri"/>
              <w:color w:val="000000"/>
              <w:sz w:val="22"/>
              <w:szCs w:val="22"/>
              <w:lang w:val="en-GB"/>
            </w:rPr>
            <w:t xml:space="preserve">. 2021;1(3):e90–n/a. </w:t>
          </w:r>
          <w:hyperlink r:id="rId7" w:tgtFrame="_blank" w:history="1">
            <w:r w:rsidRPr="00905D56">
              <w:rPr>
                <w:rStyle w:val="Collegamentoipertestuale"/>
                <w:rFonts w:ascii="Calibri" w:hAnsi="Calibri" w:cs="Calibri"/>
                <w:sz w:val="22"/>
                <w:szCs w:val="22"/>
                <w:lang w:val="en-GB"/>
              </w:rPr>
              <w:t>https://onlinelibrary.wiley.com/doi/abs/10.1002%2Fcpz1.90</w:t>
            </w:r>
          </w:hyperlink>
          <w:r w:rsidRPr="00905D56">
            <w:rPr>
              <w:rFonts w:ascii="Calibri" w:hAnsi="Calibri" w:cs="Calibri"/>
              <w:color w:val="000000"/>
              <w:sz w:val="22"/>
              <w:szCs w:val="22"/>
              <w:lang w:val="en-GB"/>
            </w:rPr>
            <w:t xml:space="preserve">. </w:t>
          </w:r>
          <w:proofErr w:type="spellStart"/>
          <w:r w:rsidRPr="00905D56">
            <w:rPr>
              <w:rFonts w:ascii="Calibri" w:hAnsi="Calibri" w:cs="Calibri"/>
              <w:color w:val="000000"/>
              <w:sz w:val="22"/>
              <w:szCs w:val="22"/>
              <w:lang w:val="en-GB"/>
            </w:rPr>
            <w:t>doi</w:t>
          </w:r>
          <w:proofErr w:type="spellEnd"/>
          <w:r w:rsidRPr="00905D56">
            <w:rPr>
              <w:rFonts w:ascii="Calibri" w:hAnsi="Calibri" w:cs="Calibri"/>
              <w:color w:val="000000"/>
              <w:sz w:val="22"/>
              <w:szCs w:val="22"/>
              <w:lang w:val="en-GB"/>
            </w:rPr>
            <w:t>: 10.1002/cpz1.90.</w:t>
          </w:r>
        </w:p>
        <w:p w:rsidR="009C1FEC" w:rsidRPr="00905D56" w:rsidRDefault="009C1FEC">
          <w:pPr>
            <w:pStyle w:val="NormaleWeb"/>
            <w:spacing w:line="480" w:lineRule="auto"/>
            <w:divId w:val="1384718989"/>
            <w:rPr>
              <w:rFonts w:ascii="Calibri" w:hAnsi="Calibri" w:cs="Calibri"/>
              <w:color w:val="000000"/>
              <w:sz w:val="22"/>
              <w:szCs w:val="22"/>
              <w:lang w:val="en-GB"/>
            </w:rPr>
          </w:pPr>
          <w:r w:rsidRPr="00905D56">
            <w:rPr>
              <w:rFonts w:ascii="Calibri" w:hAnsi="Calibri" w:cs="Calibri"/>
              <w:color w:val="000000"/>
              <w:sz w:val="22"/>
              <w:szCs w:val="22"/>
              <w:lang w:val="en-GB"/>
            </w:rPr>
            <w:t xml:space="preserve">3. Kuleshov MV, Jones MR, Rouillard AD, et al. </w:t>
          </w:r>
          <w:proofErr w:type="spellStart"/>
          <w:r w:rsidRPr="00905D56">
            <w:rPr>
              <w:rFonts w:ascii="Calibri" w:hAnsi="Calibri" w:cs="Calibri"/>
              <w:color w:val="000000"/>
              <w:sz w:val="22"/>
              <w:szCs w:val="22"/>
              <w:lang w:val="en-GB"/>
            </w:rPr>
            <w:t>Enrichr</w:t>
          </w:r>
          <w:proofErr w:type="spellEnd"/>
          <w:r w:rsidRPr="00905D56">
            <w:rPr>
              <w:rFonts w:ascii="Calibri" w:hAnsi="Calibri" w:cs="Calibri"/>
              <w:color w:val="000000"/>
              <w:sz w:val="22"/>
              <w:szCs w:val="22"/>
              <w:lang w:val="en-GB"/>
            </w:rPr>
            <w:t xml:space="preserve">: A comprehensive gene set enrichment analysis web server 2016 update. </w:t>
          </w:r>
          <w:r w:rsidRPr="00905D56">
            <w:rPr>
              <w:rFonts w:ascii="Calibri" w:hAnsi="Calibri" w:cs="Calibri"/>
              <w:i/>
              <w:iCs/>
              <w:color w:val="000000"/>
              <w:sz w:val="22"/>
              <w:szCs w:val="22"/>
              <w:lang w:val="en-GB"/>
            </w:rPr>
            <w:t>Nucleic acids research</w:t>
          </w:r>
          <w:r w:rsidRPr="00905D56">
            <w:rPr>
              <w:rFonts w:ascii="Calibri" w:hAnsi="Calibri" w:cs="Calibri"/>
              <w:color w:val="000000"/>
              <w:sz w:val="22"/>
              <w:szCs w:val="22"/>
              <w:lang w:val="en-GB"/>
            </w:rPr>
            <w:t xml:space="preserve">. 2016;44(W1):W90–W97. </w:t>
          </w:r>
          <w:hyperlink r:id="rId8" w:tgtFrame="_blank" w:history="1">
            <w:r w:rsidRPr="00905D56">
              <w:rPr>
                <w:rStyle w:val="Collegamentoipertestuale"/>
                <w:rFonts w:ascii="Calibri" w:hAnsi="Calibri" w:cs="Calibri"/>
                <w:sz w:val="22"/>
                <w:szCs w:val="22"/>
                <w:lang w:val="en-GB"/>
              </w:rPr>
              <w:t>https://www.ncbi.nlm.nih.gov/pubmed/27141961</w:t>
            </w:r>
          </w:hyperlink>
          <w:r w:rsidRPr="00905D56">
            <w:rPr>
              <w:rFonts w:ascii="Calibri" w:hAnsi="Calibri" w:cs="Calibri"/>
              <w:color w:val="000000"/>
              <w:sz w:val="22"/>
              <w:szCs w:val="22"/>
              <w:lang w:val="en-GB"/>
            </w:rPr>
            <w:t xml:space="preserve">. </w:t>
          </w:r>
          <w:proofErr w:type="spellStart"/>
          <w:r w:rsidRPr="00905D56">
            <w:rPr>
              <w:rFonts w:ascii="Calibri" w:hAnsi="Calibri" w:cs="Calibri"/>
              <w:color w:val="000000"/>
              <w:sz w:val="22"/>
              <w:szCs w:val="22"/>
              <w:lang w:val="en-GB"/>
            </w:rPr>
            <w:t>doi</w:t>
          </w:r>
          <w:proofErr w:type="spellEnd"/>
          <w:r w:rsidRPr="00905D56">
            <w:rPr>
              <w:rFonts w:ascii="Calibri" w:hAnsi="Calibri" w:cs="Calibri"/>
              <w:color w:val="000000"/>
              <w:sz w:val="22"/>
              <w:szCs w:val="22"/>
              <w:lang w:val="en-GB"/>
            </w:rPr>
            <w:t>: 10.1093/</w:t>
          </w:r>
          <w:proofErr w:type="spellStart"/>
          <w:r w:rsidRPr="00905D56">
            <w:rPr>
              <w:rFonts w:ascii="Calibri" w:hAnsi="Calibri" w:cs="Calibri"/>
              <w:color w:val="000000"/>
              <w:sz w:val="22"/>
              <w:szCs w:val="22"/>
              <w:lang w:val="en-GB"/>
            </w:rPr>
            <w:t>nar</w:t>
          </w:r>
          <w:proofErr w:type="spellEnd"/>
          <w:r w:rsidRPr="00905D56">
            <w:rPr>
              <w:rFonts w:ascii="Calibri" w:hAnsi="Calibri" w:cs="Calibri"/>
              <w:color w:val="000000"/>
              <w:sz w:val="22"/>
              <w:szCs w:val="22"/>
              <w:lang w:val="en-GB"/>
            </w:rPr>
            <w:t>/gkw377.</w:t>
          </w:r>
        </w:p>
        <w:p w:rsidR="009C1FEC" w:rsidRPr="00905D56" w:rsidRDefault="009C1FEC">
          <w:pPr>
            <w:pStyle w:val="NormaleWeb"/>
            <w:spacing w:line="480" w:lineRule="auto"/>
            <w:divId w:val="1384718989"/>
            <w:rPr>
              <w:rFonts w:ascii="Calibri" w:hAnsi="Calibri" w:cs="Calibri"/>
              <w:color w:val="000000"/>
              <w:sz w:val="22"/>
              <w:szCs w:val="22"/>
              <w:lang w:val="en-GB"/>
            </w:rPr>
          </w:pPr>
          <w:r w:rsidRPr="00905D56">
            <w:rPr>
              <w:rFonts w:ascii="Calibri" w:hAnsi="Calibri" w:cs="Calibri"/>
              <w:color w:val="000000"/>
              <w:sz w:val="22"/>
              <w:szCs w:val="22"/>
              <w:lang w:val="en-GB"/>
            </w:rPr>
            <w:t xml:space="preserve">4. Chen EY, Tan CM, Kou Y, et al. </w:t>
          </w:r>
          <w:proofErr w:type="spellStart"/>
          <w:r w:rsidRPr="00905D56">
            <w:rPr>
              <w:rFonts w:ascii="Calibri" w:hAnsi="Calibri" w:cs="Calibri"/>
              <w:color w:val="000000"/>
              <w:sz w:val="22"/>
              <w:szCs w:val="22"/>
              <w:lang w:val="en-GB"/>
            </w:rPr>
            <w:t>Enrichr</w:t>
          </w:r>
          <w:proofErr w:type="spellEnd"/>
          <w:r w:rsidRPr="00905D56">
            <w:rPr>
              <w:rFonts w:ascii="Calibri" w:hAnsi="Calibri" w:cs="Calibri"/>
              <w:color w:val="000000"/>
              <w:sz w:val="22"/>
              <w:szCs w:val="22"/>
              <w:lang w:val="en-GB"/>
            </w:rPr>
            <w:t xml:space="preserve">: Interactive and collaborative HTML5 gene list enrichment analysis tool. </w:t>
          </w:r>
          <w:r w:rsidRPr="00905D56">
            <w:rPr>
              <w:rFonts w:ascii="Calibri" w:hAnsi="Calibri" w:cs="Calibri"/>
              <w:i/>
              <w:iCs/>
              <w:color w:val="000000"/>
              <w:sz w:val="22"/>
              <w:szCs w:val="22"/>
              <w:lang w:val="en-GB"/>
            </w:rPr>
            <w:t>BMC Bioinformatics</w:t>
          </w:r>
          <w:r w:rsidRPr="00905D56">
            <w:rPr>
              <w:rFonts w:ascii="Calibri" w:hAnsi="Calibri" w:cs="Calibri"/>
              <w:color w:val="000000"/>
              <w:sz w:val="22"/>
              <w:szCs w:val="22"/>
              <w:lang w:val="en-GB"/>
            </w:rPr>
            <w:t xml:space="preserve">. 2013;14(1):128–128. </w:t>
          </w:r>
          <w:hyperlink r:id="rId9" w:tgtFrame="_blank" w:history="1">
            <w:r w:rsidRPr="00905D56">
              <w:rPr>
                <w:rStyle w:val="Collegamentoipertestuale"/>
                <w:rFonts w:ascii="Calibri" w:hAnsi="Calibri" w:cs="Calibri"/>
                <w:sz w:val="22"/>
                <w:szCs w:val="22"/>
                <w:lang w:val="en-GB"/>
              </w:rPr>
              <w:t>https://www.ncbi.nlm.nih.gov/pubmed/23586463</w:t>
            </w:r>
          </w:hyperlink>
          <w:r w:rsidRPr="00905D56">
            <w:rPr>
              <w:rFonts w:ascii="Calibri" w:hAnsi="Calibri" w:cs="Calibri"/>
              <w:color w:val="000000"/>
              <w:sz w:val="22"/>
              <w:szCs w:val="22"/>
              <w:lang w:val="en-GB"/>
            </w:rPr>
            <w:t xml:space="preserve">. </w:t>
          </w:r>
          <w:proofErr w:type="spellStart"/>
          <w:r w:rsidRPr="00905D56">
            <w:rPr>
              <w:rFonts w:ascii="Calibri" w:hAnsi="Calibri" w:cs="Calibri"/>
              <w:color w:val="000000"/>
              <w:sz w:val="22"/>
              <w:szCs w:val="22"/>
              <w:lang w:val="en-GB"/>
            </w:rPr>
            <w:t>doi</w:t>
          </w:r>
          <w:proofErr w:type="spellEnd"/>
          <w:r w:rsidRPr="00905D56">
            <w:rPr>
              <w:rFonts w:ascii="Calibri" w:hAnsi="Calibri" w:cs="Calibri"/>
              <w:color w:val="000000"/>
              <w:sz w:val="22"/>
              <w:szCs w:val="22"/>
              <w:lang w:val="en-GB"/>
            </w:rPr>
            <w:t>: 10.1186/1471-2105-14-128.</w:t>
          </w:r>
        </w:p>
        <w:p w:rsidR="00DA682A" w:rsidRDefault="009C1FEC" w:rsidP="009C1FEC">
          <w:pPr>
            <w:pStyle w:val="NormaleWeb"/>
            <w:spacing w:line="480" w:lineRule="auto"/>
            <w:rPr>
              <w:rFonts w:ascii="Calibri" w:hAnsi="Calibri" w:cs="Calibri"/>
              <w:color w:val="000000"/>
              <w:sz w:val="22"/>
              <w:szCs w:val="22"/>
              <w:lang w:val="en-GB"/>
            </w:rPr>
          </w:pPr>
          <w:r w:rsidRPr="00905D56">
            <w:rPr>
              <w:rFonts w:ascii="Calibri" w:hAnsi="Calibri" w:cs="Calibri"/>
              <w:color w:val="000000"/>
              <w:sz w:val="22"/>
              <w:szCs w:val="22"/>
              <w:lang w:val="en-GB"/>
            </w:rPr>
            <w:t xml:space="preserve">5. Tang D, Chen M, Huang X, et al. </w:t>
          </w:r>
          <w:proofErr w:type="spellStart"/>
          <w:r w:rsidRPr="00905D56">
            <w:rPr>
              <w:rFonts w:ascii="Calibri" w:hAnsi="Calibri" w:cs="Calibri"/>
              <w:color w:val="000000"/>
              <w:sz w:val="22"/>
              <w:szCs w:val="22"/>
              <w:lang w:val="en-GB"/>
            </w:rPr>
            <w:t>SRplot</w:t>
          </w:r>
          <w:proofErr w:type="spellEnd"/>
          <w:r w:rsidRPr="00905D56">
            <w:rPr>
              <w:rFonts w:ascii="Calibri" w:hAnsi="Calibri" w:cs="Calibri"/>
              <w:color w:val="000000"/>
              <w:sz w:val="22"/>
              <w:szCs w:val="22"/>
              <w:lang w:val="en-GB"/>
            </w:rPr>
            <w:t xml:space="preserve">: A free online platform for data visualization and graphing. </w:t>
          </w:r>
          <w:r w:rsidRPr="00905D56">
            <w:rPr>
              <w:rFonts w:ascii="Calibri" w:hAnsi="Calibri" w:cs="Calibri"/>
              <w:i/>
              <w:iCs/>
              <w:color w:val="000000"/>
              <w:sz w:val="22"/>
              <w:szCs w:val="22"/>
              <w:lang w:val="en-GB"/>
            </w:rPr>
            <w:t>PLOS ONE</w:t>
          </w:r>
          <w:r w:rsidRPr="00905D56">
            <w:rPr>
              <w:rFonts w:ascii="Calibri" w:hAnsi="Calibri" w:cs="Calibri"/>
              <w:color w:val="000000"/>
              <w:sz w:val="22"/>
              <w:szCs w:val="22"/>
              <w:lang w:val="en-GB"/>
            </w:rPr>
            <w:t xml:space="preserve">. 2023;18(11):e0–e0294236. </w:t>
          </w:r>
          <w:hyperlink r:id="rId10" w:tgtFrame="_blank" w:history="1">
            <w:r w:rsidRPr="00905D56">
              <w:rPr>
                <w:rStyle w:val="Collegamentoipertestuale"/>
                <w:rFonts w:ascii="Calibri" w:hAnsi="Calibri" w:cs="Calibri"/>
                <w:sz w:val="22"/>
                <w:szCs w:val="22"/>
                <w:lang w:val="en-GB"/>
              </w:rPr>
              <w:t>https://www.proquest.com/docview/3069280650</w:t>
            </w:r>
          </w:hyperlink>
          <w:r w:rsidRPr="00905D56">
            <w:rPr>
              <w:rFonts w:ascii="Calibri" w:hAnsi="Calibri" w:cs="Calibri"/>
              <w:color w:val="000000"/>
              <w:sz w:val="22"/>
              <w:szCs w:val="22"/>
              <w:lang w:val="en-GB"/>
            </w:rPr>
            <w:t xml:space="preserve">. </w:t>
          </w:r>
          <w:proofErr w:type="spellStart"/>
          <w:r w:rsidRPr="00905D56">
            <w:rPr>
              <w:rFonts w:ascii="Calibri" w:hAnsi="Calibri" w:cs="Calibri"/>
              <w:color w:val="000000"/>
              <w:sz w:val="22"/>
              <w:szCs w:val="22"/>
              <w:lang w:val="en-GB"/>
            </w:rPr>
            <w:t>doi</w:t>
          </w:r>
          <w:proofErr w:type="spellEnd"/>
          <w:r w:rsidRPr="00905D56">
            <w:rPr>
              <w:rFonts w:ascii="Calibri" w:hAnsi="Calibri" w:cs="Calibri"/>
              <w:color w:val="000000"/>
              <w:sz w:val="22"/>
              <w:szCs w:val="22"/>
              <w:lang w:val="en-GB"/>
            </w:rPr>
            <w:t>: 10.1371/journal.pone.0294236.</w:t>
          </w:r>
        </w:p>
        <w:p w:rsidR="00E643FF" w:rsidRDefault="00E643FF" w:rsidP="009C1FEC">
          <w:pPr>
            <w:pStyle w:val="NormaleWeb"/>
            <w:spacing w:line="480" w:lineRule="auto"/>
            <w:rPr>
              <w:rFonts w:ascii="Calibri" w:hAnsi="Calibri" w:cs="Calibri"/>
              <w:color w:val="000000"/>
              <w:lang w:val="en-GB"/>
            </w:rPr>
          </w:pPr>
        </w:p>
        <w:p w:rsidR="00E643FF" w:rsidRDefault="00E643FF" w:rsidP="009C1FEC">
          <w:pPr>
            <w:pStyle w:val="NormaleWeb"/>
            <w:spacing w:line="480" w:lineRule="auto"/>
            <w:rPr>
              <w:rFonts w:ascii="Calibri" w:hAnsi="Calibri" w:cs="Calibri"/>
              <w:color w:val="000000"/>
              <w:lang w:val="en-GB"/>
            </w:rPr>
          </w:pPr>
        </w:p>
        <w:p w:rsidR="00E643FF" w:rsidRDefault="00E643FF" w:rsidP="009C1FEC">
          <w:pPr>
            <w:pStyle w:val="NormaleWeb"/>
            <w:spacing w:line="480" w:lineRule="auto"/>
            <w:rPr>
              <w:rFonts w:ascii="Calibri" w:hAnsi="Calibri" w:cs="Calibri"/>
              <w:color w:val="000000"/>
              <w:lang w:val="en-GB"/>
            </w:rPr>
          </w:pPr>
        </w:p>
        <w:p w:rsidR="00E643FF" w:rsidRDefault="00E643FF" w:rsidP="009C1FEC">
          <w:pPr>
            <w:pStyle w:val="NormaleWeb"/>
            <w:spacing w:line="480" w:lineRule="auto"/>
            <w:rPr>
              <w:rFonts w:ascii="Calibri" w:hAnsi="Calibri" w:cs="Calibri"/>
              <w:color w:val="000000"/>
              <w:lang w:val="en-GB"/>
            </w:rPr>
          </w:pPr>
        </w:p>
        <w:p w:rsidR="00E643FF" w:rsidRDefault="00E643FF" w:rsidP="009C1FEC">
          <w:pPr>
            <w:pStyle w:val="NormaleWeb"/>
            <w:spacing w:line="480" w:lineRule="auto"/>
            <w:rPr>
              <w:rFonts w:ascii="Calibri" w:hAnsi="Calibri" w:cs="Calibri"/>
              <w:color w:val="000000"/>
              <w:lang w:val="en-GB"/>
            </w:rPr>
          </w:pPr>
        </w:p>
        <w:p w:rsidR="00531F71" w:rsidRPr="00991C45" w:rsidRDefault="00991C45" w:rsidP="009C1FEC">
          <w:pPr>
            <w:pStyle w:val="NormaleWeb"/>
            <w:spacing w:line="480" w:lineRule="auto"/>
            <w:rPr>
              <w:rFonts w:asciiTheme="minorHAnsi" w:hAnsiTheme="minorHAnsi" w:cstheme="minorHAnsi"/>
              <w:b/>
              <w:sz w:val="22"/>
              <w:szCs w:val="22"/>
              <w:lang w:val="en-GB"/>
            </w:rPr>
          </w:pPr>
          <w:r w:rsidRPr="00991C45">
            <w:rPr>
              <w:rFonts w:asciiTheme="minorHAnsi" w:hAnsiTheme="minorHAnsi" w:cstheme="minorHAnsi"/>
              <w:b/>
              <w:sz w:val="22"/>
              <w:szCs w:val="22"/>
              <w:lang w:val="en-GB"/>
            </w:rPr>
            <w:lastRenderedPageBreak/>
            <w:t>Supplementary data</w:t>
          </w:r>
        </w:p>
        <w:tbl>
          <w:tblPr>
            <w:tblStyle w:val="GridTable2"/>
            <w:tblpPr w:leftFromText="141" w:rightFromText="141" w:vertAnchor="text" w:horzAnchor="margin" w:tblpXSpec="center" w:tblpY="1615"/>
            <w:tblW w:w="11068" w:type="dxa"/>
            <w:tblLook w:val="04A0"/>
          </w:tblPr>
          <w:tblGrid>
            <w:gridCol w:w="1340"/>
            <w:gridCol w:w="1696"/>
            <w:gridCol w:w="1148"/>
            <w:gridCol w:w="1004"/>
            <w:gridCol w:w="5880"/>
          </w:tblGrid>
          <w:tr w:rsidR="00531F71" w:rsidRPr="00905D56" w:rsidTr="00531F71">
            <w:trPr>
              <w:cnfStyle w:val="100000000000"/>
              <w:trHeight w:val="746"/>
            </w:trPr>
            <w:tc>
              <w:tcPr>
                <w:cnfStyle w:val="001000000000"/>
                <w:tcW w:w="1340" w:type="dxa"/>
              </w:tcPr>
              <w:p w:rsidR="00531F71" w:rsidRPr="00905D56" w:rsidRDefault="00531F71" w:rsidP="00531F71">
                <w:pPr>
                  <w:spacing w:before="240" w:line="480" w:lineRule="auto"/>
                  <w:jc w:val="center"/>
                  <w:rPr>
                    <w:b w:val="0"/>
                    <w:bCs w:val="0"/>
                  </w:rPr>
                </w:pPr>
                <w:r w:rsidRPr="00905D56">
                  <w:t>Database</w:t>
                </w:r>
              </w:p>
            </w:tc>
            <w:tc>
              <w:tcPr>
                <w:tcW w:w="1696" w:type="dxa"/>
              </w:tcPr>
              <w:p w:rsidR="00531F71" w:rsidRPr="00905D56" w:rsidRDefault="00531F71" w:rsidP="00531F71">
                <w:pPr>
                  <w:spacing w:before="240" w:line="480" w:lineRule="auto"/>
                  <w:jc w:val="center"/>
                  <w:cnfStyle w:val="100000000000"/>
                  <w:rPr>
                    <w:b w:val="0"/>
                    <w:bCs w:val="0"/>
                  </w:rPr>
                </w:pPr>
                <w:r w:rsidRPr="00905D56">
                  <w:t>Term</w:t>
                </w:r>
              </w:p>
            </w:tc>
            <w:tc>
              <w:tcPr>
                <w:tcW w:w="1148" w:type="dxa"/>
              </w:tcPr>
              <w:p w:rsidR="00531F71" w:rsidRPr="00905D56" w:rsidRDefault="00531F71" w:rsidP="00531F71">
                <w:pPr>
                  <w:spacing w:before="240" w:line="480" w:lineRule="auto"/>
                  <w:jc w:val="center"/>
                  <w:cnfStyle w:val="100000000000"/>
                  <w:rPr>
                    <w:b w:val="0"/>
                    <w:bCs w:val="0"/>
                  </w:rPr>
                </w:pPr>
                <w:r w:rsidRPr="00905D56">
                  <w:t>Overlap</w:t>
                </w:r>
              </w:p>
            </w:tc>
            <w:tc>
              <w:tcPr>
                <w:tcW w:w="1004" w:type="dxa"/>
              </w:tcPr>
              <w:p w:rsidR="00531F71" w:rsidRPr="00905D56" w:rsidRDefault="00531F71" w:rsidP="00531F71">
                <w:pPr>
                  <w:spacing w:before="240" w:line="480" w:lineRule="auto"/>
                  <w:jc w:val="center"/>
                  <w:cnfStyle w:val="100000000000"/>
                  <w:rPr>
                    <w:b w:val="0"/>
                    <w:bCs w:val="0"/>
                  </w:rPr>
                </w:pPr>
                <w:r w:rsidRPr="00905D56">
                  <w:t>P-value</w:t>
                </w:r>
              </w:p>
            </w:tc>
            <w:tc>
              <w:tcPr>
                <w:tcW w:w="5880" w:type="dxa"/>
              </w:tcPr>
              <w:p w:rsidR="00531F71" w:rsidRPr="00905D56" w:rsidRDefault="00531F71" w:rsidP="00531F71">
                <w:pPr>
                  <w:spacing w:before="240" w:line="480" w:lineRule="auto"/>
                  <w:jc w:val="center"/>
                  <w:cnfStyle w:val="100000000000"/>
                  <w:rPr>
                    <w:b w:val="0"/>
                    <w:bCs w:val="0"/>
                  </w:rPr>
                </w:pPr>
                <w:r w:rsidRPr="00905D56">
                  <w:t>Genes</w:t>
                </w:r>
              </w:p>
            </w:tc>
          </w:tr>
          <w:tr w:rsidR="00531F71" w:rsidRPr="001605A1" w:rsidTr="00531F71">
            <w:trPr>
              <w:cnfStyle w:val="000000100000"/>
              <w:trHeight w:val="1742"/>
            </w:trPr>
            <w:tc>
              <w:tcPr>
                <w:cnfStyle w:val="001000000000"/>
                <w:tcW w:w="1340" w:type="dxa"/>
              </w:tcPr>
              <w:p w:rsidR="00531F71" w:rsidRPr="00905D56" w:rsidRDefault="00531F71" w:rsidP="00531F71">
                <w:pPr>
                  <w:spacing w:before="240" w:line="480" w:lineRule="auto"/>
                  <w:jc w:val="center"/>
                </w:pPr>
                <w:r w:rsidRPr="00905D56">
                  <w:t>ClinVar2019</w:t>
                </w:r>
              </w:p>
            </w:tc>
            <w:tc>
              <w:tcPr>
                <w:tcW w:w="1696" w:type="dxa"/>
              </w:tcPr>
              <w:p w:rsidR="00531F71" w:rsidRPr="00905D56" w:rsidRDefault="00531F71" w:rsidP="00531F71">
                <w:pPr>
                  <w:spacing w:before="240" w:line="480" w:lineRule="auto"/>
                  <w:jc w:val="center"/>
                  <w:cnfStyle w:val="000000100000"/>
                </w:pPr>
                <w:r w:rsidRPr="00905D56">
                  <w:t>Neoplasm of the breast</w:t>
                </w:r>
              </w:p>
            </w:tc>
            <w:tc>
              <w:tcPr>
                <w:tcW w:w="1148" w:type="dxa"/>
              </w:tcPr>
              <w:p w:rsidR="00531F71" w:rsidRPr="00905D56" w:rsidRDefault="00531F71" w:rsidP="00531F71">
                <w:pPr>
                  <w:spacing w:before="240" w:line="480" w:lineRule="auto"/>
                  <w:jc w:val="center"/>
                  <w:cnfStyle w:val="000000100000"/>
                </w:pPr>
                <w:r w:rsidRPr="00905D56">
                  <w:t>22/27</w:t>
                </w:r>
              </w:p>
            </w:tc>
            <w:tc>
              <w:tcPr>
                <w:tcW w:w="1004" w:type="dxa"/>
              </w:tcPr>
              <w:p w:rsidR="00531F71" w:rsidRPr="00BD3AC4" w:rsidRDefault="00531F71" w:rsidP="00531F71">
                <w:pPr>
                  <w:spacing w:before="240" w:line="480" w:lineRule="auto"/>
                  <w:jc w:val="center"/>
                  <w:cnfStyle w:val="000000100000"/>
                  <w:rPr>
                    <w:rFonts w:asciiTheme="minorHAnsi" w:hAnsiTheme="minorHAnsi" w:cstheme="minorHAnsi"/>
                    <w:sz w:val="20"/>
                    <w:szCs w:val="20"/>
                  </w:rPr>
                </w:pPr>
                <w:r w:rsidRPr="00BD3AC4">
                  <w:rPr>
                    <w:rFonts w:asciiTheme="minorHAnsi" w:hAnsiTheme="minorHAnsi" w:cstheme="minorHAnsi"/>
                  </w:rPr>
                  <w:t>2.13E-08</w:t>
                </w:r>
              </w:p>
            </w:tc>
            <w:tc>
              <w:tcPr>
                <w:tcW w:w="5880" w:type="dxa"/>
              </w:tcPr>
              <w:p w:rsidR="00531F71" w:rsidRPr="00905D56" w:rsidRDefault="00531F71" w:rsidP="00531F71">
                <w:pPr>
                  <w:spacing w:before="240" w:line="480" w:lineRule="auto"/>
                  <w:jc w:val="center"/>
                  <w:cnfStyle w:val="000000100000"/>
                  <w:rPr>
                    <w:i/>
                    <w:iCs/>
                  </w:rPr>
                </w:pPr>
                <w:r w:rsidRPr="00905D56">
                  <w:rPr>
                    <w:i/>
                    <w:iCs/>
                  </w:rPr>
                  <w:t>BARD1, XRCC3, PTEN, BRCA1, PHB, BRCA2, ESR1, PALB2, BRIP1, STK11, RAD51D, CASP8, RAD51, RAD51C, PIK3CA, CDH1, CHEK2, RB1CC1, AKT1, ATM, KRAS, TP53</w:t>
                </w:r>
              </w:p>
            </w:tc>
          </w:tr>
          <w:tr w:rsidR="00531F71" w:rsidRPr="001605A1" w:rsidTr="00531F71">
            <w:trPr>
              <w:trHeight w:val="4318"/>
            </w:trPr>
            <w:tc>
              <w:tcPr>
                <w:cnfStyle w:val="001000000000"/>
                <w:tcW w:w="1340" w:type="dxa"/>
              </w:tcPr>
              <w:p w:rsidR="00531F71" w:rsidRPr="00905D56" w:rsidRDefault="00531F71" w:rsidP="00531F71">
                <w:pPr>
                  <w:spacing w:before="240" w:line="480" w:lineRule="auto"/>
                  <w:jc w:val="center"/>
                </w:pPr>
                <w:proofErr w:type="spellStart"/>
                <w:r w:rsidRPr="00905D56">
                  <w:t>DisGeNET</w:t>
                </w:r>
                <w:proofErr w:type="spellEnd"/>
              </w:p>
            </w:tc>
            <w:tc>
              <w:tcPr>
                <w:tcW w:w="1696" w:type="dxa"/>
              </w:tcPr>
              <w:p w:rsidR="00531F71" w:rsidRPr="00905D56" w:rsidRDefault="00531F71" w:rsidP="00531F71">
                <w:pPr>
                  <w:spacing w:before="240" w:line="480" w:lineRule="auto"/>
                  <w:jc w:val="center"/>
                  <w:cnfStyle w:val="000000000000"/>
                </w:pPr>
                <w:r w:rsidRPr="00905D56">
                  <w:t>Sporadic Breast Carcinoma</w:t>
                </w:r>
              </w:p>
            </w:tc>
            <w:tc>
              <w:tcPr>
                <w:tcW w:w="1148" w:type="dxa"/>
              </w:tcPr>
              <w:p w:rsidR="00531F71" w:rsidRPr="00905D56" w:rsidRDefault="00531F71" w:rsidP="00531F71">
                <w:pPr>
                  <w:spacing w:before="240" w:line="480" w:lineRule="auto"/>
                  <w:jc w:val="center"/>
                  <w:cnfStyle w:val="000000000000"/>
                </w:pPr>
                <w:r w:rsidRPr="00905D56">
                  <w:t>65/159</w:t>
                </w:r>
              </w:p>
            </w:tc>
            <w:tc>
              <w:tcPr>
                <w:tcW w:w="1004" w:type="dxa"/>
              </w:tcPr>
              <w:p w:rsidR="00531F71" w:rsidRPr="00905D56" w:rsidRDefault="00531F71" w:rsidP="00531F71">
                <w:pPr>
                  <w:spacing w:before="240" w:line="480" w:lineRule="auto"/>
                  <w:jc w:val="center"/>
                  <w:cnfStyle w:val="000000000000"/>
                </w:pPr>
                <w:r w:rsidRPr="00905D56">
                  <w:t>7</w:t>
                </w:r>
                <w:r>
                  <w:t>.</w:t>
                </w:r>
                <w:r w:rsidRPr="00905D56">
                  <w:t>54E-04</w:t>
                </w:r>
              </w:p>
            </w:tc>
            <w:tc>
              <w:tcPr>
                <w:tcW w:w="5880" w:type="dxa"/>
              </w:tcPr>
              <w:p w:rsidR="00531F71" w:rsidRPr="00905D56" w:rsidRDefault="00531F71" w:rsidP="00531F71">
                <w:pPr>
                  <w:spacing w:before="240" w:line="480" w:lineRule="auto"/>
                  <w:jc w:val="center"/>
                  <w:cnfStyle w:val="000000000000"/>
                  <w:rPr>
                    <w:i/>
                    <w:iCs/>
                  </w:rPr>
                </w:pPr>
                <w:r w:rsidRPr="00905D56">
                  <w:rPr>
                    <w:i/>
                    <w:iCs/>
                  </w:rPr>
                  <w:t>RB1, ACHE, CD40, THRA, OGG1, PTEN, BRCA1, COMT, NR3C1, BRCA2, CLDN1, IGF1R, PTBP1, STK11, CDH1, MYC, CHEK2, MYB, TNFSF10, SRRM2, PARP1, TSC1, ETV4, EMSY, TGFBR1, TGFBR2, MSH6, AR, RAD51C, MSH2, PIK3CA, MSH3, IRF1, PGR, TP53, RBMS3, MCPH1, DNMT1, CEBPD, PHB, FHIT, BRIP1, PMS1, BARD1, GADD45A, VDR, PNO1, CAV1, XRCC3, FANCA, IGF1, MLH1, ESR1, VEGFA, NFKBIA, GSTZ1, RAD51, TNFSF4, CDK2, BCL2, CD28, ATM, FGFR2, ZNF410, ATR</w:t>
                </w:r>
                <w:r w:rsidRPr="00905D56" w:rsidDel="004B1306">
                  <w:rPr>
                    <w:i/>
                    <w:iCs/>
                  </w:rPr>
                  <w:t xml:space="preserve"> </w:t>
                </w:r>
              </w:p>
            </w:tc>
          </w:tr>
          <w:tr w:rsidR="00531F71" w:rsidRPr="001605A1" w:rsidTr="00531F71">
            <w:trPr>
              <w:cnfStyle w:val="000000100000"/>
              <w:trHeight w:val="1777"/>
            </w:trPr>
            <w:tc>
              <w:tcPr>
                <w:cnfStyle w:val="001000000000"/>
                <w:tcW w:w="1340" w:type="dxa"/>
              </w:tcPr>
              <w:p w:rsidR="00531F71" w:rsidRPr="00905D56" w:rsidRDefault="00531F71" w:rsidP="00531F71">
                <w:pPr>
                  <w:spacing w:before="240" w:line="480" w:lineRule="auto"/>
                  <w:jc w:val="center"/>
                </w:pPr>
                <w:r w:rsidRPr="00905D56">
                  <w:t>Human Phenotype Ontology</w:t>
                </w:r>
              </w:p>
            </w:tc>
            <w:tc>
              <w:tcPr>
                <w:tcW w:w="1696" w:type="dxa"/>
              </w:tcPr>
              <w:p w:rsidR="00531F71" w:rsidRPr="00905D56" w:rsidRDefault="00531F71" w:rsidP="00531F71">
                <w:pPr>
                  <w:spacing w:before="240" w:line="480" w:lineRule="auto"/>
                  <w:jc w:val="center"/>
                  <w:cnfStyle w:val="000000100000"/>
                </w:pPr>
                <w:r w:rsidRPr="00905D56">
                  <w:t>Breast Carcinoma (HP:0003002)</w:t>
                </w:r>
              </w:p>
            </w:tc>
            <w:tc>
              <w:tcPr>
                <w:tcW w:w="1148" w:type="dxa"/>
              </w:tcPr>
              <w:p w:rsidR="00531F71" w:rsidRPr="00905D56" w:rsidRDefault="00531F71" w:rsidP="00531F71">
                <w:pPr>
                  <w:spacing w:before="240" w:line="480" w:lineRule="auto"/>
                  <w:jc w:val="center"/>
                  <w:cnfStyle w:val="000000100000"/>
                </w:pPr>
                <w:r w:rsidRPr="00905D56">
                  <w:t>16/22</w:t>
                </w:r>
              </w:p>
            </w:tc>
            <w:tc>
              <w:tcPr>
                <w:tcW w:w="1004" w:type="dxa"/>
              </w:tcPr>
              <w:p w:rsidR="00531F71" w:rsidRPr="00905D56" w:rsidRDefault="00531F71" w:rsidP="00531F71">
                <w:pPr>
                  <w:spacing w:before="240" w:line="480" w:lineRule="auto"/>
                  <w:jc w:val="center"/>
                  <w:cnfStyle w:val="000000100000"/>
                </w:pPr>
                <w:r w:rsidRPr="00905D56">
                  <w:t>2</w:t>
                </w:r>
                <w:r>
                  <w:t>.</w:t>
                </w:r>
                <w:r w:rsidRPr="00905D56">
                  <w:t>59E-05</w:t>
                </w:r>
              </w:p>
            </w:tc>
            <w:tc>
              <w:tcPr>
                <w:tcW w:w="5880" w:type="dxa"/>
              </w:tcPr>
              <w:p w:rsidR="00531F71" w:rsidRPr="00905D56" w:rsidRDefault="00531F71" w:rsidP="00531F71">
                <w:pPr>
                  <w:spacing w:before="240" w:line="480" w:lineRule="auto"/>
                  <w:jc w:val="center"/>
                  <w:cnfStyle w:val="000000100000"/>
                  <w:rPr>
                    <w:i/>
                    <w:iCs/>
                  </w:rPr>
                </w:pPr>
                <w:r w:rsidRPr="00905D56">
                  <w:rPr>
                    <w:i/>
                    <w:iCs/>
                  </w:rPr>
                  <w:t>PTEN, MLH1, ABCC11, STK11, BRIP1, MSH2, PIK3CA, CDH1, RB1CC1, CHEK2, CTNNB1, AKT1, KRAS, TP53, FGFR2, ATR</w:t>
                </w:r>
              </w:p>
            </w:tc>
          </w:tr>
        </w:tbl>
        <w:p w:rsidR="00E643FF" w:rsidRPr="00531F71" w:rsidRDefault="00531F71" w:rsidP="009C1FEC">
          <w:pPr>
            <w:pStyle w:val="NormaleWeb"/>
            <w:spacing w:line="480" w:lineRule="auto"/>
            <w:rPr>
              <w:rFonts w:asciiTheme="minorHAnsi" w:hAnsiTheme="minorHAnsi" w:cstheme="minorHAnsi"/>
              <w:b/>
              <w:bCs/>
              <w:sz w:val="20"/>
              <w:szCs w:val="20"/>
              <w:lang w:val="en-GB"/>
            </w:rPr>
          </w:pPr>
          <w:r w:rsidRPr="00905D56">
            <w:rPr>
              <w:rFonts w:asciiTheme="minorHAnsi" w:hAnsiTheme="minorHAnsi" w:cstheme="minorHAnsi"/>
              <w:b/>
              <w:bCs/>
              <w:sz w:val="22"/>
              <w:szCs w:val="22"/>
              <w:lang w:val="en-GB"/>
            </w:rPr>
            <w:t xml:space="preserve">Table S2. </w:t>
          </w:r>
          <w:r w:rsidRPr="00905D56">
            <w:rPr>
              <w:rFonts w:asciiTheme="minorHAnsi" w:hAnsiTheme="minorHAnsi" w:cstheme="minorHAnsi"/>
              <w:sz w:val="22"/>
              <w:szCs w:val="22"/>
              <w:lang w:val="en-GB"/>
            </w:rPr>
            <w:t xml:space="preserve">List of terms associated based on </w:t>
          </w:r>
          <w:proofErr w:type="spellStart"/>
          <w:r w:rsidRPr="00905D56">
            <w:rPr>
              <w:rFonts w:asciiTheme="minorHAnsi" w:hAnsiTheme="minorHAnsi" w:cstheme="minorHAnsi"/>
              <w:sz w:val="22"/>
              <w:szCs w:val="22"/>
              <w:lang w:val="en-GB"/>
            </w:rPr>
            <w:t>EnrichR</w:t>
          </w:r>
          <w:proofErr w:type="spellEnd"/>
          <w:r w:rsidRPr="00905D56">
            <w:rPr>
              <w:rFonts w:asciiTheme="minorHAnsi" w:hAnsiTheme="minorHAnsi" w:cstheme="minorHAnsi"/>
              <w:sz w:val="22"/>
              <w:szCs w:val="22"/>
              <w:lang w:val="en-GB"/>
            </w:rPr>
            <w:t xml:space="preserve"> with breast cancer in circulating </w:t>
          </w:r>
          <w:proofErr w:type="spellStart"/>
          <w:r w:rsidRPr="00905D56">
            <w:rPr>
              <w:rFonts w:asciiTheme="minorHAnsi" w:hAnsiTheme="minorHAnsi" w:cstheme="minorHAnsi"/>
              <w:sz w:val="22"/>
              <w:szCs w:val="22"/>
              <w:lang w:val="en-GB"/>
            </w:rPr>
            <w:t>tumor</w:t>
          </w:r>
          <w:proofErr w:type="spellEnd"/>
          <w:r w:rsidRPr="00905D56">
            <w:rPr>
              <w:rFonts w:asciiTheme="minorHAnsi" w:hAnsiTheme="minorHAnsi" w:cstheme="minorHAnsi"/>
              <w:sz w:val="22"/>
              <w:szCs w:val="22"/>
              <w:lang w:val="en-GB"/>
            </w:rPr>
            <w:t xml:space="preserve"> cells (CTCs)</w:t>
          </w:r>
          <w:r>
            <w:rPr>
              <w:rFonts w:asciiTheme="minorHAnsi" w:hAnsiTheme="minorHAnsi" w:cstheme="minorHAnsi"/>
              <w:sz w:val="22"/>
              <w:szCs w:val="22"/>
              <w:lang w:val="en-GB"/>
            </w:rPr>
            <w:t xml:space="preserve"> </w:t>
          </w:r>
          <w:r w:rsidRPr="00905D56">
            <w:rPr>
              <w:rFonts w:asciiTheme="minorHAnsi" w:hAnsiTheme="minorHAnsi" w:cstheme="minorHAnsi"/>
              <w:sz w:val="22"/>
              <w:szCs w:val="22"/>
              <w:lang w:val="en-GB"/>
            </w:rPr>
            <w:t>based on their gene expression across the different gene set libraries queried.</w:t>
          </w:r>
        </w:p>
      </w:sdtContent>
    </w:sdt>
    <w:p w:rsidR="00531F71" w:rsidRDefault="00531F71" w:rsidP="009C1FEC">
      <w:pPr>
        <w:pStyle w:val="NormaleWeb"/>
        <w:spacing w:line="480" w:lineRule="auto"/>
        <w:rPr>
          <w:rFonts w:asciiTheme="minorHAnsi" w:hAnsiTheme="minorHAnsi" w:cstheme="minorHAnsi"/>
          <w:sz w:val="22"/>
          <w:szCs w:val="22"/>
          <w:lang w:val="en-GB"/>
        </w:rPr>
      </w:pPr>
    </w:p>
    <w:p w:rsidR="003467D4" w:rsidRPr="00905D56" w:rsidRDefault="003467D4" w:rsidP="003467D4">
      <w:pPr>
        <w:pStyle w:val="NormaleWeb"/>
        <w:spacing w:line="480" w:lineRule="auto"/>
        <w:rPr>
          <w:rFonts w:asciiTheme="minorHAnsi" w:hAnsiTheme="minorHAnsi" w:cstheme="minorHAnsi"/>
          <w:b/>
          <w:bCs/>
          <w:sz w:val="22"/>
          <w:szCs w:val="22"/>
          <w:lang w:val="en-GB"/>
        </w:rPr>
      </w:pPr>
    </w:p>
    <w:p w:rsidR="00E643FF" w:rsidRDefault="00E643FF" w:rsidP="003467D4">
      <w:pPr>
        <w:pStyle w:val="NormaleWeb"/>
        <w:spacing w:line="480" w:lineRule="auto"/>
        <w:rPr>
          <w:rFonts w:asciiTheme="minorHAnsi" w:hAnsiTheme="minorHAnsi" w:cstheme="minorHAnsi"/>
          <w:b/>
          <w:bCs/>
          <w:sz w:val="22"/>
          <w:szCs w:val="22"/>
          <w:lang w:val="en-GB"/>
        </w:rPr>
      </w:pPr>
    </w:p>
    <w:p w:rsidR="00E643FF" w:rsidRDefault="00E643FF" w:rsidP="003467D4">
      <w:pPr>
        <w:pStyle w:val="NormaleWeb"/>
        <w:spacing w:line="480" w:lineRule="auto"/>
        <w:rPr>
          <w:rFonts w:asciiTheme="minorHAnsi" w:hAnsiTheme="minorHAnsi" w:cstheme="minorHAnsi"/>
          <w:b/>
          <w:bCs/>
          <w:sz w:val="22"/>
          <w:szCs w:val="22"/>
          <w:lang w:val="en-GB"/>
        </w:rPr>
      </w:pPr>
    </w:p>
    <w:p w:rsidR="003467D4" w:rsidRPr="00905D56" w:rsidRDefault="003467D4" w:rsidP="003467D4">
      <w:pPr>
        <w:pStyle w:val="NormaleWeb"/>
        <w:spacing w:line="480" w:lineRule="auto"/>
        <w:rPr>
          <w:rFonts w:asciiTheme="minorHAnsi" w:hAnsiTheme="minorHAnsi" w:cstheme="minorHAnsi"/>
          <w:sz w:val="22"/>
          <w:szCs w:val="22"/>
          <w:lang w:val="en-GB"/>
        </w:rPr>
      </w:pPr>
      <w:r w:rsidRPr="00905D56">
        <w:rPr>
          <w:rFonts w:asciiTheme="minorHAnsi" w:hAnsiTheme="minorHAnsi" w:cstheme="minorHAnsi"/>
          <w:b/>
          <w:bCs/>
          <w:sz w:val="22"/>
          <w:szCs w:val="22"/>
          <w:lang w:val="en-GB"/>
        </w:rPr>
        <w:lastRenderedPageBreak/>
        <w:t>Table S</w:t>
      </w:r>
      <w:r w:rsidR="00944215" w:rsidRPr="00905D56">
        <w:rPr>
          <w:rFonts w:asciiTheme="minorHAnsi" w:hAnsiTheme="minorHAnsi" w:cstheme="minorHAnsi"/>
          <w:b/>
          <w:bCs/>
          <w:sz w:val="22"/>
          <w:szCs w:val="22"/>
          <w:lang w:val="en-GB"/>
        </w:rPr>
        <w:t>5</w:t>
      </w:r>
      <w:r w:rsidRPr="00905D56">
        <w:rPr>
          <w:rFonts w:asciiTheme="minorHAnsi" w:hAnsiTheme="minorHAnsi" w:cstheme="minorHAnsi"/>
          <w:b/>
          <w:bCs/>
          <w:sz w:val="22"/>
          <w:szCs w:val="22"/>
          <w:lang w:val="en-GB"/>
        </w:rPr>
        <w:t xml:space="preserve">. </w:t>
      </w:r>
      <w:r w:rsidRPr="00905D56">
        <w:rPr>
          <w:rFonts w:asciiTheme="minorHAnsi" w:hAnsiTheme="minorHAnsi" w:cstheme="minorHAnsi"/>
          <w:sz w:val="22"/>
          <w:szCs w:val="22"/>
          <w:lang w:val="en-GB"/>
        </w:rPr>
        <w:t xml:space="preserve">List of 42 genes identified as recurrently expressed in circulating </w:t>
      </w:r>
      <w:proofErr w:type="spellStart"/>
      <w:r w:rsidRPr="00905D56">
        <w:rPr>
          <w:rFonts w:asciiTheme="minorHAnsi" w:hAnsiTheme="minorHAnsi" w:cstheme="minorHAnsi"/>
          <w:sz w:val="22"/>
          <w:szCs w:val="22"/>
          <w:lang w:val="en-GB"/>
        </w:rPr>
        <w:t>tumor</w:t>
      </w:r>
      <w:proofErr w:type="spellEnd"/>
      <w:r w:rsidRPr="00905D56">
        <w:rPr>
          <w:rFonts w:asciiTheme="minorHAnsi" w:hAnsiTheme="minorHAnsi" w:cstheme="minorHAnsi"/>
          <w:sz w:val="22"/>
          <w:szCs w:val="22"/>
          <w:lang w:val="en-GB"/>
        </w:rPr>
        <w:t xml:space="preserve"> cells (CTCs) from patients with bone metastases. Each row corresponds to a gene, and each column represents a single patient. Binary values indicate gene expression status in CTCs from the respective patient: 1 = detected expression, </w:t>
      </w:r>
      <w:r w:rsidR="00E643FF" w:rsidRPr="00905D56">
        <w:rPr>
          <w:rFonts w:asciiTheme="minorHAnsi" w:hAnsiTheme="minorHAnsi" w:cstheme="minorHAnsi"/>
          <w:sz w:val="22"/>
          <w:szCs w:val="22"/>
          <w:lang w:val="en-GB"/>
        </w:rPr>
        <w:t>0 = not detected. Genes were selected based on expression in ≥4 out of 8 patients with bone metastases.</w:t>
      </w:r>
    </w:p>
    <w:tbl>
      <w:tblPr>
        <w:tblStyle w:val="GridTable2"/>
        <w:tblpPr w:leftFromText="141" w:rightFromText="141" w:vertAnchor="text" w:horzAnchor="margin" w:tblpXSpec="center" w:tblpY="361"/>
        <w:tblW w:w="8789" w:type="dxa"/>
        <w:tblLook w:val="04A0"/>
      </w:tblPr>
      <w:tblGrid>
        <w:gridCol w:w="1600"/>
        <w:gridCol w:w="680"/>
        <w:gridCol w:w="680"/>
        <w:gridCol w:w="680"/>
        <w:gridCol w:w="680"/>
        <w:gridCol w:w="680"/>
        <w:gridCol w:w="680"/>
        <w:gridCol w:w="680"/>
        <w:gridCol w:w="680"/>
        <w:gridCol w:w="1749"/>
      </w:tblGrid>
      <w:tr w:rsidR="003467D4" w:rsidRPr="00905D56" w:rsidTr="007871BD">
        <w:trPr>
          <w:cnfStyle w:val="100000000000"/>
          <w:trHeight w:val="300"/>
        </w:trPr>
        <w:tc>
          <w:tcPr>
            <w:cnfStyle w:val="001000000000"/>
            <w:tcW w:w="1600" w:type="dxa"/>
            <w:noWrap/>
            <w:vAlign w:val="center"/>
            <w:hideMark/>
          </w:tcPr>
          <w:p w:rsidR="003467D4" w:rsidRPr="00905D56" w:rsidRDefault="003467D4" w:rsidP="007871BD">
            <w:pPr>
              <w:jc w:val="center"/>
              <w:rPr>
                <w:rFonts w:eastAsia="Times New Roman"/>
                <w:color w:val="000000"/>
              </w:rPr>
            </w:pPr>
            <w:r w:rsidRPr="00905D56">
              <w:rPr>
                <w:rFonts w:eastAsia="Times New Roman"/>
                <w:color w:val="000000"/>
              </w:rPr>
              <w:t>Gene</w:t>
            </w:r>
          </w:p>
        </w:tc>
        <w:tc>
          <w:tcPr>
            <w:tcW w:w="680" w:type="dxa"/>
            <w:noWrap/>
            <w:vAlign w:val="center"/>
            <w:hideMark/>
          </w:tcPr>
          <w:p w:rsidR="003467D4" w:rsidRPr="00905D56" w:rsidRDefault="003467D4" w:rsidP="007871BD">
            <w:pPr>
              <w:jc w:val="center"/>
              <w:cnfStyle w:val="100000000000"/>
              <w:rPr>
                <w:rFonts w:eastAsia="Times New Roman"/>
                <w:color w:val="000000"/>
              </w:rPr>
            </w:pPr>
            <w:r w:rsidRPr="00905D56">
              <w:rPr>
                <w:rFonts w:eastAsia="Times New Roman"/>
                <w:color w:val="000000"/>
              </w:rPr>
              <w:t>P01</w:t>
            </w:r>
          </w:p>
        </w:tc>
        <w:tc>
          <w:tcPr>
            <w:tcW w:w="680" w:type="dxa"/>
            <w:noWrap/>
            <w:vAlign w:val="center"/>
            <w:hideMark/>
          </w:tcPr>
          <w:p w:rsidR="003467D4" w:rsidRPr="00905D56" w:rsidRDefault="003467D4" w:rsidP="007871BD">
            <w:pPr>
              <w:jc w:val="center"/>
              <w:cnfStyle w:val="100000000000"/>
              <w:rPr>
                <w:rFonts w:eastAsia="Times New Roman"/>
                <w:color w:val="000000"/>
              </w:rPr>
            </w:pPr>
            <w:r w:rsidRPr="00905D56">
              <w:rPr>
                <w:rFonts w:eastAsia="Times New Roman"/>
                <w:color w:val="000000"/>
              </w:rPr>
              <w:t>P02</w:t>
            </w:r>
          </w:p>
        </w:tc>
        <w:tc>
          <w:tcPr>
            <w:tcW w:w="680" w:type="dxa"/>
            <w:noWrap/>
            <w:vAlign w:val="center"/>
            <w:hideMark/>
          </w:tcPr>
          <w:p w:rsidR="003467D4" w:rsidRPr="00905D56" w:rsidRDefault="003467D4" w:rsidP="007871BD">
            <w:pPr>
              <w:jc w:val="center"/>
              <w:cnfStyle w:val="100000000000"/>
              <w:rPr>
                <w:rFonts w:eastAsia="Times New Roman"/>
                <w:color w:val="000000"/>
              </w:rPr>
            </w:pPr>
            <w:r w:rsidRPr="00905D56">
              <w:rPr>
                <w:rFonts w:eastAsia="Times New Roman"/>
                <w:color w:val="000000"/>
              </w:rPr>
              <w:t>P03</w:t>
            </w:r>
          </w:p>
        </w:tc>
        <w:tc>
          <w:tcPr>
            <w:tcW w:w="680" w:type="dxa"/>
            <w:noWrap/>
            <w:vAlign w:val="center"/>
            <w:hideMark/>
          </w:tcPr>
          <w:p w:rsidR="003467D4" w:rsidRPr="00905D56" w:rsidRDefault="003467D4" w:rsidP="007871BD">
            <w:pPr>
              <w:jc w:val="center"/>
              <w:cnfStyle w:val="100000000000"/>
              <w:rPr>
                <w:rFonts w:eastAsia="Times New Roman"/>
                <w:color w:val="000000"/>
              </w:rPr>
            </w:pPr>
            <w:r w:rsidRPr="00905D56">
              <w:rPr>
                <w:rFonts w:eastAsia="Times New Roman"/>
                <w:color w:val="000000"/>
              </w:rPr>
              <w:t>P04</w:t>
            </w:r>
          </w:p>
        </w:tc>
        <w:tc>
          <w:tcPr>
            <w:tcW w:w="680" w:type="dxa"/>
            <w:noWrap/>
            <w:vAlign w:val="center"/>
            <w:hideMark/>
          </w:tcPr>
          <w:p w:rsidR="003467D4" w:rsidRPr="00905D56" w:rsidRDefault="003467D4" w:rsidP="007871BD">
            <w:pPr>
              <w:jc w:val="center"/>
              <w:cnfStyle w:val="100000000000"/>
              <w:rPr>
                <w:rFonts w:eastAsia="Times New Roman"/>
                <w:color w:val="000000"/>
              </w:rPr>
            </w:pPr>
            <w:r w:rsidRPr="00905D56">
              <w:rPr>
                <w:rFonts w:eastAsia="Times New Roman"/>
                <w:color w:val="000000"/>
              </w:rPr>
              <w:t>P05</w:t>
            </w:r>
          </w:p>
        </w:tc>
        <w:tc>
          <w:tcPr>
            <w:tcW w:w="680" w:type="dxa"/>
            <w:noWrap/>
            <w:vAlign w:val="center"/>
            <w:hideMark/>
          </w:tcPr>
          <w:p w:rsidR="003467D4" w:rsidRPr="00905D56" w:rsidRDefault="003467D4" w:rsidP="007871BD">
            <w:pPr>
              <w:jc w:val="center"/>
              <w:cnfStyle w:val="100000000000"/>
              <w:rPr>
                <w:rFonts w:eastAsia="Times New Roman"/>
                <w:color w:val="000000"/>
              </w:rPr>
            </w:pPr>
            <w:r w:rsidRPr="00905D56">
              <w:rPr>
                <w:rFonts w:eastAsia="Times New Roman"/>
                <w:color w:val="000000"/>
              </w:rPr>
              <w:t>P06</w:t>
            </w:r>
          </w:p>
        </w:tc>
        <w:tc>
          <w:tcPr>
            <w:tcW w:w="680" w:type="dxa"/>
            <w:noWrap/>
            <w:vAlign w:val="center"/>
            <w:hideMark/>
          </w:tcPr>
          <w:p w:rsidR="003467D4" w:rsidRPr="00905D56" w:rsidRDefault="003467D4" w:rsidP="007871BD">
            <w:pPr>
              <w:jc w:val="center"/>
              <w:cnfStyle w:val="100000000000"/>
              <w:rPr>
                <w:rFonts w:eastAsia="Times New Roman"/>
                <w:color w:val="000000"/>
              </w:rPr>
            </w:pPr>
            <w:r w:rsidRPr="00905D56">
              <w:rPr>
                <w:rFonts w:eastAsia="Times New Roman"/>
                <w:color w:val="000000"/>
              </w:rPr>
              <w:t>P08</w:t>
            </w:r>
          </w:p>
        </w:tc>
        <w:tc>
          <w:tcPr>
            <w:tcW w:w="680" w:type="dxa"/>
            <w:noWrap/>
            <w:vAlign w:val="center"/>
            <w:hideMark/>
          </w:tcPr>
          <w:p w:rsidR="003467D4" w:rsidRPr="00905D56" w:rsidRDefault="003467D4" w:rsidP="007871BD">
            <w:pPr>
              <w:jc w:val="center"/>
              <w:cnfStyle w:val="100000000000"/>
              <w:rPr>
                <w:rFonts w:eastAsia="Times New Roman"/>
                <w:color w:val="000000"/>
              </w:rPr>
            </w:pPr>
            <w:r w:rsidRPr="00905D56">
              <w:rPr>
                <w:rFonts w:eastAsia="Times New Roman"/>
                <w:color w:val="000000"/>
              </w:rPr>
              <w:t>P10</w:t>
            </w:r>
          </w:p>
        </w:tc>
        <w:tc>
          <w:tcPr>
            <w:tcW w:w="1749" w:type="dxa"/>
            <w:noWrap/>
            <w:vAlign w:val="center"/>
            <w:hideMark/>
          </w:tcPr>
          <w:p w:rsidR="003467D4" w:rsidRPr="00905D56" w:rsidRDefault="007871BD" w:rsidP="007871BD">
            <w:pPr>
              <w:jc w:val="center"/>
              <w:cnfStyle w:val="100000000000"/>
              <w:rPr>
                <w:rFonts w:eastAsia="Times New Roman"/>
                <w:color w:val="000000"/>
              </w:rPr>
            </w:pPr>
            <w:r w:rsidRPr="00905D56">
              <w:rPr>
                <w:rFonts w:eastAsia="Times New Roman"/>
                <w:color w:val="000000"/>
              </w:rPr>
              <w:t>Patients with transcript detected</w:t>
            </w:r>
          </w:p>
        </w:tc>
      </w:tr>
      <w:tr w:rsidR="003467D4" w:rsidRPr="00905D56" w:rsidTr="007871BD">
        <w:trPr>
          <w:cnfStyle w:val="000000100000"/>
          <w:trHeight w:val="300"/>
        </w:trPr>
        <w:tc>
          <w:tcPr>
            <w:cnfStyle w:val="001000000000"/>
            <w:tcW w:w="1600" w:type="dxa"/>
            <w:noWrap/>
            <w:vAlign w:val="center"/>
            <w:hideMark/>
          </w:tcPr>
          <w:p w:rsidR="003467D4" w:rsidRPr="00905D56" w:rsidRDefault="003467D4" w:rsidP="007871BD">
            <w:pPr>
              <w:jc w:val="center"/>
              <w:rPr>
                <w:rFonts w:eastAsia="Times New Roman"/>
                <w:i/>
                <w:iCs/>
                <w:color w:val="000000"/>
              </w:rPr>
            </w:pPr>
            <w:r w:rsidRPr="00905D56">
              <w:rPr>
                <w:rFonts w:eastAsia="Times New Roman"/>
                <w:i/>
                <w:iCs/>
                <w:color w:val="000000"/>
              </w:rPr>
              <w:t>IGHMBP2</w:t>
            </w:r>
          </w:p>
        </w:tc>
        <w:tc>
          <w:tcPr>
            <w:tcW w:w="680" w:type="dxa"/>
            <w:noWrap/>
            <w:vAlign w:val="center"/>
            <w:hideMark/>
          </w:tcPr>
          <w:p w:rsidR="003467D4" w:rsidRPr="00905D56" w:rsidRDefault="003467D4"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3467D4" w:rsidRPr="00905D56" w:rsidRDefault="003467D4"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3467D4" w:rsidRPr="00905D56" w:rsidRDefault="003467D4"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3467D4" w:rsidRPr="00905D56" w:rsidRDefault="003467D4"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3467D4" w:rsidRPr="00905D56" w:rsidRDefault="003467D4"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3467D4" w:rsidRPr="00905D56" w:rsidRDefault="003467D4"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3467D4" w:rsidRPr="00905D56" w:rsidRDefault="003467D4"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3467D4" w:rsidRPr="00905D56" w:rsidRDefault="003467D4" w:rsidP="007871BD">
            <w:pPr>
              <w:jc w:val="center"/>
              <w:cnfStyle w:val="000000100000"/>
              <w:rPr>
                <w:rFonts w:eastAsia="Times New Roman"/>
                <w:color w:val="000000"/>
              </w:rPr>
            </w:pPr>
            <w:r w:rsidRPr="00905D56">
              <w:rPr>
                <w:rFonts w:eastAsia="Times New Roman"/>
                <w:color w:val="000000"/>
              </w:rPr>
              <w:t>1</w:t>
            </w:r>
          </w:p>
        </w:tc>
        <w:tc>
          <w:tcPr>
            <w:tcW w:w="1749" w:type="dxa"/>
            <w:noWrap/>
            <w:vAlign w:val="center"/>
            <w:hideMark/>
          </w:tcPr>
          <w:p w:rsidR="003467D4" w:rsidRPr="00905D56" w:rsidRDefault="003467D4" w:rsidP="007871BD">
            <w:pPr>
              <w:jc w:val="center"/>
              <w:cnfStyle w:val="000000100000"/>
              <w:rPr>
                <w:rFonts w:eastAsia="Times New Roman"/>
                <w:color w:val="000000"/>
              </w:rPr>
            </w:pPr>
            <w:r w:rsidRPr="00905D56">
              <w:rPr>
                <w:rFonts w:eastAsia="Times New Roman"/>
                <w:color w:val="000000"/>
              </w:rPr>
              <w:t>6</w:t>
            </w:r>
            <w:r w:rsidR="007871BD" w:rsidRPr="00905D56">
              <w:rPr>
                <w:rFonts w:eastAsia="Times New Roman"/>
                <w:color w:val="000000"/>
              </w:rPr>
              <w:t xml:space="preserve"> (75%)</w:t>
            </w:r>
          </w:p>
        </w:tc>
      </w:tr>
      <w:tr w:rsidR="007871BD" w:rsidRPr="00905D56" w:rsidTr="002F71DF">
        <w:trPr>
          <w:trHeight w:val="300"/>
        </w:trPr>
        <w:tc>
          <w:tcPr>
            <w:cnfStyle w:val="001000000000"/>
            <w:tcW w:w="1600" w:type="dxa"/>
            <w:noWrap/>
            <w:vAlign w:val="center"/>
            <w:hideMark/>
          </w:tcPr>
          <w:p w:rsidR="007871BD" w:rsidRPr="00905D56" w:rsidRDefault="007871BD" w:rsidP="007871BD">
            <w:pPr>
              <w:jc w:val="center"/>
              <w:rPr>
                <w:rFonts w:eastAsia="Times New Roman"/>
                <w:i/>
                <w:iCs/>
                <w:color w:val="000000"/>
              </w:rPr>
            </w:pPr>
            <w:r w:rsidRPr="00905D56">
              <w:rPr>
                <w:rFonts w:eastAsia="Times New Roman"/>
                <w:i/>
                <w:iCs/>
                <w:color w:val="000000"/>
              </w:rPr>
              <w:t>CADM1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1749" w:type="dxa"/>
            <w:noWrap/>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6 (75%)</w:t>
            </w:r>
          </w:p>
        </w:tc>
      </w:tr>
      <w:tr w:rsidR="007871BD" w:rsidRPr="00905D56" w:rsidTr="002F71DF">
        <w:trPr>
          <w:cnfStyle w:val="000000100000"/>
          <w:trHeight w:val="300"/>
        </w:trPr>
        <w:tc>
          <w:tcPr>
            <w:cnfStyle w:val="001000000000"/>
            <w:tcW w:w="1600" w:type="dxa"/>
            <w:noWrap/>
            <w:vAlign w:val="center"/>
            <w:hideMark/>
          </w:tcPr>
          <w:p w:rsidR="007871BD" w:rsidRPr="00905D56" w:rsidRDefault="007871BD" w:rsidP="007871BD">
            <w:pPr>
              <w:jc w:val="center"/>
              <w:rPr>
                <w:rFonts w:eastAsia="Times New Roman"/>
                <w:i/>
                <w:iCs/>
                <w:color w:val="000000"/>
              </w:rPr>
            </w:pPr>
            <w:r w:rsidRPr="00905D56">
              <w:rPr>
                <w:rFonts w:eastAsia="Times New Roman"/>
                <w:i/>
                <w:iCs/>
                <w:color w:val="000000"/>
              </w:rPr>
              <w:t>KPNB1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1749" w:type="dxa"/>
            <w:noWrap/>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6 (75%)</w:t>
            </w:r>
          </w:p>
        </w:tc>
      </w:tr>
      <w:tr w:rsidR="003467D4" w:rsidRPr="00905D56" w:rsidTr="007871BD">
        <w:trPr>
          <w:trHeight w:val="300"/>
        </w:trPr>
        <w:tc>
          <w:tcPr>
            <w:cnfStyle w:val="001000000000"/>
            <w:tcW w:w="1600" w:type="dxa"/>
            <w:noWrap/>
            <w:vAlign w:val="center"/>
            <w:hideMark/>
          </w:tcPr>
          <w:p w:rsidR="003467D4" w:rsidRPr="00905D56" w:rsidRDefault="003467D4" w:rsidP="007871BD">
            <w:pPr>
              <w:jc w:val="center"/>
              <w:rPr>
                <w:rFonts w:eastAsia="Times New Roman"/>
                <w:i/>
                <w:iCs/>
                <w:color w:val="000000"/>
              </w:rPr>
            </w:pPr>
            <w:r w:rsidRPr="00905D56">
              <w:rPr>
                <w:rFonts w:eastAsia="Times New Roman"/>
                <w:i/>
                <w:iCs/>
                <w:color w:val="000000"/>
              </w:rPr>
              <w:t>FASTKD2</w:t>
            </w:r>
          </w:p>
        </w:tc>
        <w:tc>
          <w:tcPr>
            <w:tcW w:w="680" w:type="dxa"/>
            <w:noWrap/>
            <w:vAlign w:val="center"/>
            <w:hideMark/>
          </w:tcPr>
          <w:p w:rsidR="003467D4" w:rsidRPr="00905D56" w:rsidRDefault="003467D4"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3467D4" w:rsidRPr="00905D56" w:rsidRDefault="003467D4"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3467D4" w:rsidRPr="00905D56" w:rsidRDefault="003467D4"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3467D4" w:rsidRPr="00905D56" w:rsidRDefault="003467D4"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3467D4" w:rsidRPr="00905D56" w:rsidRDefault="003467D4"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3467D4" w:rsidRPr="00905D56" w:rsidRDefault="003467D4"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3467D4" w:rsidRPr="00905D56" w:rsidRDefault="003467D4"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3467D4" w:rsidRPr="00905D56" w:rsidRDefault="003467D4" w:rsidP="007871BD">
            <w:pPr>
              <w:jc w:val="center"/>
              <w:cnfStyle w:val="000000000000"/>
              <w:rPr>
                <w:rFonts w:eastAsia="Times New Roman"/>
                <w:color w:val="000000"/>
              </w:rPr>
            </w:pPr>
            <w:r w:rsidRPr="00905D56">
              <w:rPr>
                <w:rFonts w:eastAsia="Times New Roman"/>
                <w:color w:val="000000"/>
              </w:rPr>
              <w:t>0</w:t>
            </w:r>
          </w:p>
        </w:tc>
        <w:tc>
          <w:tcPr>
            <w:tcW w:w="1749" w:type="dxa"/>
            <w:noWrap/>
            <w:vAlign w:val="center"/>
            <w:hideMark/>
          </w:tcPr>
          <w:p w:rsidR="003467D4" w:rsidRPr="00905D56" w:rsidRDefault="003467D4" w:rsidP="007871BD">
            <w:pPr>
              <w:jc w:val="center"/>
              <w:cnfStyle w:val="000000000000"/>
              <w:rPr>
                <w:rFonts w:eastAsia="Times New Roman"/>
                <w:color w:val="000000"/>
              </w:rPr>
            </w:pPr>
            <w:r w:rsidRPr="00905D56">
              <w:rPr>
                <w:rFonts w:eastAsia="Times New Roman"/>
                <w:color w:val="000000"/>
              </w:rPr>
              <w:t>5</w:t>
            </w:r>
            <w:r w:rsidR="007871BD" w:rsidRPr="00905D56">
              <w:rPr>
                <w:rFonts w:eastAsia="Times New Roman"/>
                <w:color w:val="000000"/>
              </w:rPr>
              <w:t xml:space="preserve"> (62,5%)</w:t>
            </w:r>
          </w:p>
        </w:tc>
      </w:tr>
      <w:tr w:rsidR="007871BD" w:rsidRPr="00905D56" w:rsidTr="00FE3530">
        <w:trPr>
          <w:cnfStyle w:val="000000100000"/>
          <w:trHeight w:val="300"/>
        </w:trPr>
        <w:tc>
          <w:tcPr>
            <w:cnfStyle w:val="001000000000"/>
            <w:tcW w:w="1600" w:type="dxa"/>
            <w:noWrap/>
            <w:vAlign w:val="center"/>
            <w:hideMark/>
          </w:tcPr>
          <w:p w:rsidR="007871BD" w:rsidRPr="00905D56" w:rsidRDefault="007871BD" w:rsidP="007871BD">
            <w:pPr>
              <w:jc w:val="center"/>
              <w:rPr>
                <w:rFonts w:eastAsia="Times New Roman"/>
                <w:i/>
                <w:iCs/>
                <w:color w:val="000000"/>
              </w:rPr>
            </w:pPr>
            <w:r w:rsidRPr="00905D56">
              <w:rPr>
                <w:rFonts w:eastAsia="Times New Roman"/>
                <w:i/>
                <w:iCs/>
                <w:color w:val="000000"/>
              </w:rPr>
              <w:t>LOC105373943</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1749" w:type="dxa"/>
            <w:noWrap/>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5 (62,5%)</w:t>
            </w:r>
          </w:p>
        </w:tc>
      </w:tr>
      <w:tr w:rsidR="007871BD" w:rsidRPr="00905D56" w:rsidTr="00FE3530">
        <w:trPr>
          <w:trHeight w:val="300"/>
        </w:trPr>
        <w:tc>
          <w:tcPr>
            <w:cnfStyle w:val="001000000000"/>
            <w:tcW w:w="1600" w:type="dxa"/>
            <w:noWrap/>
            <w:vAlign w:val="center"/>
            <w:hideMark/>
          </w:tcPr>
          <w:p w:rsidR="007871BD" w:rsidRPr="00905D56" w:rsidRDefault="007871BD" w:rsidP="007871BD">
            <w:pPr>
              <w:jc w:val="center"/>
              <w:rPr>
                <w:rFonts w:eastAsia="Times New Roman"/>
                <w:i/>
                <w:iCs/>
                <w:color w:val="000000"/>
              </w:rPr>
            </w:pPr>
            <w:r w:rsidRPr="00905D56">
              <w:rPr>
                <w:rFonts w:eastAsia="Times New Roman"/>
                <w:i/>
                <w:iCs/>
                <w:color w:val="000000"/>
              </w:rPr>
              <w:t>ARHGEF26</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1749" w:type="dxa"/>
            <w:noWrap/>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5 (62,5%)</w:t>
            </w:r>
          </w:p>
        </w:tc>
      </w:tr>
      <w:tr w:rsidR="007871BD" w:rsidRPr="00905D56" w:rsidTr="00FE3530">
        <w:trPr>
          <w:cnfStyle w:val="000000100000"/>
          <w:trHeight w:val="300"/>
        </w:trPr>
        <w:tc>
          <w:tcPr>
            <w:cnfStyle w:val="001000000000"/>
            <w:tcW w:w="1600" w:type="dxa"/>
            <w:noWrap/>
            <w:vAlign w:val="center"/>
            <w:hideMark/>
          </w:tcPr>
          <w:p w:rsidR="007871BD" w:rsidRPr="00905D56" w:rsidRDefault="007871BD" w:rsidP="007871BD">
            <w:pPr>
              <w:jc w:val="center"/>
              <w:rPr>
                <w:rFonts w:eastAsia="Times New Roman"/>
                <w:i/>
                <w:iCs/>
                <w:color w:val="000000"/>
              </w:rPr>
            </w:pPr>
            <w:r w:rsidRPr="00905D56">
              <w:rPr>
                <w:rFonts w:eastAsia="Times New Roman"/>
                <w:i/>
                <w:iCs/>
                <w:color w:val="000000"/>
              </w:rPr>
              <w:t>LOC107986219</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1749" w:type="dxa"/>
            <w:noWrap/>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5 (62,5%)</w:t>
            </w:r>
          </w:p>
        </w:tc>
      </w:tr>
      <w:tr w:rsidR="007871BD" w:rsidRPr="00905D56" w:rsidTr="00FE3530">
        <w:trPr>
          <w:trHeight w:val="300"/>
        </w:trPr>
        <w:tc>
          <w:tcPr>
            <w:cnfStyle w:val="001000000000"/>
            <w:tcW w:w="1600" w:type="dxa"/>
            <w:noWrap/>
            <w:vAlign w:val="center"/>
            <w:hideMark/>
          </w:tcPr>
          <w:p w:rsidR="007871BD" w:rsidRPr="00905D56" w:rsidRDefault="007871BD" w:rsidP="007871BD">
            <w:pPr>
              <w:jc w:val="center"/>
              <w:rPr>
                <w:rFonts w:eastAsia="Times New Roman"/>
                <w:i/>
                <w:iCs/>
                <w:color w:val="000000"/>
              </w:rPr>
            </w:pPr>
            <w:r w:rsidRPr="00905D56">
              <w:rPr>
                <w:rFonts w:eastAsia="Times New Roman"/>
                <w:i/>
                <w:iCs/>
                <w:color w:val="000000"/>
              </w:rPr>
              <w:t>DBET</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1749" w:type="dxa"/>
            <w:noWrap/>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5 (62,5%)</w:t>
            </w:r>
          </w:p>
        </w:tc>
      </w:tr>
      <w:tr w:rsidR="003467D4" w:rsidRPr="00905D56" w:rsidTr="007871BD">
        <w:trPr>
          <w:cnfStyle w:val="000000100000"/>
          <w:trHeight w:val="300"/>
        </w:trPr>
        <w:tc>
          <w:tcPr>
            <w:cnfStyle w:val="001000000000"/>
            <w:tcW w:w="1600" w:type="dxa"/>
            <w:noWrap/>
            <w:vAlign w:val="center"/>
            <w:hideMark/>
          </w:tcPr>
          <w:p w:rsidR="003467D4" w:rsidRPr="00905D56" w:rsidRDefault="003467D4" w:rsidP="007871BD">
            <w:pPr>
              <w:jc w:val="center"/>
              <w:rPr>
                <w:rFonts w:eastAsia="Times New Roman"/>
                <w:i/>
                <w:iCs/>
                <w:color w:val="000000"/>
              </w:rPr>
            </w:pPr>
            <w:r w:rsidRPr="00905D56">
              <w:rPr>
                <w:rFonts w:eastAsia="Times New Roman"/>
                <w:i/>
                <w:iCs/>
                <w:color w:val="000000"/>
              </w:rPr>
              <w:t>SYNC</w:t>
            </w:r>
          </w:p>
        </w:tc>
        <w:tc>
          <w:tcPr>
            <w:tcW w:w="680" w:type="dxa"/>
            <w:noWrap/>
            <w:vAlign w:val="center"/>
            <w:hideMark/>
          </w:tcPr>
          <w:p w:rsidR="003467D4" w:rsidRPr="00905D56" w:rsidRDefault="003467D4"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3467D4" w:rsidRPr="00905D56" w:rsidRDefault="003467D4"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3467D4" w:rsidRPr="00905D56" w:rsidRDefault="003467D4"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3467D4" w:rsidRPr="00905D56" w:rsidRDefault="003467D4"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3467D4" w:rsidRPr="00905D56" w:rsidRDefault="003467D4"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3467D4" w:rsidRPr="00905D56" w:rsidRDefault="003467D4"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3467D4" w:rsidRPr="00905D56" w:rsidRDefault="003467D4"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3467D4" w:rsidRPr="00905D56" w:rsidRDefault="003467D4" w:rsidP="007871BD">
            <w:pPr>
              <w:jc w:val="center"/>
              <w:cnfStyle w:val="000000100000"/>
              <w:rPr>
                <w:rFonts w:eastAsia="Times New Roman"/>
                <w:color w:val="000000"/>
              </w:rPr>
            </w:pPr>
            <w:r w:rsidRPr="00905D56">
              <w:rPr>
                <w:rFonts w:eastAsia="Times New Roman"/>
                <w:color w:val="000000"/>
              </w:rPr>
              <w:t>0</w:t>
            </w:r>
          </w:p>
        </w:tc>
        <w:tc>
          <w:tcPr>
            <w:tcW w:w="1749" w:type="dxa"/>
            <w:noWrap/>
            <w:vAlign w:val="center"/>
            <w:hideMark/>
          </w:tcPr>
          <w:p w:rsidR="003467D4" w:rsidRPr="00905D56" w:rsidRDefault="003467D4" w:rsidP="007871BD">
            <w:pPr>
              <w:jc w:val="center"/>
              <w:cnfStyle w:val="000000100000"/>
              <w:rPr>
                <w:rFonts w:eastAsia="Times New Roman"/>
                <w:color w:val="000000"/>
              </w:rPr>
            </w:pPr>
            <w:r w:rsidRPr="00905D56">
              <w:rPr>
                <w:rFonts w:eastAsia="Times New Roman"/>
                <w:color w:val="000000"/>
              </w:rPr>
              <w:t>4</w:t>
            </w:r>
            <w:r w:rsidR="007871BD" w:rsidRPr="00905D56">
              <w:rPr>
                <w:rFonts w:eastAsia="Times New Roman"/>
                <w:color w:val="000000"/>
              </w:rPr>
              <w:t xml:space="preserve"> (50%)</w:t>
            </w:r>
          </w:p>
        </w:tc>
      </w:tr>
      <w:tr w:rsidR="007871BD" w:rsidRPr="00905D56" w:rsidTr="00F40ABD">
        <w:trPr>
          <w:trHeight w:val="300"/>
        </w:trPr>
        <w:tc>
          <w:tcPr>
            <w:cnfStyle w:val="001000000000"/>
            <w:tcW w:w="1600" w:type="dxa"/>
            <w:noWrap/>
            <w:vAlign w:val="center"/>
            <w:hideMark/>
          </w:tcPr>
          <w:p w:rsidR="007871BD" w:rsidRPr="00905D56" w:rsidRDefault="007871BD" w:rsidP="007871BD">
            <w:pPr>
              <w:jc w:val="center"/>
              <w:rPr>
                <w:rFonts w:eastAsia="Times New Roman"/>
                <w:i/>
                <w:iCs/>
                <w:color w:val="000000"/>
              </w:rPr>
            </w:pPr>
            <w:r w:rsidRPr="00905D56">
              <w:rPr>
                <w:rFonts w:eastAsia="Times New Roman"/>
                <w:i/>
                <w:iCs/>
                <w:color w:val="000000"/>
              </w:rPr>
              <w:t>PSMB2</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1749" w:type="dxa"/>
            <w:noWrap/>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4 (50%)</w:t>
            </w:r>
          </w:p>
        </w:tc>
      </w:tr>
      <w:tr w:rsidR="007871BD" w:rsidRPr="00905D56" w:rsidTr="00F40ABD">
        <w:trPr>
          <w:cnfStyle w:val="000000100000"/>
          <w:trHeight w:val="300"/>
        </w:trPr>
        <w:tc>
          <w:tcPr>
            <w:cnfStyle w:val="001000000000"/>
            <w:tcW w:w="1600" w:type="dxa"/>
            <w:noWrap/>
            <w:vAlign w:val="center"/>
            <w:hideMark/>
          </w:tcPr>
          <w:p w:rsidR="007871BD" w:rsidRPr="00905D56" w:rsidRDefault="007871BD" w:rsidP="007871BD">
            <w:pPr>
              <w:jc w:val="center"/>
              <w:rPr>
                <w:rFonts w:eastAsia="Times New Roman"/>
                <w:i/>
                <w:iCs/>
                <w:color w:val="000000"/>
              </w:rPr>
            </w:pPr>
            <w:r w:rsidRPr="00905D56">
              <w:rPr>
                <w:rFonts w:eastAsia="Times New Roman"/>
                <w:i/>
                <w:iCs/>
                <w:color w:val="000000"/>
              </w:rPr>
              <w:t>NFIA</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1749" w:type="dxa"/>
            <w:noWrap/>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4 (50%)</w:t>
            </w:r>
          </w:p>
        </w:tc>
      </w:tr>
      <w:tr w:rsidR="007871BD" w:rsidRPr="00905D56" w:rsidTr="00F40ABD">
        <w:trPr>
          <w:trHeight w:val="300"/>
        </w:trPr>
        <w:tc>
          <w:tcPr>
            <w:cnfStyle w:val="001000000000"/>
            <w:tcW w:w="1600" w:type="dxa"/>
            <w:noWrap/>
            <w:vAlign w:val="center"/>
            <w:hideMark/>
          </w:tcPr>
          <w:p w:rsidR="007871BD" w:rsidRPr="00905D56" w:rsidRDefault="007871BD" w:rsidP="007871BD">
            <w:pPr>
              <w:jc w:val="center"/>
              <w:rPr>
                <w:rFonts w:eastAsia="Times New Roman"/>
                <w:i/>
                <w:iCs/>
                <w:color w:val="000000"/>
              </w:rPr>
            </w:pPr>
            <w:r w:rsidRPr="00905D56">
              <w:rPr>
                <w:rFonts w:eastAsia="Times New Roman"/>
                <w:i/>
                <w:iCs/>
                <w:color w:val="000000"/>
              </w:rPr>
              <w:t>RGS16</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1749" w:type="dxa"/>
            <w:noWrap/>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4 (50%)</w:t>
            </w:r>
          </w:p>
        </w:tc>
      </w:tr>
      <w:tr w:rsidR="007871BD" w:rsidRPr="00905D56" w:rsidTr="00F40ABD">
        <w:trPr>
          <w:cnfStyle w:val="000000100000"/>
          <w:trHeight w:val="300"/>
        </w:trPr>
        <w:tc>
          <w:tcPr>
            <w:cnfStyle w:val="001000000000"/>
            <w:tcW w:w="1600" w:type="dxa"/>
            <w:noWrap/>
            <w:vAlign w:val="center"/>
            <w:hideMark/>
          </w:tcPr>
          <w:p w:rsidR="007871BD" w:rsidRPr="00905D56" w:rsidRDefault="007871BD" w:rsidP="007871BD">
            <w:pPr>
              <w:jc w:val="center"/>
              <w:rPr>
                <w:rFonts w:eastAsia="Times New Roman"/>
                <w:i/>
                <w:iCs/>
                <w:color w:val="000000"/>
              </w:rPr>
            </w:pPr>
            <w:r w:rsidRPr="00905D56">
              <w:rPr>
                <w:rFonts w:eastAsia="Times New Roman"/>
                <w:i/>
                <w:iCs/>
                <w:color w:val="000000"/>
              </w:rPr>
              <w:t>ATP2B4</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1749" w:type="dxa"/>
            <w:noWrap/>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4 (50%)</w:t>
            </w:r>
          </w:p>
        </w:tc>
      </w:tr>
      <w:tr w:rsidR="007871BD" w:rsidRPr="00905D56" w:rsidTr="00F40ABD">
        <w:trPr>
          <w:trHeight w:val="300"/>
        </w:trPr>
        <w:tc>
          <w:tcPr>
            <w:cnfStyle w:val="001000000000"/>
            <w:tcW w:w="1600" w:type="dxa"/>
            <w:noWrap/>
            <w:vAlign w:val="center"/>
            <w:hideMark/>
          </w:tcPr>
          <w:p w:rsidR="007871BD" w:rsidRPr="00905D56" w:rsidRDefault="007871BD" w:rsidP="007871BD">
            <w:pPr>
              <w:jc w:val="center"/>
              <w:rPr>
                <w:rFonts w:eastAsia="Times New Roman"/>
                <w:i/>
                <w:iCs/>
                <w:color w:val="000000"/>
              </w:rPr>
            </w:pPr>
            <w:r w:rsidRPr="00905D56">
              <w:rPr>
                <w:rFonts w:eastAsia="Times New Roman"/>
                <w:i/>
                <w:iCs/>
                <w:color w:val="000000"/>
              </w:rPr>
              <w:t>FLVCR1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1749" w:type="dxa"/>
            <w:noWrap/>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4 (50%)</w:t>
            </w:r>
          </w:p>
        </w:tc>
      </w:tr>
      <w:tr w:rsidR="007871BD" w:rsidRPr="00905D56" w:rsidTr="00F40ABD">
        <w:trPr>
          <w:cnfStyle w:val="000000100000"/>
          <w:trHeight w:val="300"/>
        </w:trPr>
        <w:tc>
          <w:tcPr>
            <w:cnfStyle w:val="001000000000"/>
            <w:tcW w:w="1600" w:type="dxa"/>
            <w:noWrap/>
            <w:vAlign w:val="center"/>
            <w:hideMark/>
          </w:tcPr>
          <w:p w:rsidR="007871BD" w:rsidRPr="00905D56" w:rsidRDefault="007871BD" w:rsidP="007871BD">
            <w:pPr>
              <w:jc w:val="center"/>
              <w:rPr>
                <w:rFonts w:eastAsia="Times New Roman"/>
                <w:i/>
                <w:iCs/>
                <w:color w:val="000000"/>
              </w:rPr>
            </w:pPr>
            <w:r w:rsidRPr="00905D56">
              <w:rPr>
                <w:rFonts w:eastAsia="Times New Roman"/>
                <w:i/>
                <w:iCs/>
                <w:color w:val="000000"/>
              </w:rPr>
              <w:t>BCL11A</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1749" w:type="dxa"/>
            <w:noWrap/>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4 (50%)</w:t>
            </w:r>
          </w:p>
        </w:tc>
      </w:tr>
      <w:tr w:rsidR="007871BD" w:rsidRPr="00905D56" w:rsidTr="00F40ABD">
        <w:trPr>
          <w:trHeight w:val="300"/>
        </w:trPr>
        <w:tc>
          <w:tcPr>
            <w:cnfStyle w:val="001000000000"/>
            <w:tcW w:w="1600" w:type="dxa"/>
            <w:noWrap/>
            <w:vAlign w:val="center"/>
            <w:hideMark/>
          </w:tcPr>
          <w:p w:rsidR="007871BD" w:rsidRPr="00905D56" w:rsidRDefault="007871BD" w:rsidP="007871BD">
            <w:pPr>
              <w:jc w:val="center"/>
              <w:rPr>
                <w:rFonts w:eastAsia="Times New Roman"/>
                <w:i/>
                <w:iCs/>
                <w:color w:val="000000"/>
              </w:rPr>
            </w:pPr>
            <w:r w:rsidRPr="00905D56">
              <w:rPr>
                <w:rFonts w:eastAsia="Times New Roman"/>
                <w:i/>
                <w:iCs/>
                <w:color w:val="000000"/>
              </w:rPr>
              <w:t>LOC107986345</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1749" w:type="dxa"/>
            <w:noWrap/>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4 (50%)</w:t>
            </w:r>
          </w:p>
        </w:tc>
      </w:tr>
      <w:tr w:rsidR="007871BD" w:rsidRPr="00905D56" w:rsidTr="00F40ABD">
        <w:trPr>
          <w:cnfStyle w:val="000000100000"/>
          <w:trHeight w:val="300"/>
        </w:trPr>
        <w:tc>
          <w:tcPr>
            <w:cnfStyle w:val="001000000000"/>
            <w:tcW w:w="1600" w:type="dxa"/>
            <w:noWrap/>
            <w:vAlign w:val="center"/>
            <w:hideMark/>
          </w:tcPr>
          <w:p w:rsidR="007871BD" w:rsidRPr="00905D56" w:rsidRDefault="007871BD" w:rsidP="007871BD">
            <w:pPr>
              <w:jc w:val="center"/>
              <w:rPr>
                <w:rFonts w:eastAsia="Times New Roman"/>
                <w:i/>
                <w:iCs/>
                <w:color w:val="000000"/>
              </w:rPr>
            </w:pPr>
            <w:r w:rsidRPr="00905D56">
              <w:rPr>
                <w:rFonts w:eastAsia="Times New Roman"/>
                <w:i/>
                <w:iCs/>
                <w:color w:val="000000"/>
              </w:rPr>
              <w:t>LOC105379094</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1749" w:type="dxa"/>
            <w:noWrap/>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4 (50%)</w:t>
            </w:r>
          </w:p>
        </w:tc>
      </w:tr>
      <w:tr w:rsidR="007871BD" w:rsidRPr="00905D56" w:rsidTr="00F40ABD">
        <w:trPr>
          <w:trHeight w:val="300"/>
        </w:trPr>
        <w:tc>
          <w:tcPr>
            <w:cnfStyle w:val="001000000000"/>
            <w:tcW w:w="1600" w:type="dxa"/>
            <w:noWrap/>
            <w:vAlign w:val="center"/>
            <w:hideMark/>
          </w:tcPr>
          <w:p w:rsidR="007871BD" w:rsidRPr="00905D56" w:rsidRDefault="007871BD" w:rsidP="007871BD">
            <w:pPr>
              <w:jc w:val="center"/>
              <w:rPr>
                <w:rFonts w:eastAsia="Times New Roman"/>
                <w:i/>
                <w:iCs/>
                <w:color w:val="000000"/>
              </w:rPr>
            </w:pPr>
            <w:r w:rsidRPr="00905D56">
              <w:rPr>
                <w:rFonts w:eastAsia="Times New Roman"/>
                <w:i/>
                <w:iCs/>
                <w:color w:val="000000"/>
              </w:rPr>
              <w:t>HNRNPA0</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1749" w:type="dxa"/>
            <w:noWrap/>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4 (50%)</w:t>
            </w:r>
          </w:p>
        </w:tc>
      </w:tr>
      <w:tr w:rsidR="007871BD" w:rsidRPr="00905D56" w:rsidTr="00F40ABD">
        <w:trPr>
          <w:cnfStyle w:val="000000100000"/>
          <w:trHeight w:val="300"/>
        </w:trPr>
        <w:tc>
          <w:tcPr>
            <w:cnfStyle w:val="001000000000"/>
            <w:tcW w:w="1600" w:type="dxa"/>
            <w:noWrap/>
            <w:vAlign w:val="center"/>
            <w:hideMark/>
          </w:tcPr>
          <w:p w:rsidR="007871BD" w:rsidRPr="00905D56" w:rsidRDefault="007871BD" w:rsidP="007871BD">
            <w:pPr>
              <w:jc w:val="center"/>
              <w:rPr>
                <w:rFonts w:eastAsia="Times New Roman"/>
                <w:i/>
                <w:iCs/>
                <w:color w:val="000000"/>
              </w:rPr>
            </w:pPr>
            <w:r w:rsidRPr="00905D56">
              <w:rPr>
                <w:rFonts w:eastAsia="Times New Roman"/>
                <w:i/>
                <w:iCs/>
                <w:color w:val="000000"/>
              </w:rPr>
              <w:t>NEDD9</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1749" w:type="dxa"/>
            <w:noWrap/>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4 (50%)</w:t>
            </w:r>
          </w:p>
        </w:tc>
      </w:tr>
      <w:tr w:rsidR="007871BD" w:rsidRPr="00905D56" w:rsidTr="00F40ABD">
        <w:trPr>
          <w:trHeight w:val="300"/>
        </w:trPr>
        <w:tc>
          <w:tcPr>
            <w:cnfStyle w:val="001000000000"/>
            <w:tcW w:w="1600" w:type="dxa"/>
            <w:noWrap/>
            <w:vAlign w:val="center"/>
            <w:hideMark/>
          </w:tcPr>
          <w:p w:rsidR="007871BD" w:rsidRPr="00905D56" w:rsidRDefault="007871BD" w:rsidP="007871BD">
            <w:pPr>
              <w:jc w:val="center"/>
              <w:rPr>
                <w:rFonts w:eastAsia="Times New Roman"/>
                <w:i/>
                <w:iCs/>
                <w:color w:val="000000"/>
              </w:rPr>
            </w:pPr>
            <w:r w:rsidRPr="00905D56">
              <w:rPr>
                <w:rFonts w:eastAsia="Times New Roman"/>
                <w:i/>
                <w:iCs/>
                <w:color w:val="000000"/>
              </w:rPr>
              <w:t>TRIM56</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1749" w:type="dxa"/>
            <w:noWrap/>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4 (50%)</w:t>
            </w:r>
          </w:p>
        </w:tc>
      </w:tr>
      <w:tr w:rsidR="007871BD" w:rsidRPr="00905D56" w:rsidTr="00F40ABD">
        <w:trPr>
          <w:cnfStyle w:val="000000100000"/>
          <w:trHeight w:val="300"/>
        </w:trPr>
        <w:tc>
          <w:tcPr>
            <w:cnfStyle w:val="001000000000"/>
            <w:tcW w:w="1600" w:type="dxa"/>
            <w:noWrap/>
            <w:vAlign w:val="center"/>
            <w:hideMark/>
          </w:tcPr>
          <w:p w:rsidR="007871BD" w:rsidRPr="00905D56" w:rsidRDefault="007871BD" w:rsidP="007871BD">
            <w:pPr>
              <w:jc w:val="center"/>
              <w:rPr>
                <w:rFonts w:eastAsia="Times New Roman"/>
                <w:i/>
                <w:iCs/>
                <w:color w:val="000000"/>
              </w:rPr>
            </w:pPr>
            <w:r w:rsidRPr="00905D56">
              <w:rPr>
                <w:rFonts w:eastAsia="Times New Roman"/>
                <w:i/>
                <w:iCs/>
                <w:color w:val="000000"/>
              </w:rPr>
              <w:t>DPP6</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1749" w:type="dxa"/>
            <w:noWrap/>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4 (50%)</w:t>
            </w:r>
          </w:p>
        </w:tc>
      </w:tr>
      <w:tr w:rsidR="007871BD" w:rsidRPr="00905D56" w:rsidTr="00F40ABD">
        <w:trPr>
          <w:trHeight w:val="300"/>
        </w:trPr>
        <w:tc>
          <w:tcPr>
            <w:cnfStyle w:val="001000000000"/>
            <w:tcW w:w="1600" w:type="dxa"/>
            <w:noWrap/>
            <w:vAlign w:val="center"/>
            <w:hideMark/>
          </w:tcPr>
          <w:p w:rsidR="007871BD" w:rsidRPr="00905D56" w:rsidRDefault="007871BD" w:rsidP="007871BD">
            <w:pPr>
              <w:jc w:val="center"/>
              <w:rPr>
                <w:rFonts w:eastAsia="Times New Roman"/>
                <w:i/>
                <w:iCs/>
                <w:color w:val="000000"/>
              </w:rPr>
            </w:pPr>
            <w:r w:rsidRPr="00905D56">
              <w:rPr>
                <w:rFonts w:eastAsia="Times New Roman"/>
                <w:i/>
                <w:iCs/>
                <w:color w:val="000000"/>
              </w:rPr>
              <w:t>PLAG1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1749" w:type="dxa"/>
            <w:noWrap/>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4 (50%)</w:t>
            </w:r>
          </w:p>
        </w:tc>
      </w:tr>
      <w:tr w:rsidR="007871BD" w:rsidRPr="00905D56" w:rsidTr="00F40ABD">
        <w:trPr>
          <w:cnfStyle w:val="000000100000"/>
          <w:trHeight w:val="300"/>
        </w:trPr>
        <w:tc>
          <w:tcPr>
            <w:cnfStyle w:val="001000000000"/>
            <w:tcW w:w="1600" w:type="dxa"/>
            <w:noWrap/>
            <w:vAlign w:val="center"/>
            <w:hideMark/>
          </w:tcPr>
          <w:p w:rsidR="007871BD" w:rsidRPr="00905D56" w:rsidRDefault="007871BD" w:rsidP="007871BD">
            <w:pPr>
              <w:jc w:val="center"/>
              <w:rPr>
                <w:rFonts w:eastAsia="Times New Roman"/>
                <w:i/>
                <w:iCs/>
                <w:color w:val="000000"/>
              </w:rPr>
            </w:pPr>
            <w:r w:rsidRPr="00905D56">
              <w:rPr>
                <w:rFonts w:eastAsia="Times New Roman"/>
                <w:i/>
                <w:iCs/>
                <w:color w:val="000000"/>
              </w:rPr>
              <w:t>PRKCQ-AS1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1749" w:type="dxa"/>
            <w:noWrap/>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4 (50%)</w:t>
            </w:r>
          </w:p>
        </w:tc>
      </w:tr>
      <w:tr w:rsidR="007871BD" w:rsidRPr="00905D56" w:rsidTr="00F40ABD">
        <w:trPr>
          <w:trHeight w:val="300"/>
        </w:trPr>
        <w:tc>
          <w:tcPr>
            <w:cnfStyle w:val="001000000000"/>
            <w:tcW w:w="1600" w:type="dxa"/>
            <w:noWrap/>
            <w:vAlign w:val="center"/>
            <w:hideMark/>
          </w:tcPr>
          <w:p w:rsidR="007871BD" w:rsidRPr="00905D56" w:rsidRDefault="007871BD" w:rsidP="007871BD">
            <w:pPr>
              <w:jc w:val="center"/>
              <w:rPr>
                <w:rFonts w:eastAsia="Times New Roman"/>
                <w:i/>
                <w:iCs/>
                <w:color w:val="000000"/>
              </w:rPr>
            </w:pPr>
            <w:r w:rsidRPr="00905D56">
              <w:rPr>
                <w:rFonts w:eastAsia="Times New Roman"/>
                <w:i/>
                <w:iCs/>
                <w:color w:val="000000"/>
              </w:rPr>
              <w:t>SLC35E3</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1749" w:type="dxa"/>
            <w:noWrap/>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4 (50%)</w:t>
            </w:r>
          </w:p>
        </w:tc>
      </w:tr>
      <w:tr w:rsidR="007871BD" w:rsidRPr="00905D56" w:rsidTr="00F40ABD">
        <w:trPr>
          <w:cnfStyle w:val="000000100000"/>
          <w:trHeight w:val="300"/>
        </w:trPr>
        <w:tc>
          <w:tcPr>
            <w:cnfStyle w:val="001000000000"/>
            <w:tcW w:w="1600" w:type="dxa"/>
            <w:noWrap/>
            <w:vAlign w:val="center"/>
            <w:hideMark/>
          </w:tcPr>
          <w:p w:rsidR="007871BD" w:rsidRPr="00905D56" w:rsidRDefault="007871BD" w:rsidP="007871BD">
            <w:pPr>
              <w:jc w:val="center"/>
              <w:rPr>
                <w:rFonts w:eastAsia="Times New Roman"/>
                <w:i/>
                <w:iCs/>
                <w:color w:val="000000"/>
              </w:rPr>
            </w:pPr>
            <w:r w:rsidRPr="00905D56">
              <w:rPr>
                <w:rFonts w:eastAsia="Times New Roman"/>
                <w:i/>
                <w:iCs/>
                <w:color w:val="000000"/>
              </w:rPr>
              <w:t>ANKRD20A19P</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1749" w:type="dxa"/>
            <w:noWrap/>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4 (50%)</w:t>
            </w:r>
          </w:p>
        </w:tc>
      </w:tr>
      <w:tr w:rsidR="007871BD" w:rsidRPr="00905D56" w:rsidTr="00F40ABD">
        <w:trPr>
          <w:trHeight w:val="300"/>
        </w:trPr>
        <w:tc>
          <w:tcPr>
            <w:cnfStyle w:val="001000000000"/>
            <w:tcW w:w="1600" w:type="dxa"/>
            <w:noWrap/>
            <w:vAlign w:val="center"/>
            <w:hideMark/>
          </w:tcPr>
          <w:p w:rsidR="007871BD" w:rsidRPr="00905D56" w:rsidRDefault="007871BD" w:rsidP="007871BD">
            <w:pPr>
              <w:jc w:val="center"/>
              <w:rPr>
                <w:rFonts w:eastAsia="Times New Roman"/>
                <w:i/>
                <w:iCs/>
                <w:color w:val="000000"/>
              </w:rPr>
            </w:pPr>
            <w:r w:rsidRPr="00905D56">
              <w:rPr>
                <w:rFonts w:eastAsia="Times New Roman"/>
                <w:i/>
                <w:iCs/>
                <w:color w:val="000000"/>
              </w:rPr>
              <w:t>HMGB1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1749" w:type="dxa"/>
            <w:noWrap/>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4 (50%)</w:t>
            </w:r>
          </w:p>
        </w:tc>
      </w:tr>
      <w:tr w:rsidR="007871BD" w:rsidRPr="00905D56" w:rsidTr="00F40ABD">
        <w:trPr>
          <w:cnfStyle w:val="000000100000"/>
          <w:trHeight w:val="300"/>
        </w:trPr>
        <w:tc>
          <w:tcPr>
            <w:cnfStyle w:val="001000000000"/>
            <w:tcW w:w="1600" w:type="dxa"/>
            <w:noWrap/>
            <w:vAlign w:val="center"/>
            <w:hideMark/>
          </w:tcPr>
          <w:p w:rsidR="007871BD" w:rsidRPr="00905D56" w:rsidRDefault="007871BD" w:rsidP="007871BD">
            <w:pPr>
              <w:jc w:val="center"/>
              <w:rPr>
                <w:rFonts w:eastAsia="Times New Roman"/>
                <w:i/>
                <w:iCs/>
                <w:color w:val="000000"/>
              </w:rPr>
            </w:pPr>
            <w:r w:rsidRPr="00905D56">
              <w:rPr>
                <w:rFonts w:eastAsia="Times New Roman"/>
                <w:i/>
                <w:iCs/>
                <w:color w:val="000000"/>
              </w:rPr>
              <w:t>TRIM13</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1749" w:type="dxa"/>
            <w:noWrap/>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4 (50%)</w:t>
            </w:r>
          </w:p>
        </w:tc>
      </w:tr>
      <w:tr w:rsidR="007871BD" w:rsidRPr="00905D56" w:rsidTr="00F40ABD">
        <w:trPr>
          <w:trHeight w:val="300"/>
        </w:trPr>
        <w:tc>
          <w:tcPr>
            <w:cnfStyle w:val="001000000000"/>
            <w:tcW w:w="1600" w:type="dxa"/>
            <w:noWrap/>
            <w:vAlign w:val="center"/>
            <w:hideMark/>
          </w:tcPr>
          <w:p w:rsidR="007871BD" w:rsidRPr="00905D56" w:rsidRDefault="007871BD" w:rsidP="007871BD">
            <w:pPr>
              <w:jc w:val="center"/>
              <w:rPr>
                <w:rFonts w:eastAsia="Times New Roman"/>
                <w:i/>
                <w:iCs/>
                <w:color w:val="000000"/>
              </w:rPr>
            </w:pPr>
            <w:r w:rsidRPr="00905D56">
              <w:rPr>
                <w:rFonts w:eastAsia="Times New Roman"/>
                <w:i/>
                <w:iCs/>
                <w:color w:val="000000"/>
              </w:rPr>
              <w:t>RDH11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1749" w:type="dxa"/>
            <w:noWrap/>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4 (50%)</w:t>
            </w:r>
          </w:p>
        </w:tc>
      </w:tr>
      <w:tr w:rsidR="007871BD" w:rsidRPr="00905D56" w:rsidTr="00F40ABD">
        <w:trPr>
          <w:cnfStyle w:val="000000100000"/>
          <w:trHeight w:val="300"/>
        </w:trPr>
        <w:tc>
          <w:tcPr>
            <w:cnfStyle w:val="001000000000"/>
            <w:tcW w:w="1600" w:type="dxa"/>
            <w:noWrap/>
            <w:vAlign w:val="center"/>
            <w:hideMark/>
          </w:tcPr>
          <w:p w:rsidR="007871BD" w:rsidRPr="00905D56" w:rsidRDefault="007871BD" w:rsidP="007871BD">
            <w:pPr>
              <w:jc w:val="center"/>
              <w:rPr>
                <w:rFonts w:eastAsia="Times New Roman"/>
                <w:i/>
                <w:iCs/>
                <w:color w:val="000000"/>
              </w:rPr>
            </w:pPr>
            <w:r w:rsidRPr="00905D56">
              <w:rPr>
                <w:rFonts w:eastAsia="Times New Roman"/>
                <w:i/>
                <w:iCs/>
                <w:color w:val="000000"/>
              </w:rPr>
              <w:t>RORA</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1749" w:type="dxa"/>
            <w:noWrap/>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4 (50%)</w:t>
            </w:r>
          </w:p>
        </w:tc>
      </w:tr>
      <w:tr w:rsidR="007871BD" w:rsidRPr="00905D56" w:rsidTr="00F40ABD">
        <w:trPr>
          <w:trHeight w:val="300"/>
        </w:trPr>
        <w:tc>
          <w:tcPr>
            <w:cnfStyle w:val="001000000000"/>
            <w:tcW w:w="1600" w:type="dxa"/>
            <w:noWrap/>
            <w:vAlign w:val="center"/>
            <w:hideMark/>
          </w:tcPr>
          <w:p w:rsidR="007871BD" w:rsidRPr="00905D56" w:rsidRDefault="007871BD" w:rsidP="007871BD">
            <w:pPr>
              <w:jc w:val="center"/>
              <w:rPr>
                <w:rFonts w:eastAsia="Times New Roman"/>
                <w:i/>
                <w:iCs/>
                <w:color w:val="000000"/>
              </w:rPr>
            </w:pPr>
            <w:r w:rsidRPr="00905D56">
              <w:rPr>
                <w:rFonts w:eastAsia="Times New Roman"/>
                <w:i/>
                <w:iCs/>
                <w:color w:val="000000"/>
              </w:rPr>
              <w:t>LACTB</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1749" w:type="dxa"/>
            <w:noWrap/>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4 (50%)</w:t>
            </w:r>
          </w:p>
        </w:tc>
      </w:tr>
      <w:tr w:rsidR="007871BD" w:rsidRPr="00905D56" w:rsidTr="00A8078E">
        <w:trPr>
          <w:cnfStyle w:val="000000100000"/>
          <w:trHeight w:val="300"/>
        </w:trPr>
        <w:tc>
          <w:tcPr>
            <w:cnfStyle w:val="001000000000"/>
            <w:tcW w:w="1600" w:type="dxa"/>
            <w:noWrap/>
            <w:vAlign w:val="center"/>
            <w:hideMark/>
          </w:tcPr>
          <w:p w:rsidR="007871BD" w:rsidRPr="00905D56" w:rsidRDefault="007871BD" w:rsidP="007871BD">
            <w:pPr>
              <w:jc w:val="center"/>
              <w:rPr>
                <w:rFonts w:eastAsia="Times New Roman"/>
                <w:i/>
                <w:iCs/>
                <w:color w:val="000000"/>
              </w:rPr>
            </w:pPr>
            <w:r w:rsidRPr="00905D56">
              <w:rPr>
                <w:rFonts w:eastAsia="Times New Roman"/>
                <w:i/>
                <w:iCs/>
                <w:color w:val="000000"/>
              </w:rPr>
              <w:t>MYO9A</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1749" w:type="dxa"/>
            <w:noWrap/>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4 (50%)</w:t>
            </w:r>
          </w:p>
        </w:tc>
      </w:tr>
      <w:tr w:rsidR="007871BD" w:rsidRPr="00905D56" w:rsidTr="00A8078E">
        <w:trPr>
          <w:trHeight w:val="300"/>
        </w:trPr>
        <w:tc>
          <w:tcPr>
            <w:cnfStyle w:val="001000000000"/>
            <w:tcW w:w="1600" w:type="dxa"/>
            <w:noWrap/>
            <w:vAlign w:val="center"/>
            <w:hideMark/>
          </w:tcPr>
          <w:p w:rsidR="007871BD" w:rsidRPr="00905D56" w:rsidRDefault="007871BD" w:rsidP="007871BD">
            <w:pPr>
              <w:jc w:val="center"/>
              <w:rPr>
                <w:rFonts w:eastAsia="Times New Roman"/>
                <w:i/>
                <w:iCs/>
                <w:color w:val="000000"/>
              </w:rPr>
            </w:pPr>
            <w:r w:rsidRPr="00905D56">
              <w:rPr>
                <w:rFonts w:eastAsia="Times New Roman"/>
                <w:i/>
                <w:iCs/>
                <w:color w:val="000000"/>
              </w:rPr>
              <w:t>SNHG29</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1749" w:type="dxa"/>
            <w:noWrap/>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4 (50%)</w:t>
            </w:r>
          </w:p>
        </w:tc>
      </w:tr>
      <w:tr w:rsidR="007871BD" w:rsidRPr="00905D56" w:rsidTr="00A8078E">
        <w:trPr>
          <w:cnfStyle w:val="000000100000"/>
          <w:trHeight w:val="300"/>
        </w:trPr>
        <w:tc>
          <w:tcPr>
            <w:cnfStyle w:val="001000000000"/>
            <w:tcW w:w="1600" w:type="dxa"/>
            <w:noWrap/>
            <w:vAlign w:val="center"/>
            <w:hideMark/>
          </w:tcPr>
          <w:p w:rsidR="007871BD" w:rsidRPr="00905D56" w:rsidRDefault="007871BD" w:rsidP="007871BD">
            <w:pPr>
              <w:jc w:val="center"/>
              <w:rPr>
                <w:rFonts w:eastAsia="Times New Roman"/>
                <w:i/>
                <w:iCs/>
                <w:color w:val="000000"/>
              </w:rPr>
            </w:pPr>
            <w:r w:rsidRPr="00905D56">
              <w:rPr>
                <w:rFonts w:eastAsia="Times New Roman"/>
                <w:i/>
                <w:iCs/>
                <w:color w:val="000000"/>
              </w:rPr>
              <w:t>RPL27</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1749" w:type="dxa"/>
            <w:noWrap/>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4 (50%)</w:t>
            </w:r>
          </w:p>
        </w:tc>
      </w:tr>
      <w:tr w:rsidR="007871BD" w:rsidRPr="00905D56" w:rsidTr="00A8078E">
        <w:trPr>
          <w:trHeight w:val="300"/>
        </w:trPr>
        <w:tc>
          <w:tcPr>
            <w:cnfStyle w:val="001000000000"/>
            <w:tcW w:w="1600" w:type="dxa"/>
            <w:noWrap/>
            <w:vAlign w:val="center"/>
            <w:hideMark/>
          </w:tcPr>
          <w:p w:rsidR="007871BD" w:rsidRPr="00905D56" w:rsidRDefault="007871BD" w:rsidP="007871BD">
            <w:pPr>
              <w:jc w:val="center"/>
              <w:rPr>
                <w:rFonts w:eastAsia="Times New Roman"/>
                <w:i/>
                <w:iCs/>
                <w:color w:val="000000"/>
              </w:rPr>
            </w:pPr>
            <w:r w:rsidRPr="00905D56">
              <w:rPr>
                <w:rFonts w:eastAsia="Times New Roman"/>
                <w:i/>
                <w:iCs/>
                <w:color w:val="000000"/>
              </w:rPr>
              <w:t>BRIP1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1749" w:type="dxa"/>
            <w:noWrap/>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4 (50%)</w:t>
            </w:r>
          </w:p>
        </w:tc>
      </w:tr>
      <w:tr w:rsidR="007871BD" w:rsidRPr="00905D56" w:rsidTr="00A8078E">
        <w:trPr>
          <w:cnfStyle w:val="000000100000"/>
          <w:trHeight w:val="300"/>
        </w:trPr>
        <w:tc>
          <w:tcPr>
            <w:cnfStyle w:val="001000000000"/>
            <w:tcW w:w="1600" w:type="dxa"/>
            <w:noWrap/>
            <w:vAlign w:val="center"/>
            <w:hideMark/>
          </w:tcPr>
          <w:p w:rsidR="007871BD" w:rsidRPr="00905D56" w:rsidRDefault="007871BD" w:rsidP="007871BD">
            <w:pPr>
              <w:jc w:val="center"/>
              <w:rPr>
                <w:rFonts w:eastAsia="Times New Roman"/>
                <w:i/>
                <w:iCs/>
                <w:color w:val="000000"/>
              </w:rPr>
            </w:pPr>
            <w:r w:rsidRPr="00905D56">
              <w:rPr>
                <w:rFonts w:eastAsia="Times New Roman"/>
                <w:i/>
                <w:iCs/>
                <w:color w:val="000000"/>
              </w:rPr>
              <w:lastRenderedPageBreak/>
              <w:t>NFIC</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1749" w:type="dxa"/>
            <w:noWrap/>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4 (50%)</w:t>
            </w:r>
          </w:p>
        </w:tc>
      </w:tr>
      <w:tr w:rsidR="007871BD" w:rsidRPr="00905D56" w:rsidTr="00A8078E">
        <w:trPr>
          <w:trHeight w:val="300"/>
        </w:trPr>
        <w:tc>
          <w:tcPr>
            <w:cnfStyle w:val="001000000000"/>
            <w:tcW w:w="1600" w:type="dxa"/>
            <w:noWrap/>
            <w:vAlign w:val="center"/>
            <w:hideMark/>
          </w:tcPr>
          <w:p w:rsidR="007871BD" w:rsidRPr="00905D56" w:rsidRDefault="007871BD" w:rsidP="007871BD">
            <w:pPr>
              <w:jc w:val="center"/>
              <w:rPr>
                <w:rFonts w:eastAsia="Times New Roman"/>
                <w:i/>
                <w:iCs/>
                <w:color w:val="000000"/>
              </w:rPr>
            </w:pPr>
            <w:r w:rsidRPr="00905D56">
              <w:rPr>
                <w:rFonts w:eastAsia="Times New Roman"/>
                <w:i/>
                <w:iCs/>
                <w:color w:val="000000"/>
              </w:rPr>
              <w:t>TICAM1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1749" w:type="dxa"/>
            <w:noWrap/>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4 (50%)</w:t>
            </w:r>
          </w:p>
        </w:tc>
      </w:tr>
      <w:tr w:rsidR="007871BD" w:rsidRPr="00905D56" w:rsidTr="00A8078E">
        <w:trPr>
          <w:cnfStyle w:val="000000100000"/>
          <w:trHeight w:val="300"/>
        </w:trPr>
        <w:tc>
          <w:tcPr>
            <w:cnfStyle w:val="001000000000"/>
            <w:tcW w:w="1600" w:type="dxa"/>
            <w:noWrap/>
            <w:vAlign w:val="center"/>
            <w:hideMark/>
          </w:tcPr>
          <w:p w:rsidR="007871BD" w:rsidRPr="00905D56" w:rsidRDefault="007871BD" w:rsidP="007871BD">
            <w:pPr>
              <w:jc w:val="center"/>
              <w:rPr>
                <w:rFonts w:eastAsia="Times New Roman"/>
                <w:i/>
                <w:iCs/>
                <w:color w:val="000000"/>
              </w:rPr>
            </w:pPr>
            <w:r w:rsidRPr="00905D56">
              <w:rPr>
                <w:rFonts w:eastAsia="Times New Roman"/>
                <w:i/>
                <w:iCs/>
                <w:color w:val="000000"/>
              </w:rPr>
              <w:t>LOC105369202</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1749" w:type="dxa"/>
            <w:noWrap/>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4 (50%)</w:t>
            </w:r>
          </w:p>
        </w:tc>
      </w:tr>
      <w:tr w:rsidR="007871BD" w:rsidRPr="00905D56" w:rsidTr="00A8078E">
        <w:trPr>
          <w:trHeight w:val="300"/>
        </w:trPr>
        <w:tc>
          <w:tcPr>
            <w:cnfStyle w:val="001000000000"/>
            <w:tcW w:w="1600" w:type="dxa"/>
            <w:noWrap/>
            <w:vAlign w:val="center"/>
            <w:hideMark/>
          </w:tcPr>
          <w:p w:rsidR="007871BD" w:rsidRPr="00905D56" w:rsidRDefault="007871BD" w:rsidP="007871BD">
            <w:pPr>
              <w:jc w:val="center"/>
              <w:rPr>
                <w:rFonts w:eastAsia="Times New Roman"/>
                <w:i/>
                <w:iCs/>
                <w:color w:val="000000"/>
              </w:rPr>
            </w:pPr>
            <w:r w:rsidRPr="00905D56">
              <w:rPr>
                <w:rFonts w:eastAsia="Times New Roman"/>
                <w:i/>
                <w:iCs/>
                <w:color w:val="000000"/>
              </w:rPr>
              <w:t>ACTN4</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1749" w:type="dxa"/>
            <w:noWrap/>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4 (50%)</w:t>
            </w:r>
          </w:p>
        </w:tc>
      </w:tr>
      <w:tr w:rsidR="007871BD" w:rsidRPr="00905D56" w:rsidTr="00A8078E">
        <w:trPr>
          <w:cnfStyle w:val="000000100000"/>
          <w:trHeight w:val="300"/>
        </w:trPr>
        <w:tc>
          <w:tcPr>
            <w:cnfStyle w:val="001000000000"/>
            <w:tcW w:w="1600" w:type="dxa"/>
            <w:noWrap/>
            <w:vAlign w:val="center"/>
            <w:hideMark/>
          </w:tcPr>
          <w:p w:rsidR="007871BD" w:rsidRPr="00905D56" w:rsidRDefault="007871BD" w:rsidP="007871BD">
            <w:pPr>
              <w:jc w:val="center"/>
              <w:rPr>
                <w:rFonts w:eastAsia="Times New Roman"/>
                <w:i/>
                <w:iCs/>
                <w:color w:val="000000"/>
              </w:rPr>
            </w:pPr>
            <w:r w:rsidRPr="00905D56">
              <w:rPr>
                <w:rFonts w:eastAsia="Times New Roman"/>
                <w:i/>
                <w:iCs/>
                <w:color w:val="000000"/>
              </w:rPr>
              <w:t>PSMA7</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1749" w:type="dxa"/>
            <w:noWrap/>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4 (50%)</w:t>
            </w:r>
          </w:p>
        </w:tc>
      </w:tr>
      <w:tr w:rsidR="007871BD" w:rsidRPr="00905D56" w:rsidTr="00A8078E">
        <w:trPr>
          <w:trHeight w:val="300"/>
        </w:trPr>
        <w:tc>
          <w:tcPr>
            <w:cnfStyle w:val="001000000000"/>
            <w:tcW w:w="1600" w:type="dxa"/>
            <w:noWrap/>
            <w:vAlign w:val="center"/>
            <w:hideMark/>
          </w:tcPr>
          <w:p w:rsidR="007871BD" w:rsidRPr="00905D56" w:rsidRDefault="007871BD" w:rsidP="007871BD">
            <w:pPr>
              <w:jc w:val="center"/>
              <w:rPr>
                <w:rFonts w:eastAsia="Times New Roman"/>
                <w:i/>
                <w:iCs/>
                <w:color w:val="000000"/>
              </w:rPr>
            </w:pPr>
            <w:r w:rsidRPr="00905D56">
              <w:rPr>
                <w:rFonts w:eastAsia="Times New Roman"/>
                <w:i/>
                <w:iCs/>
                <w:color w:val="000000"/>
              </w:rPr>
              <w:t>SUPT20HL2</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1749" w:type="dxa"/>
            <w:noWrap/>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4 (50%)</w:t>
            </w:r>
          </w:p>
        </w:tc>
      </w:tr>
      <w:tr w:rsidR="007871BD" w:rsidRPr="00905D56" w:rsidTr="00A8078E">
        <w:trPr>
          <w:cnfStyle w:val="000000100000"/>
          <w:trHeight w:val="300"/>
        </w:trPr>
        <w:tc>
          <w:tcPr>
            <w:cnfStyle w:val="001000000000"/>
            <w:tcW w:w="1600" w:type="dxa"/>
            <w:noWrap/>
            <w:vAlign w:val="center"/>
            <w:hideMark/>
          </w:tcPr>
          <w:p w:rsidR="007871BD" w:rsidRPr="00905D56" w:rsidRDefault="007871BD" w:rsidP="007871BD">
            <w:pPr>
              <w:jc w:val="center"/>
              <w:rPr>
                <w:rFonts w:eastAsia="Times New Roman"/>
                <w:i/>
                <w:iCs/>
                <w:color w:val="000000"/>
              </w:rPr>
            </w:pPr>
            <w:r w:rsidRPr="00905D56">
              <w:rPr>
                <w:rFonts w:eastAsia="Times New Roman"/>
                <w:i/>
                <w:iCs/>
                <w:color w:val="000000"/>
              </w:rPr>
              <w:t>AMMECR1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0</w:t>
            </w:r>
          </w:p>
        </w:tc>
        <w:tc>
          <w:tcPr>
            <w:tcW w:w="1749" w:type="dxa"/>
            <w:noWrap/>
            <w:hideMark/>
          </w:tcPr>
          <w:p w:rsidR="007871BD" w:rsidRPr="00905D56" w:rsidRDefault="007871BD" w:rsidP="007871BD">
            <w:pPr>
              <w:jc w:val="center"/>
              <w:cnfStyle w:val="000000100000"/>
              <w:rPr>
                <w:rFonts w:eastAsia="Times New Roman"/>
                <w:color w:val="000000"/>
              </w:rPr>
            </w:pPr>
            <w:r w:rsidRPr="00905D56">
              <w:rPr>
                <w:rFonts w:eastAsia="Times New Roman"/>
                <w:color w:val="000000"/>
              </w:rPr>
              <w:t>4 (50%)</w:t>
            </w:r>
          </w:p>
        </w:tc>
      </w:tr>
      <w:tr w:rsidR="007871BD" w:rsidRPr="00905D56" w:rsidTr="00A8078E">
        <w:trPr>
          <w:trHeight w:val="300"/>
        </w:trPr>
        <w:tc>
          <w:tcPr>
            <w:cnfStyle w:val="001000000000"/>
            <w:tcW w:w="1600" w:type="dxa"/>
            <w:noWrap/>
            <w:vAlign w:val="center"/>
            <w:hideMark/>
          </w:tcPr>
          <w:p w:rsidR="007871BD" w:rsidRPr="00905D56" w:rsidRDefault="007871BD" w:rsidP="007871BD">
            <w:pPr>
              <w:jc w:val="center"/>
              <w:rPr>
                <w:rFonts w:eastAsia="Times New Roman"/>
                <w:i/>
                <w:iCs/>
                <w:color w:val="000000"/>
              </w:rPr>
            </w:pPr>
            <w:r w:rsidRPr="00905D56">
              <w:rPr>
                <w:rFonts w:eastAsia="Times New Roman"/>
                <w:i/>
                <w:iCs/>
                <w:color w:val="000000"/>
              </w:rPr>
              <w:t>INTS6L</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1</w:t>
            </w:r>
          </w:p>
        </w:tc>
        <w:tc>
          <w:tcPr>
            <w:tcW w:w="680" w:type="dxa"/>
            <w:noWrap/>
            <w:vAlign w:val="center"/>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0</w:t>
            </w:r>
          </w:p>
        </w:tc>
        <w:tc>
          <w:tcPr>
            <w:tcW w:w="1749" w:type="dxa"/>
            <w:noWrap/>
            <w:hideMark/>
          </w:tcPr>
          <w:p w:rsidR="007871BD" w:rsidRPr="00905D56" w:rsidRDefault="007871BD" w:rsidP="007871BD">
            <w:pPr>
              <w:jc w:val="center"/>
              <w:cnfStyle w:val="000000000000"/>
              <w:rPr>
                <w:rFonts w:eastAsia="Times New Roman"/>
                <w:color w:val="000000"/>
              </w:rPr>
            </w:pPr>
            <w:r w:rsidRPr="00905D56">
              <w:rPr>
                <w:rFonts w:eastAsia="Times New Roman"/>
                <w:color w:val="000000"/>
              </w:rPr>
              <w:t>4 (50%)</w:t>
            </w:r>
          </w:p>
        </w:tc>
      </w:tr>
    </w:tbl>
    <w:p w:rsidR="00E643FF" w:rsidRDefault="00E643FF" w:rsidP="007871BD">
      <w:pPr>
        <w:pStyle w:val="NormaleWeb"/>
        <w:spacing w:line="480" w:lineRule="auto"/>
        <w:rPr>
          <w:rFonts w:asciiTheme="minorHAnsi" w:hAnsiTheme="minorHAnsi" w:cstheme="minorHAnsi"/>
          <w:b/>
          <w:bCs/>
          <w:sz w:val="22"/>
          <w:szCs w:val="22"/>
          <w:lang w:val="en-GB"/>
        </w:rPr>
      </w:pPr>
    </w:p>
    <w:p w:rsidR="00E643FF" w:rsidRDefault="00E643FF" w:rsidP="007871BD">
      <w:pPr>
        <w:pStyle w:val="NormaleWeb"/>
        <w:spacing w:line="480" w:lineRule="auto"/>
        <w:rPr>
          <w:rFonts w:asciiTheme="minorHAnsi" w:hAnsiTheme="minorHAnsi" w:cstheme="minorHAnsi"/>
          <w:b/>
          <w:bCs/>
          <w:sz w:val="22"/>
          <w:szCs w:val="22"/>
          <w:lang w:val="en-GB"/>
        </w:rPr>
      </w:pPr>
    </w:p>
    <w:p w:rsidR="00E643FF" w:rsidRDefault="00E643FF" w:rsidP="007871BD">
      <w:pPr>
        <w:pStyle w:val="NormaleWeb"/>
        <w:spacing w:line="480" w:lineRule="auto"/>
        <w:rPr>
          <w:rFonts w:asciiTheme="minorHAnsi" w:hAnsiTheme="minorHAnsi" w:cstheme="minorHAnsi"/>
          <w:b/>
          <w:bCs/>
          <w:sz w:val="22"/>
          <w:szCs w:val="22"/>
          <w:lang w:val="en-GB"/>
        </w:rPr>
      </w:pPr>
    </w:p>
    <w:p w:rsidR="00E643FF" w:rsidRDefault="00E643FF" w:rsidP="007871BD">
      <w:pPr>
        <w:pStyle w:val="NormaleWeb"/>
        <w:spacing w:line="480" w:lineRule="auto"/>
        <w:rPr>
          <w:rFonts w:asciiTheme="minorHAnsi" w:hAnsiTheme="minorHAnsi" w:cstheme="minorHAnsi"/>
          <w:b/>
          <w:bCs/>
          <w:sz w:val="22"/>
          <w:szCs w:val="22"/>
          <w:lang w:val="en-GB"/>
        </w:rPr>
      </w:pPr>
    </w:p>
    <w:p w:rsidR="00E643FF" w:rsidRDefault="00E643FF" w:rsidP="007871BD">
      <w:pPr>
        <w:pStyle w:val="NormaleWeb"/>
        <w:spacing w:line="480" w:lineRule="auto"/>
        <w:rPr>
          <w:rFonts w:asciiTheme="minorHAnsi" w:hAnsiTheme="minorHAnsi" w:cstheme="minorHAnsi"/>
          <w:b/>
          <w:bCs/>
          <w:sz w:val="22"/>
          <w:szCs w:val="22"/>
          <w:lang w:val="en-GB"/>
        </w:rPr>
      </w:pPr>
    </w:p>
    <w:p w:rsidR="00E643FF" w:rsidRDefault="00E643FF" w:rsidP="007871BD">
      <w:pPr>
        <w:pStyle w:val="NormaleWeb"/>
        <w:spacing w:line="480" w:lineRule="auto"/>
        <w:rPr>
          <w:rFonts w:asciiTheme="minorHAnsi" w:hAnsiTheme="minorHAnsi" w:cstheme="minorHAnsi"/>
          <w:b/>
          <w:bCs/>
          <w:sz w:val="22"/>
          <w:szCs w:val="22"/>
          <w:lang w:val="en-GB"/>
        </w:rPr>
      </w:pPr>
    </w:p>
    <w:p w:rsidR="00E643FF" w:rsidRDefault="00E643FF" w:rsidP="007871BD">
      <w:pPr>
        <w:pStyle w:val="NormaleWeb"/>
        <w:spacing w:line="480" w:lineRule="auto"/>
        <w:rPr>
          <w:rFonts w:asciiTheme="minorHAnsi" w:hAnsiTheme="minorHAnsi" w:cstheme="minorHAnsi"/>
          <w:b/>
          <w:bCs/>
          <w:sz w:val="22"/>
          <w:szCs w:val="22"/>
          <w:lang w:val="en-GB"/>
        </w:rPr>
      </w:pPr>
    </w:p>
    <w:p w:rsidR="00E643FF" w:rsidRDefault="00E643FF" w:rsidP="007871BD">
      <w:pPr>
        <w:pStyle w:val="NormaleWeb"/>
        <w:spacing w:line="480" w:lineRule="auto"/>
        <w:rPr>
          <w:rFonts w:asciiTheme="minorHAnsi" w:hAnsiTheme="minorHAnsi" w:cstheme="minorHAnsi"/>
          <w:b/>
          <w:bCs/>
          <w:sz w:val="22"/>
          <w:szCs w:val="22"/>
          <w:lang w:val="en-GB"/>
        </w:rPr>
      </w:pPr>
    </w:p>
    <w:p w:rsidR="00E643FF" w:rsidRDefault="00E643FF" w:rsidP="007871BD">
      <w:pPr>
        <w:pStyle w:val="NormaleWeb"/>
        <w:spacing w:line="480" w:lineRule="auto"/>
        <w:rPr>
          <w:rFonts w:asciiTheme="minorHAnsi" w:hAnsiTheme="minorHAnsi" w:cstheme="minorHAnsi"/>
          <w:b/>
          <w:bCs/>
          <w:sz w:val="22"/>
          <w:szCs w:val="22"/>
          <w:lang w:val="en-GB"/>
        </w:rPr>
      </w:pPr>
    </w:p>
    <w:p w:rsidR="00E643FF" w:rsidRDefault="00E643FF" w:rsidP="007871BD">
      <w:pPr>
        <w:pStyle w:val="NormaleWeb"/>
        <w:spacing w:line="480" w:lineRule="auto"/>
        <w:rPr>
          <w:rFonts w:asciiTheme="minorHAnsi" w:hAnsiTheme="minorHAnsi" w:cstheme="minorHAnsi"/>
          <w:b/>
          <w:bCs/>
          <w:sz w:val="22"/>
          <w:szCs w:val="22"/>
          <w:lang w:val="en-GB"/>
        </w:rPr>
      </w:pPr>
    </w:p>
    <w:p w:rsidR="00E643FF" w:rsidRDefault="00E643FF" w:rsidP="007871BD">
      <w:pPr>
        <w:pStyle w:val="NormaleWeb"/>
        <w:spacing w:line="480" w:lineRule="auto"/>
        <w:rPr>
          <w:rFonts w:asciiTheme="minorHAnsi" w:hAnsiTheme="minorHAnsi" w:cstheme="minorHAnsi"/>
          <w:b/>
          <w:bCs/>
          <w:sz w:val="22"/>
          <w:szCs w:val="22"/>
          <w:lang w:val="en-GB"/>
        </w:rPr>
      </w:pPr>
    </w:p>
    <w:p w:rsidR="00E643FF" w:rsidRDefault="00E643FF" w:rsidP="007871BD">
      <w:pPr>
        <w:pStyle w:val="NormaleWeb"/>
        <w:spacing w:line="480" w:lineRule="auto"/>
        <w:rPr>
          <w:rFonts w:asciiTheme="minorHAnsi" w:hAnsiTheme="minorHAnsi" w:cstheme="minorHAnsi"/>
          <w:b/>
          <w:bCs/>
          <w:sz w:val="22"/>
          <w:szCs w:val="22"/>
          <w:lang w:val="en-GB"/>
        </w:rPr>
      </w:pPr>
    </w:p>
    <w:p w:rsidR="00E643FF" w:rsidRDefault="00E643FF" w:rsidP="007871BD">
      <w:pPr>
        <w:pStyle w:val="NormaleWeb"/>
        <w:spacing w:line="480" w:lineRule="auto"/>
        <w:rPr>
          <w:rFonts w:asciiTheme="minorHAnsi" w:hAnsiTheme="minorHAnsi" w:cstheme="minorHAnsi"/>
          <w:b/>
          <w:bCs/>
          <w:sz w:val="22"/>
          <w:szCs w:val="22"/>
          <w:lang w:val="en-GB"/>
        </w:rPr>
      </w:pPr>
    </w:p>
    <w:p w:rsidR="00E643FF" w:rsidRDefault="00E643FF" w:rsidP="007871BD">
      <w:pPr>
        <w:pStyle w:val="NormaleWeb"/>
        <w:spacing w:line="480" w:lineRule="auto"/>
        <w:rPr>
          <w:rFonts w:asciiTheme="minorHAnsi" w:hAnsiTheme="minorHAnsi" w:cstheme="minorHAnsi"/>
          <w:b/>
          <w:bCs/>
          <w:sz w:val="22"/>
          <w:szCs w:val="22"/>
          <w:lang w:val="en-GB"/>
        </w:rPr>
      </w:pPr>
    </w:p>
    <w:p w:rsidR="003467D4" w:rsidRPr="00905D56" w:rsidRDefault="00931952" w:rsidP="007871BD">
      <w:pPr>
        <w:pStyle w:val="NormaleWeb"/>
        <w:spacing w:line="480" w:lineRule="auto"/>
        <w:rPr>
          <w:rFonts w:asciiTheme="minorHAnsi" w:hAnsiTheme="minorHAnsi" w:cstheme="minorHAnsi"/>
          <w:sz w:val="22"/>
          <w:szCs w:val="22"/>
          <w:lang w:val="en-GB"/>
        </w:rPr>
      </w:pPr>
      <w:r w:rsidRPr="00905D56">
        <w:rPr>
          <w:rFonts w:asciiTheme="minorHAnsi" w:hAnsiTheme="minorHAnsi" w:cstheme="minorHAnsi"/>
          <w:b/>
          <w:bCs/>
          <w:sz w:val="22"/>
          <w:szCs w:val="22"/>
          <w:lang w:val="en-GB"/>
        </w:rPr>
        <w:lastRenderedPageBreak/>
        <w:t xml:space="preserve">Figure S2. </w:t>
      </w:r>
      <w:r w:rsidRPr="00905D56">
        <w:rPr>
          <w:rFonts w:asciiTheme="minorHAnsi" w:hAnsiTheme="minorHAnsi" w:cstheme="minorHAnsi"/>
          <w:sz w:val="22"/>
          <w:szCs w:val="22"/>
          <w:lang w:val="en-GB"/>
        </w:rPr>
        <w:t xml:space="preserve">Bar plot showing the top 20 most significantly enriched Gene Ontology – Biological Process (GO-BP) terms, based on the analysis of 42 genes exclusively expressed in circulating </w:t>
      </w:r>
      <w:proofErr w:type="spellStart"/>
      <w:r w:rsidRPr="00905D56">
        <w:rPr>
          <w:rFonts w:asciiTheme="minorHAnsi" w:hAnsiTheme="minorHAnsi" w:cstheme="minorHAnsi"/>
          <w:sz w:val="22"/>
          <w:szCs w:val="22"/>
          <w:lang w:val="en-GB"/>
        </w:rPr>
        <w:t>tumor</w:t>
      </w:r>
      <w:proofErr w:type="spellEnd"/>
      <w:r w:rsidRPr="00905D56">
        <w:rPr>
          <w:rFonts w:asciiTheme="minorHAnsi" w:hAnsiTheme="minorHAnsi" w:cstheme="minorHAnsi"/>
          <w:sz w:val="22"/>
          <w:szCs w:val="22"/>
          <w:lang w:val="en-GB"/>
        </w:rPr>
        <w:t xml:space="preserve"> cells (CTCs) isolated from bone metastasis patients. These genes were prioritized based on detection in at least 4 out of 8 patients.</w:t>
      </w:r>
    </w:p>
    <w:p w:rsidR="003467D4" w:rsidRDefault="003467D4" w:rsidP="003467D4">
      <w:pPr>
        <w:spacing w:line="480" w:lineRule="auto"/>
        <w:rPr>
          <w:rFonts w:eastAsiaTheme="minorEastAsia" w:cstheme="minorHAnsi"/>
          <w:kern w:val="0"/>
          <w:lang w:val="en-GB" w:eastAsia="it-IT"/>
        </w:rPr>
      </w:pPr>
      <w:r w:rsidRPr="00905D56">
        <w:rPr>
          <w:b/>
          <w:bCs/>
          <w:noProof/>
          <w:lang w:eastAsia="it-IT"/>
        </w:rPr>
        <w:drawing>
          <wp:inline distT="0" distB="0" distL="0" distR="0">
            <wp:extent cx="6120130" cy="3717667"/>
            <wp:effectExtent l="0" t="0" r="0" b="0"/>
            <wp:docPr id="1579434700"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20130" cy="3717667"/>
                    </a:xfrm>
                    <a:prstGeom prst="rect">
                      <a:avLst/>
                    </a:prstGeom>
                    <a:noFill/>
                  </pic:spPr>
                </pic:pic>
              </a:graphicData>
            </a:graphic>
          </wp:inline>
        </w:drawing>
      </w:r>
    </w:p>
    <w:p w:rsidR="003467D4" w:rsidRPr="003467D4" w:rsidRDefault="003467D4" w:rsidP="003467D4">
      <w:pPr>
        <w:spacing w:line="480" w:lineRule="auto"/>
        <w:rPr>
          <w:rFonts w:eastAsiaTheme="minorEastAsia" w:cstheme="minorHAnsi"/>
          <w:kern w:val="0"/>
          <w:lang w:val="en-GB" w:eastAsia="it-IT"/>
        </w:rPr>
      </w:pPr>
    </w:p>
    <w:p w:rsidR="003467D4" w:rsidRPr="00F338EB" w:rsidRDefault="003467D4" w:rsidP="009C1FEC">
      <w:pPr>
        <w:pStyle w:val="NormaleWeb"/>
        <w:spacing w:line="480" w:lineRule="auto"/>
        <w:rPr>
          <w:rFonts w:asciiTheme="minorHAnsi" w:hAnsiTheme="minorHAnsi" w:cstheme="minorHAnsi"/>
          <w:b/>
          <w:bCs/>
          <w:sz w:val="22"/>
          <w:szCs w:val="22"/>
          <w:lang w:val="en-GB"/>
        </w:rPr>
      </w:pPr>
    </w:p>
    <w:sectPr w:rsidR="003467D4" w:rsidRPr="00F338EB" w:rsidSect="00B72E27">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243E5F"/>
    <w:multiLevelType w:val="hybridMultilevel"/>
    <w:tmpl w:val="103E76B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DA682A"/>
    <w:rsid w:val="00000D0E"/>
    <w:rsid w:val="000030E9"/>
    <w:rsid w:val="00025FF4"/>
    <w:rsid w:val="00031AE8"/>
    <w:rsid w:val="000377AF"/>
    <w:rsid w:val="00070784"/>
    <w:rsid w:val="00073197"/>
    <w:rsid w:val="00082450"/>
    <w:rsid w:val="000933D6"/>
    <w:rsid w:val="000951EF"/>
    <w:rsid w:val="000960CB"/>
    <w:rsid w:val="000A3E39"/>
    <w:rsid w:val="000A7A1E"/>
    <w:rsid w:val="000B6D90"/>
    <w:rsid w:val="000C44CB"/>
    <w:rsid w:val="000D02A9"/>
    <w:rsid w:val="000D2E38"/>
    <w:rsid w:val="000D309F"/>
    <w:rsid w:val="000D4BAA"/>
    <w:rsid w:val="000E0B7A"/>
    <w:rsid w:val="000E29F9"/>
    <w:rsid w:val="000F2A53"/>
    <w:rsid w:val="000F329D"/>
    <w:rsid w:val="000F70F1"/>
    <w:rsid w:val="0010336F"/>
    <w:rsid w:val="00105A49"/>
    <w:rsid w:val="00121118"/>
    <w:rsid w:val="00127A2D"/>
    <w:rsid w:val="00133AE6"/>
    <w:rsid w:val="001414C3"/>
    <w:rsid w:val="001423C8"/>
    <w:rsid w:val="00146013"/>
    <w:rsid w:val="00147CDD"/>
    <w:rsid w:val="00147F13"/>
    <w:rsid w:val="0015182C"/>
    <w:rsid w:val="0015245E"/>
    <w:rsid w:val="00154E0C"/>
    <w:rsid w:val="001605A1"/>
    <w:rsid w:val="0016489D"/>
    <w:rsid w:val="00181D17"/>
    <w:rsid w:val="001A0F0A"/>
    <w:rsid w:val="001A4AE6"/>
    <w:rsid w:val="001C354E"/>
    <w:rsid w:val="001C4A39"/>
    <w:rsid w:val="001C5308"/>
    <w:rsid w:val="001C7B06"/>
    <w:rsid w:val="001D2AF3"/>
    <w:rsid w:val="001D5BA1"/>
    <w:rsid w:val="00203710"/>
    <w:rsid w:val="0021331E"/>
    <w:rsid w:val="0022078A"/>
    <w:rsid w:val="00222392"/>
    <w:rsid w:val="00222D97"/>
    <w:rsid w:val="002243E8"/>
    <w:rsid w:val="002300D8"/>
    <w:rsid w:val="00234E5B"/>
    <w:rsid w:val="00236A26"/>
    <w:rsid w:val="00244A88"/>
    <w:rsid w:val="00251540"/>
    <w:rsid w:val="002515A4"/>
    <w:rsid w:val="00255D4B"/>
    <w:rsid w:val="0027078F"/>
    <w:rsid w:val="0028172E"/>
    <w:rsid w:val="002B5C80"/>
    <w:rsid w:val="002B6292"/>
    <w:rsid w:val="002C3408"/>
    <w:rsid w:val="002C60DE"/>
    <w:rsid w:val="002E3CB6"/>
    <w:rsid w:val="002E3E10"/>
    <w:rsid w:val="002E5D5E"/>
    <w:rsid w:val="002F2EBC"/>
    <w:rsid w:val="003467D4"/>
    <w:rsid w:val="00361B4E"/>
    <w:rsid w:val="00363175"/>
    <w:rsid w:val="00367254"/>
    <w:rsid w:val="003677C1"/>
    <w:rsid w:val="00374AEF"/>
    <w:rsid w:val="00395302"/>
    <w:rsid w:val="00395A84"/>
    <w:rsid w:val="003B6C40"/>
    <w:rsid w:val="003B752E"/>
    <w:rsid w:val="003D424F"/>
    <w:rsid w:val="003E588C"/>
    <w:rsid w:val="004034D3"/>
    <w:rsid w:val="00414131"/>
    <w:rsid w:val="0044169A"/>
    <w:rsid w:val="00456940"/>
    <w:rsid w:val="00472CE6"/>
    <w:rsid w:val="00475CBB"/>
    <w:rsid w:val="00475F01"/>
    <w:rsid w:val="00484F95"/>
    <w:rsid w:val="004B0658"/>
    <w:rsid w:val="004B440E"/>
    <w:rsid w:val="004C5096"/>
    <w:rsid w:val="004C54EC"/>
    <w:rsid w:val="004D1CD1"/>
    <w:rsid w:val="004D4748"/>
    <w:rsid w:val="004D79FF"/>
    <w:rsid w:val="004E6962"/>
    <w:rsid w:val="004F62A2"/>
    <w:rsid w:val="005001CD"/>
    <w:rsid w:val="005100C5"/>
    <w:rsid w:val="00524EB5"/>
    <w:rsid w:val="00531F71"/>
    <w:rsid w:val="00532849"/>
    <w:rsid w:val="00532EF4"/>
    <w:rsid w:val="00541CDD"/>
    <w:rsid w:val="00546AB7"/>
    <w:rsid w:val="00546F32"/>
    <w:rsid w:val="005477CF"/>
    <w:rsid w:val="00570CCC"/>
    <w:rsid w:val="0057384E"/>
    <w:rsid w:val="00577520"/>
    <w:rsid w:val="0058240F"/>
    <w:rsid w:val="005A4AF1"/>
    <w:rsid w:val="005B722D"/>
    <w:rsid w:val="005D0381"/>
    <w:rsid w:val="005D1B6D"/>
    <w:rsid w:val="005D1F43"/>
    <w:rsid w:val="005D581E"/>
    <w:rsid w:val="005D5BA8"/>
    <w:rsid w:val="005E6805"/>
    <w:rsid w:val="005F0D05"/>
    <w:rsid w:val="005F40F9"/>
    <w:rsid w:val="0060598B"/>
    <w:rsid w:val="006063CC"/>
    <w:rsid w:val="00610262"/>
    <w:rsid w:val="00616522"/>
    <w:rsid w:val="006202C0"/>
    <w:rsid w:val="0062248B"/>
    <w:rsid w:val="006416A6"/>
    <w:rsid w:val="00654851"/>
    <w:rsid w:val="006608C3"/>
    <w:rsid w:val="00661F91"/>
    <w:rsid w:val="00671A42"/>
    <w:rsid w:val="006803E8"/>
    <w:rsid w:val="00681D9B"/>
    <w:rsid w:val="00684705"/>
    <w:rsid w:val="00686872"/>
    <w:rsid w:val="006911B3"/>
    <w:rsid w:val="006920C4"/>
    <w:rsid w:val="006A43F4"/>
    <w:rsid w:val="006A5AFB"/>
    <w:rsid w:val="006A5D4A"/>
    <w:rsid w:val="006B37C5"/>
    <w:rsid w:val="006B6173"/>
    <w:rsid w:val="006D086D"/>
    <w:rsid w:val="006D6ED4"/>
    <w:rsid w:val="006F2D8B"/>
    <w:rsid w:val="00706DEF"/>
    <w:rsid w:val="00712516"/>
    <w:rsid w:val="00712EE7"/>
    <w:rsid w:val="00726641"/>
    <w:rsid w:val="007316E9"/>
    <w:rsid w:val="007328F8"/>
    <w:rsid w:val="007408BC"/>
    <w:rsid w:val="00786DD7"/>
    <w:rsid w:val="007871BD"/>
    <w:rsid w:val="0079190E"/>
    <w:rsid w:val="007950F7"/>
    <w:rsid w:val="007A0122"/>
    <w:rsid w:val="007A32DC"/>
    <w:rsid w:val="007B6EF2"/>
    <w:rsid w:val="007C52FD"/>
    <w:rsid w:val="007D2E21"/>
    <w:rsid w:val="007F5DBF"/>
    <w:rsid w:val="00800313"/>
    <w:rsid w:val="00803931"/>
    <w:rsid w:val="0081036B"/>
    <w:rsid w:val="00811B65"/>
    <w:rsid w:val="008226A0"/>
    <w:rsid w:val="008534D3"/>
    <w:rsid w:val="00860308"/>
    <w:rsid w:val="008622D9"/>
    <w:rsid w:val="0086506D"/>
    <w:rsid w:val="00893125"/>
    <w:rsid w:val="008B6A80"/>
    <w:rsid w:val="008C4A1D"/>
    <w:rsid w:val="008C68A1"/>
    <w:rsid w:val="008F21A9"/>
    <w:rsid w:val="008F2A67"/>
    <w:rsid w:val="00900D49"/>
    <w:rsid w:val="0090349D"/>
    <w:rsid w:val="009047DB"/>
    <w:rsid w:val="00905D56"/>
    <w:rsid w:val="00910A8D"/>
    <w:rsid w:val="0091388D"/>
    <w:rsid w:val="00931952"/>
    <w:rsid w:val="00944215"/>
    <w:rsid w:val="00944308"/>
    <w:rsid w:val="00947B22"/>
    <w:rsid w:val="00952C95"/>
    <w:rsid w:val="00957B34"/>
    <w:rsid w:val="00991C45"/>
    <w:rsid w:val="009C1FEC"/>
    <w:rsid w:val="009C5970"/>
    <w:rsid w:val="009C5B77"/>
    <w:rsid w:val="009C6B3C"/>
    <w:rsid w:val="009D4E0D"/>
    <w:rsid w:val="009E2761"/>
    <w:rsid w:val="009F274D"/>
    <w:rsid w:val="009F7199"/>
    <w:rsid w:val="00A13272"/>
    <w:rsid w:val="00A15301"/>
    <w:rsid w:val="00A211FC"/>
    <w:rsid w:val="00A21921"/>
    <w:rsid w:val="00A34A0F"/>
    <w:rsid w:val="00A42AA3"/>
    <w:rsid w:val="00A4795A"/>
    <w:rsid w:val="00A50588"/>
    <w:rsid w:val="00A52872"/>
    <w:rsid w:val="00A615C8"/>
    <w:rsid w:val="00A71C1D"/>
    <w:rsid w:val="00A7532E"/>
    <w:rsid w:val="00A86AD0"/>
    <w:rsid w:val="00A9158E"/>
    <w:rsid w:val="00A92679"/>
    <w:rsid w:val="00AA2B28"/>
    <w:rsid w:val="00AA3ED2"/>
    <w:rsid w:val="00AB1908"/>
    <w:rsid w:val="00AC16F2"/>
    <w:rsid w:val="00AC6FE4"/>
    <w:rsid w:val="00AF1CC1"/>
    <w:rsid w:val="00AF4A44"/>
    <w:rsid w:val="00AF64D0"/>
    <w:rsid w:val="00B0282D"/>
    <w:rsid w:val="00B07010"/>
    <w:rsid w:val="00B23FA5"/>
    <w:rsid w:val="00B41C13"/>
    <w:rsid w:val="00B44AE6"/>
    <w:rsid w:val="00B46030"/>
    <w:rsid w:val="00B513FF"/>
    <w:rsid w:val="00B53B7A"/>
    <w:rsid w:val="00B65E9D"/>
    <w:rsid w:val="00B6741D"/>
    <w:rsid w:val="00B7007E"/>
    <w:rsid w:val="00B72388"/>
    <w:rsid w:val="00B72E27"/>
    <w:rsid w:val="00B8234A"/>
    <w:rsid w:val="00B8235F"/>
    <w:rsid w:val="00B87D0C"/>
    <w:rsid w:val="00B932BE"/>
    <w:rsid w:val="00BA6DA4"/>
    <w:rsid w:val="00BB3418"/>
    <w:rsid w:val="00BB6DAF"/>
    <w:rsid w:val="00BC04DE"/>
    <w:rsid w:val="00BC77E3"/>
    <w:rsid w:val="00BD22DC"/>
    <w:rsid w:val="00BD3AC4"/>
    <w:rsid w:val="00BE6A3D"/>
    <w:rsid w:val="00C0692E"/>
    <w:rsid w:val="00C06E36"/>
    <w:rsid w:val="00C07C51"/>
    <w:rsid w:val="00C22983"/>
    <w:rsid w:val="00C244F2"/>
    <w:rsid w:val="00C330C3"/>
    <w:rsid w:val="00C40FBD"/>
    <w:rsid w:val="00C43FF7"/>
    <w:rsid w:val="00C73AE0"/>
    <w:rsid w:val="00C85199"/>
    <w:rsid w:val="00CB1869"/>
    <w:rsid w:val="00CB23B3"/>
    <w:rsid w:val="00CC0372"/>
    <w:rsid w:val="00CD068C"/>
    <w:rsid w:val="00CD2F71"/>
    <w:rsid w:val="00CD7E64"/>
    <w:rsid w:val="00CE2CE5"/>
    <w:rsid w:val="00CF2B36"/>
    <w:rsid w:val="00CF5FC3"/>
    <w:rsid w:val="00D05A32"/>
    <w:rsid w:val="00D06AA5"/>
    <w:rsid w:val="00D16DE4"/>
    <w:rsid w:val="00D26FAB"/>
    <w:rsid w:val="00D37D23"/>
    <w:rsid w:val="00D37EEA"/>
    <w:rsid w:val="00D416CA"/>
    <w:rsid w:val="00D419FB"/>
    <w:rsid w:val="00D445CE"/>
    <w:rsid w:val="00D44A9D"/>
    <w:rsid w:val="00D57577"/>
    <w:rsid w:val="00D655A9"/>
    <w:rsid w:val="00D7065D"/>
    <w:rsid w:val="00D80B9D"/>
    <w:rsid w:val="00D90680"/>
    <w:rsid w:val="00D921A9"/>
    <w:rsid w:val="00D96A7F"/>
    <w:rsid w:val="00DA09F3"/>
    <w:rsid w:val="00DA5337"/>
    <w:rsid w:val="00DA682A"/>
    <w:rsid w:val="00DB3F43"/>
    <w:rsid w:val="00DB5050"/>
    <w:rsid w:val="00DB7DA3"/>
    <w:rsid w:val="00DD1E41"/>
    <w:rsid w:val="00DD2084"/>
    <w:rsid w:val="00DE1A0C"/>
    <w:rsid w:val="00DE1D51"/>
    <w:rsid w:val="00DE5C32"/>
    <w:rsid w:val="00DF0EC1"/>
    <w:rsid w:val="00E01E4D"/>
    <w:rsid w:val="00E04D23"/>
    <w:rsid w:val="00E15CEB"/>
    <w:rsid w:val="00E275DF"/>
    <w:rsid w:val="00E371A3"/>
    <w:rsid w:val="00E643FF"/>
    <w:rsid w:val="00E72AD0"/>
    <w:rsid w:val="00E761F0"/>
    <w:rsid w:val="00E766F4"/>
    <w:rsid w:val="00E82391"/>
    <w:rsid w:val="00E906CF"/>
    <w:rsid w:val="00EA3F9C"/>
    <w:rsid w:val="00EB5978"/>
    <w:rsid w:val="00EC2881"/>
    <w:rsid w:val="00EC40F3"/>
    <w:rsid w:val="00EE1DDE"/>
    <w:rsid w:val="00EE3731"/>
    <w:rsid w:val="00F06539"/>
    <w:rsid w:val="00F338EB"/>
    <w:rsid w:val="00F43F87"/>
    <w:rsid w:val="00F53823"/>
    <w:rsid w:val="00F548FF"/>
    <w:rsid w:val="00F60D54"/>
    <w:rsid w:val="00F62946"/>
    <w:rsid w:val="00F8009A"/>
    <w:rsid w:val="00FA1E46"/>
    <w:rsid w:val="00FA78FB"/>
    <w:rsid w:val="00FC055A"/>
    <w:rsid w:val="00FC11F0"/>
    <w:rsid w:val="00FC3A4C"/>
    <w:rsid w:val="00FD29C2"/>
    <w:rsid w:val="00FE0DE8"/>
    <w:rsid w:val="00FE76F7"/>
    <w:rsid w:val="00FF40A7"/>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72E27"/>
  </w:style>
  <w:style w:type="paragraph" w:styleId="Titolo1">
    <w:name w:val="heading 1"/>
    <w:basedOn w:val="Normale"/>
    <w:next w:val="Normale"/>
    <w:link w:val="Titolo1Carattere"/>
    <w:uiPriority w:val="9"/>
    <w:qFormat/>
    <w:rsid w:val="00DA682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DA682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DA682A"/>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DA682A"/>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DA682A"/>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DA682A"/>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A682A"/>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A682A"/>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A682A"/>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A682A"/>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DA682A"/>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DA682A"/>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DA682A"/>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DA682A"/>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DA682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A682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A682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A682A"/>
    <w:rPr>
      <w:rFonts w:eastAsiaTheme="majorEastAsia" w:cstheme="majorBidi"/>
      <w:color w:val="272727" w:themeColor="text1" w:themeTint="D8"/>
    </w:rPr>
  </w:style>
  <w:style w:type="paragraph" w:styleId="Titolo">
    <w:name w:val="Title"/>
    <w:basedOn w:val="Normale"/>
    <w:next w:val="Normale"/>
    <w:link w:val="TitoloCarattere"/>
    <w:uiPriority w:val="10"/>
    <w:qFormat/>
    <w:rsid w:val="00DA68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A682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A682A"/>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A682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A682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A682A"/>
    <w:rPr>
      <w:i/>
      <w:iCs/>
      <w:color w:val="404040" w:themeColor="text1" w:themeTint="BF"/>
    </w:rPr>
  </w:style>
  <w:style w:type="paragraph" w:styleId="Paragrafoelenco">
    <w:name w:val="List Paragraph"/>
    <w:basedOn w:val="Normale"/>
    <w:uiPriority w:val="34"/>
    <w:qFormat/>
    <w:rsid w:val="00DA682A"/>
    <w:pPr>
      <w:ind w:left="720"/>
      <w:contextualSpacing/>
    </w:pPr>
  </w:style>
  <w:style w:type="character" w:styleId="Enfasiintensa">
    <w:name w:val="Intense Emphasis"/>
    <w:basedOn w:val="Carpredefinitoparagrafo"/>
    <w:uiPriority w:val="21"/>
    <w:qFormat/>
    <w:rsid w:val="00DA682A"/>
    <w:rPr>
      <w:i/>
      <w:iCs/>
      <w:color w:val="2F5496" w:themeColor="accent1" w:themeShade="BF"/>
    </w:rPr>
  </w:style>
  <w:style w:type="paragraph" w:styleId="Citazioneintensa">
    <w:name w:val="Intense Quote"/>
    <w:basedOn w:val="Normale"/>
    <w:next w:val="Normale"/>
    <w:link w:val="CitazioneintensaCarattere"/>
    <w:uiPriority w:val="30"/>
    <w:qFormat/>
    <w:rsid w:val="00DA682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DA682A"/>
    <w:rPr>
      <w:i/>
      <w:iCs/>
      <w:color w:val="2F5496" w:themeColor="accent1" w:themeShade="BF"/>
    </w:rPr>
  </w:style>
  <w:style w:type="character" w:styleId="Riferimentointenso">
    <w:name w:val="Intense Reference"/>
    <w:basedOn w:val="Carpredefinitoparagrafo"/>
    <w:uiPriority w:val="32"/>
    <w:qFormat/>
    <w:rsid w:val="00DA682A"/>
    <w:rPr>
      <w:b/>
      <w:bCs/>
      <w:smallCaps/>
      <w:color w:val="2F5496" w:themeColor="accent1" w:themeShade="BF"/>
      <w:spacing w:val="5"/>
    </w:rPr>
  </w:style>
  <w:style w:type="character" w:styleId="Testosegnaposto">
    <w:name w:val="Placeholder Text"/>
    <w:basedOn w:val="Carpredefinitoparagrafo"/>
    <w:uiPriority w:val="99"/>
    <w:semiHidden/>
    <w:rsid w:val="00DA682A"/>
    <w:rPr>
      <w:color w:val="666666"/>
    </w:rPr>
  </w:style>
  <w:style w:type="paragraph" w:styleId="NormaleWeb">
    <w:name w:val="Normal (Web)"/>
    <w:basedOn w:val="Normale"/>
    <w:uiPriority w:val="99"/>
    <w:unhideWhenUsed/>
    <w:rsid w:val="009C1FEC"/>
    <w:pPr>
      <w:spacing w:before="100" w:beforeAutospacing="1" w:after="100" w:afterAutospacing="1" w:line="240" w:lineRule="auto"/>
    </w:pPr>
    <w:rPr>
      <w:rFonts w:ascii="Times New Roman" w:eastAsiaTheme="minorEastAsia" w:hAnsi="Times New Roman" w:cs="Times New Roman"/>
      <w:kern w:val="0"/>
      <w:sz w:val="24"/>
      <w:szCs w:val="24"/>
      <w:lang w:eastAsia="it-IT"/>
    </w:rPr>
  </w:style>
  <w:style w:type="character" w:styleId="Collegamentoipertestuale">
    <w:name w:val="Hyperlink"/>
    <w:basedOn w:val="Carpredefinitoparagrafo"/>
    <w:uiPriority w:val="99"/>
    <w:semiHidden/>
    <w:unhideWhenUsed/>
    <w:rsid w:val="009C1FEC"/>
    <w:rPr>
      <w:color w:val="0000FF"/>
      <w:u w:val="single"/>
    </w:rPr>
  </w:style>
  <w:style w:type="table" w:customStyle="1" w:styleId="GridTable2">
    <w:name w:val="Grid Table 2"/>
    <w:basedOn w:val="Tabellanormale"/>
    <w:uiPriority w:val="47"/>
    <w:rsid w:val="00F338EB"/>
    <w:pPr>
      <w:spacing w:after="0" w:line="240" w:lineRule="auto"/>
    </w:pPr>
    <w:rPr>
      <w:rFonts w:ascii="Calibri" w:eastAsia="Calibri" w:hAnsi="Calibri" w:cs="Calibri"/>
      <w:kern w:val="0"/>
      <w:lang w:val="en-GB" w:eastAsia="it-IT"/>
    </w:r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1Light">
    <w:name w:val="Grid Table 1 Light"/>
    <w:basedOn w:val="Tabellanormale"/>
    <w:uiPriority w:val="46"/>
    <w:rsid w:val="003467D4"/>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estofumetto">
    <w:name w:val="Balloon Text"/>
    <w:basedOn w:val="Normale"/>
    <w:link w:val="TestofumettoCarattere"/>
    <w:uiPriority w:val="99"/>
    <w:semiHidden/>
    <w:unhideWhenUsed/>
    <w:rsid w:val="00531F71"/>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31F7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16030837">
      <w:bodyDiv w:val="1"/>
      <w:marLeft w:val="0"/>
      <w:marRight w:val="0"/>
      <w:marTop w:val="0"/>
      <w:marBottom w:val="0"/>
      <w:divBdr>
        <w:top w:val="none" w:sz="0" w:space="0" w:color="auto"/>
        <w:left w:val="none" w:sz="0" w:space="0" w:color="auto"/>
        <w:bottom w:val="none" w:sz="0" w:space="0" w:color="auto"/>
        <w:right w:val="none" w:sz="0" w:space="0" w:color="auto"/>
      </w:divBdr>
    </w:div>
    <w:div w:id="608391255">
      <w:bodyDiv w:val="1"/>
      <w:marLeft w:val="0"/>
      <w:marRight w:val="0"/>
      <w:marTop w:val="0"/>
      <w:marBottom w:val="0"/>
      <w:divBdr>
        <w:top w:val="none" w:sz="0" w:space="0" w:color="auto"/>
        <w:left w:val="none" w:sz="0" w:space="0" w:color="auto"/>
        <w:bottom w:val="none" w:sz="0" w:space="0" w:color="auto"/>
        <w:right w:val="none" w:sz="0" w:space="0" w:color="auto"/>
      </w:divBdr>
    </w:div>
    <w:div w:id="1384718989">
      <w:bodyDiv w:val="1"/>
      <w:marLeft w:val="0"/>
      <w:marRight w:val="0"/>
      <w:marTop w:val="0"/>
      <w:marBottom w:val="0"/>
      <w:divBdr>
        <w:top w:val="none" w:sz="0" w:space="0" w:color="auto"/>
        <w:left w:val="none" w:sz="0" w:space="0" w:color="auto"/>
        <w:bottom w:val="none" w:sz="0" w:space="0" w:color="auto"/>
        <w:right w:val="none" w:sz="0" w:space="0" w:color="auto"/>
      </w:divBdr>
    </w:div>
    <w:div w:id="1479414324">
      <w:bodyDiv w:val="1"/>
      <w:marLeft w:val="0"/>
      <w:marRight w:val="0"/>
      <w:marTop w:val="0"/>
      <w:marBottom w:val="0"/>
      <w:divBdr>
        <w:top w:val="none" w:sz="0" w:space="0" w:color="auto"/>
        <w:left w:val="none" w:sz="0" w:space="0" w:color="auto"/>
        <w:bottom w:val="none" w:sz="0" w:space="0" w:color="auto"/>
        <w:right w:val="none" w:sz="0" w:space="0" w:color="auto"/>
      </w:divBdr>
    </w:div>
    <w:div w:id="1498961447">
      <w:bodyDiv w:val="1"/>
      <w:marLeft w:val="0"/>
      <w:marRight w:val="0"/>
      <w:marTop w:val="0"/>
      <w:marBottom w:val="0"/>
      <w:divBdr>
        <w:top w:val="none" w:sz="0" w:space="0" w:color="auto"/>
        <w:left w:val="none" w:sz="0" w:space="0" w:color="auto"/>
        <w:bottom w:val="none" w:sz="0" w:space="0" w:color="auto"/>
        <w:right w:val="none" w:sz="0" w:space="0" w:color="auto"/>
      </w:divBdr>
    </w:div>
    <w:div w:id="1780878413">
      <w:bodyDiv w:val="1"/>
      <w:marLeft w:val="0"/>
      <w:marRight w:val="0"/>
      <w:marTop w:val="0"/>
      <w:marBottom w:val="0"/>
      <w:divBdr>
        <w:top w:val="none" w:sz="0" w:space="0" w:color="auto"/>
        <w:left w:val="none" w:sz="0" w:space="0" w:color="auto"/>
        <w:bottom w:val="none" w:sz="0" w:space="0" w:color="auto"/>
        <w:right w:val="none" w:sz="0" w:space="0" w:color="auto"/>
      </w:divBdr>
    </w:div>
    <w:div w:id="1954553212">
      <w:bodyDiv w:val="1"/>
      <w:marLeft w:val="0"/>
      <w:marRight w:val="0"/>
      <w:marTop w:val="0"/>
      <w:marBottom w:val="0"/>
      <w:divBdr>
        <w:top w:val="none" w:sz="0" w:space="0" w:color="auto"/>
        <w:left w:val="none" w:sz="0" w:space="0" w:color="auto"/>
        <w:bottom w:val="none" w:sz="0" w:space="0" w:color="auto"/>
        <w:right w:val="none" w:sz="0" w:space="0" w:color="auto"/>
      </w:divBdr>
    </w:div>
    <w:div w:id="2039625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27141961"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s://onlinelibrary.wiley.com/doi/abs/10.1002%2Fcpz1.9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cbi.nlm.nih.gov/pubmed/36452152" TargetMode="External"/><Relationship Id="rId11"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hyperlink" Target="https://www.proquest.com/docview/3069280650" TargetMode="External"/><Relationship Id="rId4" Type="http://schemas.openxmlformats.org/officeDocument/2006/relationships/webSettings" Target="webSettings.xml"/><Relationship Id="rId9" Type="http://schemas.openxmlformats.org/officeDocument/2006/relationships/hyperlink" Target="https://www.ncbi.nlm.nih.gov/pubmed/23586463"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283"/>
  <w:characterSpacingControl w:val="doNotCompress"/>
  <w:compat>
    <w:useFELayout/>
  </w:compat>
  <w:rsids>
    <w:rsidRoot w:val="008429A3"/>
    <w:rsid w:val="001201AA"/>
    <w:rsid w:val="00123E83"/>
    <w:rsid w:val="00293DEA"/>
    <w:rsid w:val="002C60DE"/>
    <w:rsid w:val="00366092"/>
    <w:rsid w:val="00384563"/>
    <w:rsid w:val="003D424F"/>
    <w:rsid w:val="005D1F43"/>
    <w:rsid w:val="005D5BA8"/>
    <w:rsid w:val="005F40F9"/>
    <w:rsid w:val="0064592F"/>
    <w:rsid w:val="008429A3"/>
    <w:rsid w:val="008B4089"/>
    <w:rsid w:val="00950448"/>
    <w:rsid w:val="00B07010"/>
    <w:rsid w:val="00B44AE6"/>
    <w:rsid w:val="00B66752"/>
    <w:rsid w:val="00C244F2"/>
    <w:rsid w:val="00C671C1"/>
    <w:rsid w:val="00C93DDC"/>
    <w:rsid w:val="00CC5D6B"/>
    <w:rsid w:val="00FF7EB8"/>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it-IT" w:eastAsia="it-IT"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671C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8429A3"/>
    <w:rPr>
      <w:color w:val="666666"/>
    </w:rPr>
  </w:style>
  <w:style w:type="paragraph" w:customStyle="1" w:styleId="1EA1E8648AC947E6923F0CB758BCCAA3">
    <w:name w:val="1EA1E8648AC947E6923F0CB758BCCAA3"/>
    <w:rsid w:val="008429A3"/>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A4BDAEA-7139-4435-9396-140530895305}">
  <we:reference id="wa200007520" version="3.0.0.0" store="en-US" storeType="OMEX"/>
  <we:alternateReferences>
    <we:reference id="wa200007520" version="3.0.0.0" store="en-US" storeType="OMEX"/>
  </we:alternateReferences>
  <we:properties>
    <we:property name="citations" value="{&quot;541724325&quot;:{&quot;referencesIds&quot;:[&quot;doc:67a0dac164b8ca33f109c500&quot;,&quot;doc:67a0daa9dd937975377bb260&quot;,&quot;doc:67a0da87dd937975377bb25b&quot;],&quot;referencesOptions&quot;:{&quot;doc:67a0dac164b8ca33f109c500&quot;:{&quot;author&quot;:true,&quot;year&quot;:true,&quot;formatAuthorYear&quot;:false,&quot;pageReplace&quot;:&quot;&quot;,&quot;prefix&quot;:&quot;&quot;,&quot;suffix&quot;:&quot;&quot;},&quot;doc:67a0daa9dd937975377bb260&quot;:{&quot;author&quot;:true,&quot;year&quot;:true,&quot;formatAuthorYear&quot;:false,&quot;pageReplace&quot;:&quot;&quot;,&quot;prefix&quot;:&quot;&quot;,&quot;suffix&quot;:&quot;&quot;},&quot;doc:67a0da87dd937975377bb25b&quot;:{&quot;author&quot;:true,&quot;year&quot;:true,&quot;formatAuthorYear&quot;:false,&quot;pageReplace&quot;:&quot;&quot;,&quot;prefix&quot;:&quot;&quot;,&quot;suffix&quot;:&quot;&quot;}},&quot;hasBrokenReferences&quot;:false,&quot;hasManualEdits&quot;:false,&quot;isEmpty&quot;:false,&quot;citationType&quot;:&quot;inline&quot;,&quot;id&quot;:541724325,&quot;citationText&quot;:&quot;&lt;span style=\&quot;font-family:Calibri;font-size:14.666666666666666px;color:#000000\&quot;&gt;&lt;sup&gt;2-4&lt;/sup&gt;&lt;/span&gt;&quot;},&quot;1341351213&quot;:{&quot;referencesIds&quot;:[&quot;doc:67320ba73efd99405a109bfb&quot;],&quot;referencesOptions&quot;:{&quot;doc:67320ba73efd99405a109bfb&quot;:{&quot;author&quot;:true,&quot;year&quot;:true,&quot;formatAuthorYear&quot;:false,&quot;pageReplace&quot;:&quot;&quot;,&quot;prefix&quot;:&quot;&quot;,&quot;suffix&quot;:&quot;&quot;}},&quot;hasBrokenReferences&quot;:false,&quot;hasManualEdits&quot;:false,&quot;isEmpty&quot;:false,&quot;citationType&quot;:&quot;inline&quot;,&quot;id&quot;:1341351213,&quot;citationText&quot;:&quot;&lt;span style=\&quot;font-family:Calibri;font-size:14.666666666666666px;color:#000000\&quot;&gt;&lt;sup&gt;1&lt;/sup&gt;&lt;/span&gt;&quot;},&quot;-1983841381&quot;:{&quot;referencesIds&quot;:[&quot;doc:67a0da39d798b1655820661b&quot;],&quot;referencesOptions&quot;:{&quot;doc:67a0da39d798b1655820661b&quot;:{&quot;author&quot;:true,&quot;year&quot;:true,&quot;formatAuthorYear&quot;:false,&quot;pageReplace&quot;:&quot;&quot;,&quot;prefix&quot;:&quot;&quot;,&quot;suffix&quot;:&quot;&quot;}},&quot;hasBrokenReferences&quot;:false,&quot;hasManualEdits&quot;:false,&quot;isEmpty&quot;:false,&quot;citationType&quot;:&quot;inline&quot;,&quot;id&quot;:-1983841381,&quot;citationText&quot;:&quot;&lt;span style=\&quot;font-family:Calibri;font-size:14.666666666666666px;color:#000000\&quot;&gt;&lt;sup&gt;5&lt;/sup&gt;&lt;/span&gt;&quot;}}"/>
    <we:property name="currentFolder" value="{&quot;depth&quot;:0,&quot;id&quot;:&quot;all&quot;,&quot;name&quot;:&quot;All references&quot;,&quot;parentId&quot;:null,&quot;position&quot;:-2,&quot;isShared&quot;:false}"/>
    <we:property name="currentStyle" value="{&quot;id&quot;:&quot;1004&quot;,&quot;styleType&quot;:&quot;refworks&quot;,&quot;name&quot;:&quot;AMA - American Medical Association, 10th Edition&quot;,&quot;isInstitutional&quot;:false,&quot;citeStyle&quot;:&quot;INTEXT_ONLY&quot;,&quot;isSorted&quot;:false,&quot;usesNumbers&quot;:true,&quot;authorDisambiguation&quot;:&quot;surname_firstname&quot;}"/>
    <we:property name="rcm.version" value="2"/>
    <we:property name="rw.subscriberId" value="&quot;0&quot;"/>
    <we:property name="rw.userId" value="&quot;user:64f603aa813037539a6ad584&quot;"/>
    <we:property name="bibliographyEnabled" value="&quot;bibliographyEnabled&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3</TotalTime>
  <Pages>9</Pages>
  <Words>1819</Words>
  <Characters>10369</Characters>
  <Application>Microsoft Office Word</Application>
  <DocSecurity>0</DocSecurity>
  <Lines>86</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Tania Rossi</dc:creator>
  <cp:lastModifiedBy>tania.rossi</cp:lastModifiedBy>
  <cp:revision>3</cp:revision>
  <dcterms:created xsi:type="dcterms:W3CDTF">2025-04-30T12:14:00Z</dcterms:created>
  <dcterms:modified xsi:type="dcterms:W3CDTF">2025-04-30T12:16:00Z</dcterms:modified>
</cp:coreProperties>
</file>