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B3345" w14:textId="434E4A7F" w:rsidR="005B1EB6" w:rsidRPr="00E93BD2" w:rsidRDefault="00A91E60" w:rsidP="00A91E60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3BD2">
        <w:rPr>
          <w:rFonts w:ascii="Times New Roman" w:hAnsi="Times New Roman" w:cs="Times New Roman"/>
          <w:sz w:val="30"/>
          <w:szCs w:val="30"/>
        </w:rPr>
        <w:t>Supplementary Figures</w:t>
      </w:r>
    </w:p>
    <w:p w14:paraId="0C302088" w14:textId="77777777" w:rsidR="00A91E60" w:rsidRPr="00E93BD2" w:rsidRDefault="00A91E60" w:rsidP="00A91E60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E93BD2">
        <w:rPr>
          <w:rFonts w:ascii="Times New Roman" w:hAnsi="Times New Roman" w:cs="Times New Roman"/>
          <w:b/>
          <w:bCs/>
          <w:sz w:val="24"/>
          <w:szCs w:val="28"/>
        </w:rPr>
        <w:t>Multi-omics analyses of the het</w:t>
      </w:r>
      <w:bookmarkStart w:id="0" w:name="_GoBack"/>
      <w:bookmarkEnd w:id="0"/>
      <w:r w:rsidRPr="00E93BD2">
        <w:rPr>
          <w:rFonts w:ascii="Times New Roman" w:hAnsi="Times New Roman" w:cs="Times New Roman"/>
          <w:b/>
          <w:bCs/>
          <w:sz w:val="24"/>
          <w:szCs w:val="28"/>
        </w:rPr>
        <w:t>erogenous immune microenvironment in triple-negative breast cancer implicate UQCRFS1 potentiates tumor progression</w:t>
      </w:r>
    </w:p>
    <w:p w14:paraId="2D5CAF0A" w14:textId="77777777" w:rsidR="00A91E60" w:rsidRPr="00E93BD2" w:rsidRDefault="00A91E60" w:rsidP="00A91E60">
      <w:pPr>
        <w:pStyle w:val="AuthorList"/>
        <w:spacing w:line="360" w:lineRule="auto"/>
        <w:jc w:val="both"/>
        <w:rPr>
          <w:bCs/>
          <w:sz w:val="21"/>
          <w:szCs w:val="21"/>
        </w:rPr>
      </w:pPr>
      <w:r w:rsidRPr="00E93BD2">
        <w:rPr>
          <w:bCs/>
          <w:sz w:val="21"/>
          <w:szCs w:val="21"/>
        </w:rPr>
        <w:t>Yuhui Tang</w:t>
      </w:r>
      <w:r w:rsidRPr="00E93BD2">
        <w:rPr>
          <w:bCs/>
          <w:sz w:val="21"/>
          <w:szCs w:val="21"/>
          <w:vertAlign w:val="superscript"/>
        </w:rPr>
        <w:t>1,†</w:t>
      </w:r>
      <w:r w:rsidRPr="00E93BD2">
        <w:rPr>
          <w:bCs/>
          <w:sz w:val="21"/>
          <w:szCs w:val="21"/>
        </w:rPr>
        <w:t>, Aiqi Xu</w:t>
      </w:r>
      <w:r w:rsidRPr="00E93BD2">
        <w:rPr>
          <w:bCs/>
          <w:sz w:val="21"/>
          <w:szCs w:val="21"/>
          <w:vertAlign w:val="superscript"/>
        </w:rPr>
        <w:t>2,†</w:t>
      </w:r>
      <w:r w:rsidRPr="00E93BD2">
        <w:rPr>
          <w:bCs/>
          <w:sz w:val="21"/>
          <w:szCs w:val="21"/>
        </w:rPr>
        <w:t>, Zhongbiao Xu</w:t>
      </w:r>
      <w:r w:rsidRPr="00E93BD2">
        <w:rPr>
          <w:bCs/>
          <w:sz w:val="21"/>
          <w:szCs w:val="21"/>
          <w:vertAlign w:val="superscript"/>
        </w:rPr>
        <w:t>3,†</w:t>
      </w:r>
      <w:r w:rsidRPr="00E93BD2">
        <w:rPr>
          <w:bCs/>
          <w:sz w:val="21"/>
          <w:szCs w:val="21"/>
        </w:rPr>
        <w:t>, Jindong Xie</w:t>
      </w:r>
      <w:r w:rsidRPr="00E93BD2">
        <w:rPr>
          <w:bCs/>
          <w:sz w:val="21"/>
          <w:szCs w:val="21"/>
          <w:vertAlign w:val="superscript"/>
        </w:rPr>
        <w:t>1,†</w:t>
      </w:r>
      <w:r w:rsidRPr="00E93BD2">
        <w:rPr>
          <w:bCs/>
          <w:sz w:val="21"/>
          <w:szCs w:val="21"/>
        </w:rPr>
        <w:t>, Wei Huang</w:t>
      </w:r>
      <w:r w:rsidRPr="00E93BD2">
        <w:rPr>
          <w:bCs/>
          <w:sz w:val="21"/>
          <w:szCs w:val="21"/>
          <w:vertAlign w:val="superscript"/>
        </w:rPr>
        <w:t>3</w:t>
      </w:r>
      <w:r w:rsidRPr="00E93BD2">
        <w:rPr>
          <w:bCs/>
          <w:sz w:val="21"/>
          <w:szCs w:val="21"/>
        </w:rPr>
        <w:t>, Liulu Zhang</w:t>
      </w:r>
      <w:r w:rsidRPr="00E93BD2">
        <w:rPr>
          <w:bCs/>
          <w:sz w:val="21"/>
          <w:szCs w:val="21"/>
          <w:vertAlign w:val="superscript"/>
        </w:rPr>
        <w:t>2</w:t>
      </w:r>
      <w:r w:rsidRPr="00E93BD2">
        <w:rPr>
          <w:bCs/>
          <w:sz w:val="21"/>
          <w:szCs w:val="21"/>
        </w:rPr>
        <w:t xml:space="preserve">, </w:t>
      </w:r>
      <w:bookmarkStart w:id="1" w:name="_Hlk150118549"/>
      <w:r w:rsidRPr="00E93BD2">
        <w:rPr>
          <w:bCs/>
          <w:sz w:val="21"/>
          <w:szCs w:val="21"/>
        </w:rPr>
        <w:t>Y</w:t>
      </w:r>
      <w:r w:rsidRPr="00E93BD2">
        <w:rPr>
          <w:rFonts w:hint="eastAsia"/>
          <w:bCs/>
          <w:sz w:val="21"/>
          <w:szCs w:val="21"/>
          <w:lang w:eastAsia="zh-CN"/>
        </w:rPr>
        <w:t>itian</w:t>
      </w:r>
      <w:r w:rsidRPr="00E93BD2">
        <w:rPr>
          <w:bCs/>
          <w:sz w:val="21"/>
          <w:szCs w:val="21"/>
        </w:rPr>
        <w:t xml:space="preserve"> Chen</w:t>
      </w:r>
      <w:r w:rsidRPr="00E93BD2">
        <w:rPr>
          <w:bCs/>
          <w:sz w:val="21"/>
          <w:szCs w:val="21"/>
          <w:vertAlign w:val="superscript"/>
        </w:rPr>
        <w:t>2</w:t>
      </w:r>
      <w:r w:rsidRPr="00E93BD2">
        <w:rPr>
          <w:bCs/>
          <w:sz w:val="21"/>
          <w:szCs w:val="21"/>
        </w:rPr>
        <w:t xml:space="preserve">, </w:t>
      </w:r>
      <w:bookmarkStart w:id="2" w:name="_Hlk96368573"/>
      <w:bookmarkStart w:id="3" w:name="_Hlk150118111"/>
      <w:bookmarkEnd w:id="1"/>
      <w:r w:rsidRPr="00E93BD2">
        <w:rPr>
          <w:bCs/>
          <w:sz w:val="21"/>
          <w:szCs w:val="21"/>
        </w:rPr>
        <w:t>Lu Yang</w:t>
      </w:r>
      <w:r w:rsidRPr="00E93BD2">
        <w:rPr>
          <w:bCs/>
          <w:sz w:val="21"/>
          <w:szCs w:val="21"/>
          <w:vertAlign w:val="superscript"/>
        </w:rPr>
        <w:t>3,*</w:t>
      </w:r>
      <w:r w:rsidRPr="00E93BD2">
        <w:rPr>
          <w:bCs/>
          <w:sz w:val="21"/>
          <w:szCs w:val="21"/>
        </w:rPr>
        <w:t>, Shasha Du</w:t>
      </w:r>
      <w:r w:rsidRPr="00E93BD2">
        <w:rPr>
          <w:bCs/>
          <w:sz w:val="21"/>
          <w:szCs w:val="21"/>
          <w:vertAlign w:val="superscript"/>
        </w:rPr>
        <w:t>3,*</w:t>
      </w:r>
      <w:r w:rsidRPr="00E93BD2">
        <w:rPr>
          <w:bCs/>
          <w:sz w:val="21"/>
          <w:szCs w:val="21"/>
        </w:rPr>
        <w:t>, Kun Wang</w:t>
      </w:r>
      <w:r w:rsidRPr="00E93BD2">
        <w:rPr>
          <w:bCs/>
          <w:sz w:val="21"/>
          <w:szCs w:val="21"/>
          <w:vertAlign w:val="superscript"/>
        </w:rPr>
        <w:t>2,</w:t>
      </w:r>
      <w:bookmarkEnd w:id="2"/>
      <w:r w:rsidRPr="00E93BD2">
        <w:rPr>
          <w:bCs/>
          <w:sz w:val="21"/>
          <w:szCs w:val="21"/>
          <w:vertAlign w:val="superscript"/>
        </w:rPr>
        <w:t>*</w:t>
      </w:r>
      <w:bookmarkEnd w:id="3"/>
    </w:p>
    <w:p w14:paraId="57B3DDDC" w14:textId="77777777" w:rsidR="00A91E60" w:rsidRPr="00E93BD2" w:rsidRDefault="00A91E60" w:rsidP="00A91E60">
      <w:pPr>
        <w:spacing w:before="240" w:line="360" w:lineRule="auto"/>
        <w:rPr>
          <w:rFonts w:ascii="Times New Roman" w:hAnsi="Times New Roman" w:cs="Times New Roman"/>
          <w:szCs w:val="21"/>
        </w:rPr>
      </w:pPr>
      <w:r w:rsidRPr="00E93BD2">
        <w:rPr>
          <w:rFonts w:ascii="Times New Roman" w:hAnsi="Times New Roman" w:cs="Times New Roman"/>
          <w:szCs w:val="21"/>
          <w:vertAlign w:val="superscript"/>
        </w:rPr>
        <w:t xml:space="preserve">1 </w:t>
      </w:r>
      <w:bookmarkStart w:id="4" w:name="_Hlk150119160"/>
      <w:r w:rsidRPr="00E93BD2">
        <w:rPr>
          <w:rFonts w:ascii="Times New Roman" w:hAnsi="Times New Roman" w:cs="Times New Roman"/>
          <w:szCs w:val="21"/>
        </w:rPr>
        <w:t xml:space="preserve">State Key Laboratory of Oncology in South China, </w:t>
      </w:r>
      <w:bookmarkStart w:id="5" w:name="_Hlk139707634"/>
      <w:r w:rsidRPr="00E93BD2">
        <w:rPr>
          <w:rFonts w:ascii="Times New Roman" w:hAnsi="Times New Roman" w:cs="Times New Roman"/>
          <w:szCs w:val="21"/>
        </w:rPr>
        <w:t>Guangdong Provincial Clinical Research Center for Cancer</w:t>
      </w:r>
      <w:r w:rsidRPr="00E93BD2">
        <w:rPr>
          <w:rFonts w:ascii="Times New Roman" w:hAnsi="Times New Roman" w:cs="Times New Roman" w:hint="eastAsia"/>
          <w:szCs w:val="21"/>
        </w:rPr>
        <w:t>,</w:t>
      </w:r>
      <w:r w:rsidRPr="00E93BD2">
        <w:rPr>
          <w:rFonts w:ascii="Times New Roman" w:hAnsi="Times New Roman" w:cs="Times New Roman"/>
          <w:szCs w:val="21"/>
        </w:rPr>
        <w:t xml:space="preserve"> Sun Yat-sen University Cancer Center</w:t>
      </w:r>
      <w:bookmarkEnd w:id="5"/>
      <w:r w:rsidRPr="00E93BD2">
        <w:rPr>
          <w:rFonts w:ascii="Times New Roman" w:hAnsi="Times New Roman" w:cs="Times New Roman"/>
          <w:szCs w:val="21"/>
        </w:rPr>
        <w:t>, Guangzhou 510060, P. R. China.</w:t>
      </w:r>
      <w:bookmarkEnd w:id="4"/>
    </w:p>
    <w:p w14:paraId="2A5328D9" w14:textId="77777777" w:rsidR="00A91E60" w:rsidRPr="00E93BD2" w:rsidRDefault="00A91E60" w:rsidP="00A91E60">
      <w:pPr>
        <w:spacing w:before="240" w:line="360" w:lineRule="auto"/>
        <w:rPr>
          <w:rFonts w:ascii="Times New Roman" w:hAnsi="Times New Roman" w:cs="Times New Roman"/>
          <w:szCs w:val="21"/>
        </w:rPr>
      </w:pPr>
      <w:r w:rsidRPr="00E93BD2">
        <w:rPr>
          <w:rFonts w:ascii="Times New Roman" w:hAnsi="Times New Roman" w:cs="Times New Roman"/>
          <w:szCs w:val="21"/>
          <w:vertAlign w:val="superscript"/>
        </w:rPr>
        <w:t xml:space="preserve">2 </w:t>
      </w:r>
      <w:r w:rsidRPr="00E93BD2">
        <w:rPr>
          <w:rFonts w:ascii="Times New Roman" w:hAnsi="Times New Roman" w:cs="Times New Roman"/>
          <w:szCs w:val="21"/>
        </w:rPr>
        <w:t>Department of Breast Cancer, Cancer Center, Guangdong Provincial People's Hospital (Guangdong Academy of Medical Sciences), Southern Medical University, Guangzhou 510080, P. R. China.</w:t>
      </w:r>
    </w:p>
    <w:p w14:paraId="5352E433" w14:textId="638AD310" w:rsidR="00A91E60" w:rsidRPr="00E93BD2" w:rsidRDefault="00A91E60" w:rsidP="00A91E60">
      <w:pPr>
        <w:spacing w:before="240" w:line="360" w:lineRule="auto"/>
        <w:rPr>
          <w:rFonts w:ascii="Times New Roman" w:hAnsi="Times New Roman" w:cs="Times New Roman"/>
          <w:szCs w:val="21"/>
        </w:rPr>
      </w:pPr>
      <w:r w:rsidRPr="00E93BD2">
        <w:rPr>
          <w:rFonts w:ascii="Times New Roman" w:hAnsi="Times New Roman" w:cs="Times New Roman"/>
          <w:szCs w:val="21"/>
          <w:vertAlign w:val="superscript"/>
        </w:rPr>
        <w:t xml:space="preserve">3 </w:t>
      </w:r>
      <w:r w:rsidRPr="00E93BD2">
        <w:rPr>
          <w:rFonts w:ascii="Times New Roman" w:hAnsi="Times New Roman" w:cs="Times New Roman"/>
          <w:szCs w:val="21"/>
        </w:rPr>
        <w:t>Department of Radiotherapy, Cancer Center, Guangdong Provincial People's Hospital (Guangdong Academy of Medical Sciences), Southern Medical University, Guangzhou, 510080, P. R. China.</w:t>
      </w:r>
    </w:p>
    <w:p w14:paraId="5FD00B11" w14:textId="77777777" w:rsidR="00A91E60" w:rsidRPr="00E93BD2" w:rsidRDefault="00A91E60" w:rsidP="00A91E60">
      <w:pPr>
        <w:spacing w:before="240" w:line="360" w:lineRule="auto"/>
        <w:rPr>
          <w:rFonts w:ascii="Times New Roman" w:hAnsi="Times New Roman" w:cs="Times New Roman"/>
          <w:szCs w:val="21"/>
        </w:rPr>
      </w:pPr>
    </w:p>
    <w:p w14:paraId="2D8CC361" w14:textId="3B7480C8" w:rsidR="00A91E60" w:rsidRPr="00E93BD2" w:rsidRDefault="00A91E60">
      <w:pPr>
        <w:widowControl/>
        <w:jc w:val="left"/>
        <w:rPr>
          <w:rFonts w:ascii="Times New Roman" w:hAnsi="Times New Roman" w:cs="Times New Roman"/>
          <w:sz w:val="30"/>
          <w:szCs w:val="30"/>
        </w:rPr>
      </w:pPr>
      <w:r w:rsidRPr="00E93BD2">
        <w:rPr>
          <w:rFonts w:ascii="Times New Roman" w:hAnsi="Times New Roman" w:cs="Times New Roman"/>
          <w:sz w:val="30"/>
          <w:szCs w:val="30"/>
        </w:rPr>
        <w:br w:type="page"/>
      </w:r>
    </w:p>
    <w:p w14:paraId="7F7D53B1" w14:textId="49F05C2E" w:rsidR="00A91E60" w:rsidRPr="00E93BD2" w:rsidRDefault="00CF3EF3" w:rsidP="00A91E6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3BD2">
        <w:rPr>
          <w:rFonts w:ascii="Times New Roman" w:hAnsi="Times New Roman" w:cs="Times New Roman"/>
          <w:sz w:val="24"/>
          <w:szCs w:val="24"/>
        </w:rPr>
        <w:t>Figure legends</w:t>
      </w:r>
    </w:p>
    <w:p w14:paraId="250D2CE0" w14:textId="261FFA91" w:rsidR="00CF3EF3" w:rsidRPr="00E93BD2" w:rsidRDefault="00CF3EF3" w:rsidP="00A91E60">
      <w:pPr>
        <w:spacing w:line="360" w:lineRule="auto"/>
        <w:jc w:val="left"/>
        <w:rPr>
          <w:rFonts w:ascii="Times New Roman" w:hAnsi="Times New Roman" w:cs="Times New Roman"/>
          <w:sz w:val="30"/>
          <w:szCs w:val="30"/>
        </w:rPr>
      </w:pPr>
      <w:r w:rsidRPr="00E93BD2">
        <w:rPr>
          <w:noProof/>
          <w:lang w:val="en-IN" w:eastAsia="en-IN"/>
        </w:rPr>
        <w:drawing>
          <wp:inline distT="0" distB="0" distL="0" distR="0" wp14:anchorId="6D21EEA3" wp14:editId="560F9855">
            <wp:extent cx="5274310" cy="39757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51966" w14:textId="2D69F05E" w:rsidR="008D0599" w:rsidRPr="00E93BD2" w:rsidRDefault="008D0599" w:rsidP="008D0599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E93BD2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E93BD2">
        <w:rPr>
          <w:rFonts w:ascii="Times New Roman" w:hAnsi="Times New Roman" w:cs="Times New Roman"/>
          <w:sz w:val="24"/>
          <w:szCs w:val="24"/>
        </w:rPr>
        <w:t>: Survival analyses of the specific TFs marking every single macrophage subcluster in GSE58812 dataset.</w:t>
      </w:r>
    </w:p>
    <w:p w14:paraId="543717D2" w14:textId="77777777" w:rsidR="008D0599" w:rsidRPr="00E93BD2" w:rsidRDefault="008D0599" w:rsidP="008D0599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1F728AC9" w14:textId="01301A34" w:rsidR="008D0599" w:rsidRPr="00E93BD2" w:rsidRDefault="008D0599" w:rsidP="008D059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93BD2">
        <w:rPr>
          <w:rFonts w:ascii="Times New Roman" w:hAnsi="Times New Roman" w:cs="Times New Roman"/>
          <w:sz w:val="24"/>
          <w:szCs w:val="24"/>
        </w:rPr>
        <w:br w:type="page"/>
      </w:r>
    </w:p>
    <w:p w14:paraId="5B795694" w14:textId="2DBECD23" w:rsidR="00AA7F7F" w:rsidRPr="00E93BD2" w:rsidRDefault="00AA7F7F" w:rsidP="008D059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93BD2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2B139D9E" wp14:editId="05C873D3">
            <wp:simplePos x="0" y="0"/>
            <wp:positionH relativeFrom="column">
              <wp:posOffset>-1000125</wp:posOffset>
            </wp:positionH>
            <wp:positionV relativeFrom="paragraph">
              <wp:posOffset>81650</wp:posOffset>
            </wp:positionV>
            <wp:extent cx="7301230" cy="45720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23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1CDC0" w14:textId="164C3CAD" w:rsidR="00AA7F7F" w:rsidRPr="00E93BD2" w:rsidRDefault="00AA7F7F" w:rsidP="00AA7F7F">
      <w:pPr>
        <w:spacing w:line="300" w:lineRule="auto"/>
        <w:rPr>
          <w:rFonts w:ascii="Times New Roman" w:hAnsi="Times New Roman" w:cs="Times New Roman"/>
          <w:szCs w:val="21"/>
        </w:rPr>
      </w:pPr>
      <w:r w:rsidRPr="00E93BD2">
        <w:rPr>
          <w:rFonts w:ascii="Times New Roman" w:hAnsi="Times New Roman" w:cs="Times New Roman"/>
          <w:b/>
          <w:bCs/>
          <w:szCs w:val="21"/>
        </w:rPr>
        <w:t>Fig. S2</w:t>
      </w:r>
      <w:r w:rsidRPr="00E93BD2">
        <w:rPr>
          <w:rFonts w:ascii="Times New Roman" w:hAnsi="Times New Roman" w:cs="Times New Roman"/>
          <w:szCs w:val="21"/>
        </w:rPr>
        <w:t xml:space="preserve">: The restoration of UQCRFS1 expression recovers the tumor progression in the UQCRFS1-silcend TNBC cells. </w:t>
      </w:r>
      <w:r w:rsidRPr="00E93BD2">
        <w:rPr>
          <w:rFonts w:ascii="Times New Roman" w:hAnsi="Times New Roman" w:cs="Times New Roman"/>
          <w:b/>
          <w:bCs/>
          <w:szCs w:val="21"/>
        </w:rPr>
        <w:t>A</w:t>
      </w:r>
      <w:r w:rsidRPr="00E93BD2">
        <w:rPr>
          <w:rFonts w:ascii="Times New Roman" w:hAnsi="Times New Roman" w:cs="Times New Roman"/>
          <w:szCs w:val="21"/>
        </w:rPr>
        <w:t xml:space="preserve"> Western blotting analysis validating the protein level of UQCRFS1 in co-transfected MDA-MB-231 cells. </w:t>
      </w:r>
      <w:r w:rsidRPr="00E93BD2">
        <w:rPr>
          <w:rFonts w:ascii="Times New Roman" w:hAnsi="Times New Roman" w:cs="Times New Roman"/>
          <w:b/>
          <w:bCs/>
          <w:szCs w:val="21"/>
        </w:rPr>
        <w:t>B</w:t>
      </w:r>
      <w:r w:rsidRPr="00E93BD2">
        <w:rPr>
          <w:rFonts w:ascii="Times New Roman" w:hAnsi="Times New Roman" w:cs="Times New Roman"/>
          <w:szCs w:val="21"/>
        </w:rPr>
        <w:t xml:space="preserve"> The result of CCK-8 assays in co-transfected MDA-MB-231 cells. </w:t>
      </w:r>
      <w:r w:rsidRPr="00E93BD2">
        <w:rPr>
          <w:rFonts w:ascii="Times New Roman" w:hAnsi="Times New Roman" w:cs="Times New Roman"/>
          <w:b/>
          <w:bCs/>
          <w:szCs w:val="21"/>
        </w:rPr>
        <w:t>C</w:t>
      </w:r>
      <w:r w:rsidRPr="00E93BD2">
        <w:rPr>
          <w:rFonts w:ascii="Times New Roman" w:hAnsi="Times New Roman" w:cs="Times New Roman"/>
          <w:szCs w:val="21"/>
        </w:rPr>
        <w:t xml:space="preserve"> The representative images (left) and statistical data (right) of transwell assays performed in co-transfected MDA-MB-231 cells. </w:t>
      </w:r>
      <w:r w:rsidRPr="00E93BD2">
        <w:rPr>
          <w:rFonts w:ascii="Times New Roman" w:hAnsi="Times New Roman" w:cs="Times New Roman"/>
          <w:b/>
          <w:bCs/>
          <w:szCs w:val="21"/>
        </w:rPr>
        <w:t>D</w:t>
      </w:r>
      <w:r w:rsidRPr="00E93BD2">
        <w:rPr>
          <w:rFonts w:ascii="Times New Roman" w:hAnsi="Times New Roman" w:cs="Times New Roman"/>
          <w:szCs w:val="21"/>
        </w:rPr>
        <w:t xml:space="preserve"> The representative images of xenograft tumor morphology using co-transfected MDA-MB-231 cells. </w:t>
      </w:r>
      <w:r w:rsidRPr="00E93BD2">
        <w:rPr>
          <w:rFonts w:ascii="Times New Roman" w:hAnsi="Times New Roman" w:cs="Times New Roman"/>
          <w:b/>
          <w:bCs/>
          <w:szCs w:val="21"/>
        </w:rPr>
        <w:t>E</w:t>
      </w:r>
      <w:r w:rsidRPr="00E93BD2">
        <w:rPr>
          <w:rFonts w:ascii="Times New Roman" w:hAnsi="Times New Roman" w:cs="Times New Roman"/>
          <w:szCs w:val="21"/>
        </w:rPr>
        <w:t xml:space="preserve"> The quantitative data of tumor weights of xenograft tumors. Error bars represent mean ± SD. * means </w:t>
      </w:r>
      <w:r w:rsidRPr="00E93BD2">
        <w:rPr>
          <w:rFonts w:ascii="Times New Roman" w:hAnsi="Times New Roman" w:cs="Times New Roman"/>
          <w:i/>
          <w:iCs/>
          <w:szCs w:val="21"/>
        </w:rPr>
        <w:t>p</w:t>
      </w:r>
      <w:r w:rsidRPr="00E93BD2">
        <w:rPr>
          <w:rFonts w:ascii="Times New Roman" w:hAnsi="Times New Roman" w:cs="Times New Roman"/>
          <w:szCs w:val="21"/>
        </w:rPr>
        <w:t xml:space="preserve"> &lt; 0.05, ** means </w:t>
      </w:r>
      <w:r w:rsidRPr="00E93BD2">
        <w:rPr>
          <w:rFonts w:ascii="Times New Roman" w:hAnsi="Times New Roman" w:cs="Times New Roman"/>
          <w:i/>
          <w:iCs/>
          <w:szCs w:val="21"/>
        </w:rPr>
        <w:t>p</w:t>
      </w:r>
      <w:r w:rsidRPr="00E93BD2">
        <w:rPr>
          <w:rFonts w:ascii="Times New Roman" w:hAnsi="Times New Roman" w:cs="Times New Roman"/>
          <w:szCs w:val="21"/>
        </w:rPr>
        <w:t xml:space="preserve"> &lt; 0.01, and **** means </w:t>
      </w:r>
      <w:r w:rsidRPr="00E93BD2">
        <w:rPr>
          <w:rFonts w:ascii="Times New Roman" w:hAnsi="Times New Roman" w:cs="Times New Roman"/>
          <w:i/>
          <w:iCs/>
          <w:szCs w:val="21"/>
        </w:rPr>
        <w:t>p</w:t>
      </w:r>
      <w:r w:rsidRPr="00E93BD2">
        <w:rPr>
          <w:rFonts w:ascii="Times New Roman" w:hAnsi="Times New Roman" w:cs="Times New Roman"/>
          <w:szCs w:val="21"/>
        </w:rPr>
        <w:t xml:space="preserve"> &lt; 0.0001.</w:t>
      </w:r>
    </w:p>
    <w:p w14:paraId="05C06775" w14:textId="77777777" w:rsidR="00AA7F7F" w:rsidRPr="00E93BD2" w:rsidRDefault="00AA7F7F">
      <w:pPr>
        <w:widowControl/>
        <w:jc w:val="left"/>
        <w:rPr>
          <w:rFonts w:ascii="Times New Roman" w:hAnsi="Times New Roman" w:cs="Times New Roman"/>
          <w:szCs w:val="21"/>
        </w:rPr>
      </w:pPr>
      <w:r w:rsidRPr="00E93BD2">
        <w:rPr>
          <w:rFonts w:ascii="Times New Roman" w:hAnsi="Times New Roman" w:cs="Times New Roman"/>
          <w:szCs w:val="21"/>
        </w:rPr>
        <w:br w:type="page"/>
      </w:r>
    </w:p>
    <w:p w14:paraId="2365DFED" w14:textId="23BAC9E0" w:rsidR="00AA7F7F" w:rsidRPr="00E93BD2" w:rsidRDefault="00AA7F7F" w:rsidP="00AA7F7F">
      <w:pPr>
        <w:spacing w:line="300" w:lineRule="auto"/>
        <w:rPr>
          <w:rFonts w:ascii="Times New Roman" w:hAnsi="Times New Roman" w:cs="Times New Roman"/>
          <w:b/>
          <w:bCs/>
          <w:szCs w:val="21"/>
        </w:rPr>
      </w:pPr>
      <w:r w:rsidRPr="00E93BD2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ADEBBE3" wp14:editId="64B223D0">
            <wp:simplePos x="0" y="0"/>
            <wp:positionH relativeFrom="column">
              <wp:posOffset>-897530</wp:posOffset>
            </wp:positionH>
            <wp:positionV relativeFrom="page">
              <wp:posOffset>1002665</wp:posOffset>
            </wp:positionV>
            <wp:extent cx="7007860" cy="6626860"/>
            <wp:effectExtent l="0" t="0" r="2540" b="254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860" cy="662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31BAF" w14:textId="1279A3F3" w:rsidR="00C56C59" w:rsidRPr="00E93BD2" w:rsidRDefault="00C56C59" w:rsidP="00C56C59">
      <w:pPr>
        <w:spacing w:line="300" w:lineRule="auto"/>
        <w:rPr>
          <w:rFonts w:ascii="Times New Roman" w:hAnsi="Times New Roman" w:cs="Times New Roman"/>
          <w:szCs w:val="21"/>
          <w:shd w:val="clear" w:color="auto" w:fill="FFFFFF"/>
        </w:rPr>
      </w:pPr>
      <w:r w:rsidRPr="00E93BD2">
        <w:rPr>
          <w:rFonts w:ascii="Times New Roman" w:hAnsi="Times New Roman" w:cs="Times New Roman"/>
          <w:b/>
          <w:bCs/>
          <w:szCs w:val="21"/>
          <w:shd w:val="clear" w:color="auto" w:fill="FFFFFF"/>
        </w:rPr>
        <w:t>Fig. S3</w:t>
      </w:r>
      <w:r w:rsidRPr="00E93BD2">
        <w:rPr>
          <w:rFonts w:ascii="Times New Roman" w:hAnsi="Times New Roman" w:cs="Times New Roman"/>
          <w:szCs w:val="21"/>
          <w:shd w:val="clear" w:color="auto" w:fill="FFFFFF"/>
        </w:rPr>
        <w:t xml:space="preserve">: High-expression of </w:t>
      </w:r>
      <w:r w:rsidRPr="00E93BD2">
        <w:rPr>
          <w:rFonts w:ascii="Times New Roman" w:hAnsi="Times New Roman" w:cs="Times New Roman"/>
          <w:szCs w:val="21"/>
        </w:rPr>
        <w:t xml:space="preserve">UQCRFS1 </w:t>
      </w:r>
      <w:bookmarkStart w:id="6" w:name="_Hlk195279893"/>
      <w:r w:rsidRPr="00E93BD2">
        <w:rPr>
          <w:rFonts w:ascii="Times New Roman" w:hAnsi="Times New Roman" w:cs="Times New Roman"/>
          <w:szCs w:val="21"/>
        </w:rPr>
        <w:t>is correlated with immunosuppressive TME and non-</w:t>
      </w:r>
      <w:r w:rsidRPr="00E93BD2">
        <w:t xml:space="preserve"> </w:t>
      </w:r>
      <w:r w:rsidRPr="00E93BD2">
        <w:rPr>
          <w:rFonts w:ascii="Times New Roman" w:hAnsi="Times New Roman" w:cs="Times New Roman"/>
          <w:szCs w:val="21"/>
        </w:rPr>
        <w:t>responsiveness to immune checkpoint blockers in TNBC.</w:t>
      </w:r>
      <w:bookmarkEnd w:id="6"/>
      <w:r w:rsidRPr="00E93BD2">
        <w:rPr>
          <w:rFonts w:ascii="Times New Roman" w:hAnsi="Times New Roman" w:cs="Times New Roman"/>
          <w:szCs w:val="21"/>
        </w:rPr>
        <w:t xml:space="preserve"> </w:t>
      </w:r>
      <w:r w:rsidRPr="00E93BD2">
        <w:rPr>
          <w:rFonts w:ascii="Times New Roman" w:hAnsi="Times New Roman" w:cs="Times New Roman"/>
          <w:b/>
          <w:bCs/>
          <w:szCs w:val="21"/>
        </w:rPr>
        <w:t>A</w:t>
      </w:r>
      <w:r w:rsidRPr="00E93BD2">
        <w:rPr>
          <w:rFonts w:ascii="Times New Roman" w:hAnsi="Times New Roman" w:cs="Times New Roman"/>
          <w:szCs w:val="21"/>
        </w:rPr>
        <w:t xml:space="preserve"> The result of ESTIMATE algorithm performed in TNBC patients of METABRIC dataset with the high- and low-expression of UQCRFS1. </w:t>
      </w:r>
      <w:r w:rsidRPr="00E93BD2">
        <w:rPr>
          <w:rFonts w:ascii="Times New Roman" w:hAnsi="Times New Roman" w:cs="Times New Roman"/>
          <w:b/>
          <w:bCs/>
          <w:szCs w:val="21"/>
        </w:rPr>
        <w:t>B</w:t>
      </w:r>
      <w:r w:rsidRPr="00E93BD2">
        <w:rPr>
          <w:rFonts w:ascii="Times New Roman" w:hAnsi="Times New Roman" w:cs="Times New Roman"/>
          <w:szCs w:val="21"/>
        </w:rPr>
        <w:t xml:space="preserve"> The result of ESTIMATE algorithm utilized in TNBC patients of METABRIC dataset with the high- and low-expression of UQCRFS1. </w:t>
      </w:r>
      <w:r w:rsidRPr="00E93BD2">
        <w:rPr>
          <w:rFonts w:ascii="Times New Roman" w:hAnsi="Times New Roman" w:cs="Times New Roman"/>
          <w:b/>
          <w:bCs/>
          <w:szCs w:val="21"/>
        </w:rPr>
        <w:t>C</w:t>
      </w:r>
      <w:r w:rsidRPr="00E93BD2">
        <w:rPr>
          <w:rFonts w:ascii="Times New Roman" w:hAnsi="Times New Roman" w:cs="Times New Roman"/>
          <w:szCs w:val="21"/>
        </w:rPr>
        <w:t xml:space="preserve"> The result of comparing the expression levels of UQCRFS1 in nCR and pCR groups of GSE173839. ns means not significant, and * means </w:t>
      </w:r>
      <w:r w:rsidRPr="00E93BD2">
        <w:rPr>
          <w:rFonts w:ascii="Times New Roman" w:hAnsi="Times New Roman" w:cs="Times New Roman"/>
          <w:i/>
          <w:iCs/>
          <w:szCs w:val="21"/>
        </w:rPr>
        <w:t>p</w:t>
      </w:r>
      <w:r w:rsidRPr="00E93BD2">
        <w:rPr>
          <w:rFonts w:ascii="Times New Roman" w:hAnsi="Times New Roman" w:cs="Times New Roman"/>
          <w:szCs w:val="21"/>
        </w:rPr>
        <w:t xml:space="preserve"> &lt; 0.05.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318"/>
        <w:gridCol w:w="1117"/>
        <w:gridCol w:w="942"/>
        <w:gridCol w:w="867"/>
        <w:gridCol w:w="873"/>
        <w:gridCol w:w="1999"/>
        <w:gridCol w:w="1243"/>
      </w:tblGrid>
      <w:tr w:rsidR="00E93BD2" w:rsidRPr="00E93BD2" w14:paraId="6402F2B2" w14:textId="77777777" w:rsidTr="006116D5">
        <w:trPr>
          <w:trHeight w:val="400"/>
        </w:trPr>
        <w:tc>
          <w:tcPr>
            <w:tcW w:w="8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0225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Supplementary Table S1. Clinical information of biopsy tissues for scRNA-seq</w:t>
            </w:r>
          </w:p>
        </w:tc>
      </w:tr>
      <w:tr w:rsidR="00E93BD2" w:rsidRPr="00E93BD2" w14:paraId="1C25A5AD" w14:textId="77777777" w:rsidTr="006116D5">
        <w:trPr>
          <w:trHeight w:val="900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5776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Patient index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24AA4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Molecular subtype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62D1A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Grade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D08C6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cT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674F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cN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1E3E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Neoadjuvant therapy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0C2F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Response to neoadjuvant therapy</w:t>
            </w:r>
          </w:p>
        </w:tc>
      </w:tr>
      <w:tr w:rsidR="00E93BD2" w:rsidRPr="00E93BD2" w14:paraId="6B8D836B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1AD3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E3EB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CD8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1356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A218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4C7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5918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pCR</w:t>
            </w:r>
          </w:p>
        </w:tc>
      </w:tr>
      <w:tr w:rsidR="00E93BD2" w:rsidRPr="00E93BD2" w14:paraId="0DCE1C4B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79EE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CCB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88469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C9AC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A3D54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F771D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964D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Not applicable</w:t>
            </w:r>
          </w:p>
        </w:tc>
      </w:tr>
      <w:tr w:rsidR="00E93BD2" w:rsidRPr="00E93BD2" w14:paraId="754E6E18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025B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3A75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8520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EEB8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F250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BC50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38F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pCR</w:t>
            </w:r>
          </w:p>
        </w:tc>
      </w:tr>
      <w:tr w:rsidR="00E93BD2" w:rsidRPr="00E93BD2" w14:paraId="13377C25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784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AC89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0F51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632DE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A302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57F1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A518E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pCR</w:t>
            </w:r>
          </w:p>
        </w:tc>
      </w:tr>
      <w:tr w:rsidR="00E93BD2" w:rsidRPr="00E93BD2" w14:paraId="65D3583F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25CD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EC2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2BA4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2AA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16D1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3B1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8182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nCR</w:t>
            </w:r>
          </w:p>
        </w:tc>
      </w:tr>
      <w:tr w:rsidR="00E93BD2" w:rsidRPr="00E93BD2" w14:paraId="64236198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D5F0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43A5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F9D9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D45E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EA00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E1DD6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66C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nCR</w:t>
            </w:r>
          </w:p>
        </w:tc>
      </w:tr>
      <w:tr w:rsidR="00E93BD2" w:rsidRPr="00E93BD2" w14:paraId="3BCAC1F4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3FAF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0453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BA37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A3829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95E6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66EC8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4A35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Not applicable</w:t>
            </w:r>
          </w:p>
        </w:tc>
      </w:tr>
      <w:tr w:rsidR="00E93BD2" w:rsidRPr="00E93BD2" w14:paraId="08C94E42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F91D1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F981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5D05D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350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B5FE8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B30D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E18C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nCR</w:t>
            </w:r>
          </w:p>
        </w:tc>
      </w:tr>
      <w:tr w:rsidR="00F74CAD" w:rsidRPr="00E93BD2" w14:paraId="798F9617" w14:textId="77777777" w:rsidTr="006116D5">
        <w:trPr>
          <w:trHeight w:val="55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E3CA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7D8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TNBC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1450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314B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66C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BAC2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ICB therapy and chemotherapy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BA11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pCR</w:t>
            </w:r>
          </w:p>
        </w:tc>
      </w:tr>
    </w:tbl>
    <w:p w14:paraId="147DED0A" w14:textId="77777777" w:rsidR="00F74CAD" w:rsidRPr="00E93BD2" w:rsidRDefault="00F74CAD" w:rsidP="00F74CAD">
      <w:pPr>
        <w:spacing w:line="360" w:lineRule="auto"/>
        <w:rPr>
          <w:sz w:val="24"/>
          <w:szCs w:val="24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2378"/>
        <w:gridCol w:w="5981"/>
      </w:tblGrid>
      <w:tr w:rsidR="00E93BD2" w:rsidRPr="00E93BD2" w14:paraId="6E138F4A" w14:textId="77777777" w:rsidTr="006116D5">
        <w:trPr>
          <w:trHeight w:val="420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B55B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Supplementary Table S2. Sequences of the siRNAs and shRNA</w:t>
            </w:r>
          </w:p>
        </w:tc>
      </w:tr>
      <w:tr w:rsidR="00E93BD2" w:rsidRPr="00E93BD2" w14:paraId="4358B8B6" w14:textId="77777777" w:rsidTr="006116D5">
        <w:trPr>
          <w:trHeight w:val="6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CECD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siCtrl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B22E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Sense: 5'-UUCUCCGAACGUGUCACGUTT</w:t>
            </w:r>
          </w:p>
          <w:p w14:paraId="580B44B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Antisense: 5’-ACGUGACACGUUCGGAGAATT</w:t>
            </w:r>
          </w:p>
        </w:tc>
      </w:tr>
      <w:tr w:rsidR="00E93BD2" w:rsidRPr="00E93BD2" w14:paraId="6E985E42" w14:textId="77777777" w:rsidTr="006116D5">
        <w:trPr>
          <w:trHeight w:val="38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04D8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siUQCRFS1#1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DAD6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Sense: 5'-GCGAGGCUAGGAAAGGUUUTT</w:t>
            </w:r>
          </w:p>
          <w:p w14:paraId="4883426E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Antisense: 5’-AAACCUUUCCUAGCCUCGCTT</w:t>
            </w:r>
          </w:p>
        </w:tc>
      </w:tr>
      <w:tr w:rsidR="00E93BD2" w:rsidRPr="00E93BD2" w14:paraId="3871B82B" w14:textId="77777777" w:rsidTr="006116D5">
        <w:trPr>
          <w:trHeight w:val="56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5042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siUQCRFS1#2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E62CE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Sense: 5'-</w:t>
            </w:r>
            <w:r w:rsidRPr="00E93BD2">
              <w:t xml:space="preserve"> </w:t>
            </w: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GCAGUUGAAUUAUCACAGUTT</w:t>
            </w:r>
          </w:p>
          <w:p w14:paraId="5C01499B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Antisense: 5’-</w:t>
            </w:r>
            <w:r w:rsidRPr="00E93BD2">
              <w:t xml:space="preserve"> </w:t>
            </w: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ACUGUGAUAAUUCAACUGCTT</w:t>
            </w:r>
          </w:p>
        </w:tc>
      </w:tr>
      <w:tr w:rsidR="00F74CAD" w:rsidRPr="00E93BD2" w14:paraId="07C69D5E" w14:textId="77777777" w:rsidTr="006116D5">
        <w:trPr>
          <w:trHeight w:val="62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322E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shUQCRFS1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1871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5'-GCGAGGCTAGGAAAGGTTT</w:t>
            </w:r>
          </w:p>
        </w:tc>
      </w:tr>
    </w:tbl>
    <w:p w14:paraId="698FCB5B" w14:textId="77777777" w:rsidR="00F74CAD" w:rsidRPr="00E93BD2" w:rsidRDefault="00F74CAD" w:rsidP="00F74CAD">
      <w:pPr>
        <w:spacing w:line="360" w:lineRule="auto"/>
        <w:rPr>
          <w:sz w:val="24"/>
          <w:szCs w:val="24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413"/>
        <w:gridCol w:w="992"/>
        <w:gridCol w:w="5954"/>
      </w:tblGrid>
      <w:tr w:rsidR="00E93BD2" w:rsidRPr="00E93BD2" w14:paraId="62F2ED1A" w14:textId="77777777" w:rsidTr="006116D5">
        <w:trPr>
          <w:trHeight w:val="480"/>
        </w:trPr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4257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Supplementary Table S3. Primers for qRT-PCR detection</w:t>
            </w:r>
          </w:p>
        </w:tc>
      </w:tr>
      <w:tr w:rsidR="00E93BD2" w:rsidRPr="00E93BD2" w14:paraId="2043CAE4" w14:textId="77777777" w:rsidTr="006116D5">
        <w:trPr>
          <w:trHeight w:val="4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EF50F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UQCRFS1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C0888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Forward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01935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CTGAATACCGCCGCCTTGAA</w:t>
            </w:r>
          </w:p>
        </w:tc>
      </w:tr>
      <w:tr w:rsidR="00E93BD2" w:rsidRPr="00E93BD2" w14:paraId="4219D4DE" w14:textId="77777777" w:rsidTr="006116D5">
        <w:trPr>
          <w:trHeight w:val="38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B4EFD" w14:textId="77777777" w:rsidR="00F74CAD" w:rsidRPr="00E93BD2" w:rsidRDefault="00F74CAD" w:rsidP="006116D5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228AA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Reverse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EB2B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ATGCGACACCCACAGTAGTTA</w:t>
            </w:r>
          </w:p>
        </w:tc>
      </w:tr>
      <w:tr w:rsidR="00E93BD2" w:rsidRPr="00E93BD2" w14:paraId="5F7AAA8C" w14:textId="77777777" w:rsidTr="006116D5">
        <w:trPr>
          <w:trHeight w:val="4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814B3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β-actin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EFEE0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Forward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4CE49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CATGTACGTTGCTATCCAGGC</w:t>
            </w:r>
          </w:p>
        </w:tc>
      </w:tr>
      <w:tr w:rsidR="00F74CAD" w:rsidRPr="00E93BD2" w14:paraId="48EB87DC" w14:textId="77777777" w:rsidTr="006116D5">
        <w:trPr>
          <w:trHeight w:val="38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DA980" w14:textId="77777777" w:rsidR="00F74CAD" w:rsidRPr="00E93BD2" w:rsidRDefault="00F74CAD" w:rsidP="006116D5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CA23D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Reverse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8D90C" w14:textId="77777777" w:rsidR="00F74CAD" w:rsidRPr="00E93BD2" w:rsidRDefault="00F74CAD" w:rsidP="006116D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E93BD2">
              <w:rPr>
                <w:rFonts w:ascii="Times New Roman" w:eastAsia="SimSun" w:hAnsi="Times New Roman" w:cs="Times New Roman"/>
                <w:kern w:val="0"/>
                <w:szCs w:val="21"/>
              </w:rPr>
              <w:t>CTCCTTAATGTCACGCACGAT</w:t>
            </w:r>
          </w:p>
        </w:tc>
      </w:tr>
    </w:tbl>
    <w:p w14:paraId="5FA3301D" w14:textId="77777777" w:rsidR="00F953FF" w:rsidRPr="00E93BD2" w:rsidRDefault="00F953FF" w:rsidP="00C56C59">
      <w:pPr>
        <w:spacing w:line="300" w:lineRule="auto"/>
        <w:rPr>
          <w:rFonts w:ascii="Times New Roman" w:hAnsi="Times New Roman" w:cs="Times New Roman"/>
          <w:szCs w:val="21"/>
          <w:shd w:val="clear" w:color="auto" w:fill="FFFFFF"/>
        </w:rPr>
      </w:pPr>
    </w:p>
    <w:sectPr w:rsidR="00F953FF" w:rsidRPr="00E93BD2" w:rsidSect="00E93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0007E" w14:textId="77777777" w:rsidR="006A1DF0" w:rsidRDefault="006A1DF0" w:rsidP="00A91E60">
      <w:r>
        <w:separator/>
      </w:r>
    </w:p>
  </w:endnote>
  <w:endnote w:type="continuationSeparator" w:id="0">
    <w:p w14:paraId="6B27925E" w14:textId="77777777" w:rsidR="006A1DF0" w:rsidRDefault="006A1DF0" w:rsidP="00A9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0875B" w14:textId="77777777" w:rsidR="006A1DF0" w:rsidRDefault="006A1DF0" w:rsidP="00A91E60">
      <w:r>
        <w:separator/>
      </w:r>
    </w:p>
  </w:footnote>
  <w:footnote w:type="continuationSeparator" w:id="0">
    <w:p w14:paraId="417C2179" w14:textId="77777777" w:rsidR="006A1DF0" w:rsidRDefault="006A1DF0" w:rsidP="00A91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5D"/>
    <w:rsid w:val="004C0FCD"/>
    <w:rsid w:val="005B1EB6"/>
    <w:rsid w:val="006A1DF0"/>
    <w:rsid w:val="008D0599"/>
    <w:rsid w:val="00A91E60"/>
    <w:rsid w:val="00A9565D"/>
    <w:rsid w:val="00AA7F7F"/>
    <w:rsid w:val="00B808BF"/>
    <w:rsid w:val="00C56C59"/>
    <w:rsid w:val="00CF3EF3"/>
    <w:rsid w:val="00D00376"/>
    <w:rsid w:val="00D25415"/>
    <w:rsid w:val="00E93BD2"/>
    <w:rsid w:val="00F33D6B"/>
    <w:rsid w:val="00F57F2D"/>
    <w:rsid w:val="00F74CAD"/>
    <w:rsid w:val="00F9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75C9550"/>
  <w14:defaultImageDpi w14:val="32767"/>
  <w15:chartTrackingRefBased/>
  <w15:docId w15:val="{0423455E-16FA-4D60-B3EA-4516C006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8BF"/>
    <w:pPr>
      <w:widowControl w:val="0"/>
      <w:jc w:val="both"/>
    </w:pPr>
    <w:rPr>
      <w:rFonts w:eastAsia="楷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英文写作"/>
    <w:basedOn w:val="Normal"/>
    <w:link w:val="a0"/>
    <w:autoRedefine/>
    <w:qFormat/>
    <w:rsid w:val="00D25415"/>
    <w:pPr>
      <w:widowControl/>
      <w:jc w:val="left"/>
    </w:pPr>
    <w:rPr>
      <w:rFonts w:ascii="Times New Roman" w:eastAsia="Times New Roman" w:hAnsi="Times New Roman" w:cs="Times New Roman"/>
      <w:bCs/>
      <w:color w:val="000000"/>
      <w:szCs w:val="21"/>
    </w:rPr>
  </w:style>
  <w:style w:type="character" w:customStyle="1" w:styleId="a0">
    <w:name w:val="英文写作 字符"/>
    <w:basedOn w:val="DefaultParagraphFont"/>
    <w:link w:val="a"/>
    <w:rsid w:val="00D25415"/>
    <w:rPr>
      <w:rFonts w:ascii="Times New Roman" w:eastAsia="Times New Roman" w:hAnsi="Times New Roman" w:cs="Times New Roman"/>
      <w:bCs/>
      <w:color w:val="000000"/>
      <w:szCs w:val="21"/>
    </w:rPr>
  </w:style>
  <w:style w:type="paragraph" w:customStyle="1" w:styleId="a1">
    <w:name w:val="国自然"/>
    <w:basedOn w:val="Normal"/>
    <w:link w:val="a2"/>
    <w:qFormat/>
    <w:rsid w:val="00F57F2D"/>
    <w:pPr>
      <w:spacing w:line="360" w:lineRule="auto"/>
      <w:ind w:firstLineChars="200" w:firstLine="480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2">
    <w:name w:val="国自然 字符"/>
    <w:basedOn w:val="DefaultParagraphFont"/>
    <w:link w:val="a1"/>
    <w:rsid w:val="00F57F2D"/>
    <w:rPr>
      <w:rFonts w:ascii="Times New Roman" w:eastAsia="楷体" w:hAnsi="Times New Roman" w:cs="Times New Roman"/>
      <w:bCs/>
      <w:color w:val="000000"/>
      <w:sz w:val="24"/>
      <w:szCs w:val="24"/>
    </w:rPr>
  </w:style>
  <w:style w:type="paragraph" w:customStyle="1" w:styleId="a3">
    <w:name w:val="毕业论文文章段落"/>
    <w:basedOn w:val="Normal"/>
    <w:link w:val="a4"/>
    <w:qFormat/>
    <w:rsid w:val="004C0FCD"/>
    <w:pPr>
      <w:spacing w:line="288" w:lineRule="auto"/>
      <w:ind w:firstLineChars="200" w:firstLine="200"/>
    </w:pPr>
    <w:rPr>
      <w:rFonts w:ascii="Times New Roman" w:eastAsia="SimSun" w:hAnsi="Times New Roman"/>
      <w:sz w:val="24"/>
    </w:rPr>
  </w:style>
  <w:style w:type="character" w:customStyle="1" w:styleId="a4">
    <w:name w:val="毕业论文文章段落 字符"/>
    <w:basedOn w:val="DefaultParagraphFont"/>
    <w:link w:val="a3"/>
    <w:rsid w:val="004C0FCD"/>
    <w:rPr>
      <w:rFonts w:ascii="Times New Roman" w:eastAsia="SimSu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A91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91E60"/>
    <w:rPr>
      <w:rFonts w:eastAsia="楷体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91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91E60"/>
    <w:rPr>
      <w:rFonts w:eastAsia="楷体"/>
      <w:sz w:val="18"/>
      <w:szCs w:val="18"/>
    </w:rPr>
  </w:style>
  <w:style w:type="paragraph" w:customStyle="1" w:styleId="AuthorList">
    <w:name w:val="Author List"/>
    <w:basedOn w:val="Subtitle"/>
    <w:next w:val="Normal"/>
    <w:uiPriority w:val="1"/>
    <w:qFormat/>
    <w:rsid w:val="00A91E60"/>
    <w:pPr>
      <w:widowControl/>
      <w:spacing w:after="24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60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91E60"/>
    <w:rPr>
      <w:b/>
      <w:bCs/>
      <w:kern w:val="28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D0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37BB4-292D-4DCA-A4C3-EB94C1A3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SAN</dc:creator>
  <cp:keywords/>
  <dc:description/>
  <cp:lastModifiedBy>Durga  Ramu</cp:lastModifiedBy>
  <cp:revision>11</cp:revision>
  <dcterms:created xsi:type="dcterms:W3CDTF">2025-04-11T16:32:00Z</dcterms:created>
  <dcterms:modified xsi:type="dcterms:W3CDTF">2025-05-24T03:09:00Z</dcterms:modified>
</cp:coreProperties>
</file>