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D2E3F" w14:textId="77777777" w:rsidR="001A2F47" w:rsidRDefault="004745C3">
      <w:pPr>
        <w:jc w:val="center"/>
        <w:rPr>
          <w:rFonts w:ascii="Times New Roman Bold" w:hAnsi="Times New Roman Bold" w:cs="Times New Roman Bold"/>
          <w:b/>
          <w:bCs/>
          <w:sz w:val="20"/>
          <w:szCs w:val="20"/>
        </w:rPr>
      </w:pPr>
      <w:r>
        <w:rPr>
          <w:rFonts w:ascii="Times New Roman Bold" w:hAnsi="Times New Roman Bold" w:cs="Times New Roman Bold"/>
          <w:b/>
          <w:bCs/>
          <w:sz w:val="20"/>
          <w:szCs w:val="20"/>
        </w:rPr>
        <w:t>Supplementary Figures</w:t>
      </w:r>
    </w:p>
    <w:p w14:paraId="0B8E5236" w14:textId="77777777" w:rsidR="003E13FC" w:rsidRPr="003E13FC" w:rsidRDefault="003E13FC" w:rsidP="003E13FC">
      <w:pPr>
        <w:spacing w:line="480" w:lineRule="auto"/>
        <w:rPr>
          <w:rFonts w:ascii="Times New Roman" w:hAnsi="Times New Roman"/>
          <w:sz w:val="24"/>
        </w:rPr>
      </w:pPr>
      <w:r w:rsidRPr="003E13FC">
        <w:rPr>
          <w:rFonts w:ascii="Times New Roman Bold" w:hAnsi="Times New Roman Bold" w:cs="Times New Roman Bold"/>
          <w:b/>
          <w:bCs/>
          <w:sz w:val="24"/>
        </w:rPr>
        <w:t xml:space="preserve">Figure </w:t>
      </w:r>
      <w:r w:rsidRPr="003E13FC">
        <w:rPr>
          <w:rFonts w:ascii="Times New Roman Bold" w:hAnsi="Times New Roman Bold" w:cs="Times New Roman Bold" w:hint="eastAsia"/>
          <w:b/>
          <w:bCs/>
          <w:sz w:val="24"/>
        </w:rPr>
        <w:t>S1</w:t>
      </w:r>
      <w:r w:rsidRPr="003E13FC">
        <w:rPr>
          <w:rFonts w:ascii="Times New Roman Bold" w:hAnsi="Times New Roman Bold" w:cs="Times New Roman Bold"/>
          <w:b/>
          <w:bCs/>
          <w:sz w:val="24"/>
        </w:rPr>
        <w:t xml:space="preserve">: </w:t>
      </w:r>
      <w:r w:rsidRPr="003E13FC">
        <w:rPr>
          <w:rFonts w:ascii="Times New Roman" w:hAnsi="Times New Roman"/>
          <w:sz w:val="24"/>
        </w:rPr>
        <w:t>Global and regional trends in ASPR, ASIR, ASDR, and ASDALYR</w:t>
      </w:r>
      <w:r w:rsidRPr="003E13FC">
        <w:rPr>
          <w:rFonts w:ascii="Times New Roman" w:hAnsi="Times New Roman" w:hint="eastAsia"/>
          <w:sz w:val="24"/>
        </w:rPr>
        <w:t xml:space="preserve"> </w:t>
      </w:r>
      <w:r w:rsidRPr="003E13FC">
        <w:rPr>
          <w:rFonts w:ascii="Times New Roman Regular" w:hAnsi="Times New Roman Regular" w:cs="Times New Roman Regular" w:hint="eastAsia"/>
          <w:sz w:val="24"/>
        </w:rPr>
        <w:t>in 1990-2021 from GBD</w:t>
      </w:r>
      <w:r w:rsidRPr="003E13FC">
        <w:rPr>
          <w:rFonts w:ascii="Times New Roman" w:hAnsi="Times New Roman"/>
          <w:sz w:val="24"/>
        </w:rPr>
        <w:t xml:space="preserve">. </w:t>
      </w:r>
      <w:r w:rsidRPr="003E13FC">
        <w:rPr>
          <w:rFonts w:ascii="Times New Roman Regular" w:hAnsi="Times New Roman Regular" w:cs="Times New Roman Regular"/>
          <w:sz w:val="24"/>
        </w:rPr>
        <w:t>(A): HL, (B):</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NHL, (C):</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AML, (D):</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CML, (E):</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ALL, (F):</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CLL, (G):</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MM</w:t>
      </w:r>
      <w:r w:rsidRPr="003E13FC">
        <w:rPr>
          <w:rFonts w:ascii="Times New Roman" w:hAnsi="Times New Roman"/>
          <w:sz w:val="24"/>
        </w:rPr>
        <w:t>. HL, Hodgkin lymphoma; NHL, Non−Hodgkin lymphoma; AML, Acute myeloid leukemia; CML, Chronic myeloid leukemia; ALL, Acute lymphoid leukemia; CLL, Chronic lymphoid leukemia; MM, Multiple myeloma; DALYs, disability-adjusted life years; ASPR, age-standardized prevalence rate; ASIR, age-standardized incidence rate; ASDR, age-standardized death rate; ASDALYR, age-standardized DALY rate; SDI, socio-demographic index.</w:t>
      </w:r>
    </w:p>
    <w:p w14:paraId="6DF4AA38" w14:textId="3AF76E14" w:rsidR="003E13FC" w:rsidRPr="003E13FC" w:rsidRDefault="003E13FC" w:rsidP="003E13FC">
      <w:pPr>
        <w:spacing w:line="480" w:lineRule="auto"/>
        <w:rPr>
          <w:rFonts w:ascii="Times New Roman Bold" w:hAnsi="Times New Roman Bold" w:cs="Times New Roman Bold"/>
          <w:b/>
          <w:bCs/>
          <w:sz w:val="24"/>
        </w:rPr>
      </w:pPr>
      <w:r w:rsidRPr="003E13FC">
        <w:rPr>
          <w:rFonts w:ascii="Times New Roman Bold" w:hAnsi="Times New Roman Bold" w:cs="Times New Roman Bold"/>
          <w:b/>
          <w:bCs/>
          <w:sz w:val="24"/>
        </w:rPr>
        <w:t xml:space="preserve"> </w:t>
      </w:r>
      <w:r w:rsidR="004745C3">
        <w:rPr>
          <w:rFonts w:ascii="Times New Roman Bold" w:hAnsi="Times New Roman Bold" w:cs="Times New Roman Bold"/>
          <w:b/>
          <w:bCs/>
          <w:noProof/>
          <w:sz w:val="24"/>
        </w:rPr>
        <w:lastRenderedPageBreak/>
        <w:drawing>
          <wp:inline distT="0" distB="0" distL="0" distR="0" wp14:anchorId="4146BCD3" wp14:editId="1009FAB6">
            <wp:extent cx="5274310" cy="6145530"/>
            <wp:effectExtent l="0" t="0" r="0"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6145530"/>
                    </a:xfrm>
                    <a:prstGeom prst="rect">
                      <a:avLst/>
                    </a:prstGeom>
                  </pic:spPr>
                </pic:pic>
              </a:graphicData>
            </a:graphic>
          </wp:inline>
        </w:drawing>
      </w:r>
    </w:p>
    <w:p w14:paraId="5E3326EB" w14:textId="7777777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w:t>
      </w:r>
      <w:r w:rsidRPr="003E13FC">
        <w:rPr>
          <w:rFonts w:ascii="Times New Roman Bold" w:hAnsi="Times New Roman Bold" w:cs="Times New Roman Bold" w:hint="eastAsia"/>
          <w:b/>
          <w:bCs/>
          <w:sz w:val="24"/>
        </w:rPr>
        <w:t>2</w:t>
      </w:r>
      <w:r w:rsidRPr="003E13FC">
        <w:rPr>
          <w:rFonts w:ascii="Times New Roman Regular" w:hAnsi="Times New Roman Regular" w:cs="Times New Roman Regular"/>
          <w:sz w:val="24"/>
        </w:rPr>
        <w:t>:</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 xml:space="preserve">Global and regional trends in </w:t>
      </w:r>
      <w:r w:rsidRPr="003E13FC">
        <w:rPr>
          <w:rFonts w:ascii="Times New Roman Regular" w:hAnsi="Times New Roman Regular" w:cs="Times New Roman Regular"/>
          <w:color w:val="242021"/>
          <w:sz w:val="24"/>
        </w:rPr>
        <w:t>prevalence,</w:t>
      </w:r>
      <w:r w:rsidRPr="003E13FC">
        <w:rPr>
          <w:rFonts w:ascii="Times New Roman Regular" w:hAnsi="Times New Roman Regular" w:cs="Times New Roman Regular"/>
          <w:sz w:val="24"/>
        </w:rPr>
        <w:t xml:space="preserve"> incidence, deaths, and DALYs of male</w:t>
      </w:r>
      <w:r w:rsidRPr="003E13FC">
        <w:rPr>
          <w:rFonts w:ascii="Times New Roman Regular" w:hAnsi="Times New Roman Regular" w:cs="Times New Roman Regular" w:hint="eastAsia"/>
          <w:sz w:val="24"/>
        </w:rPr>
        <w:t xml:space="preserve"> in 1990-2021 from GBD</w:t>
      </w:r>
      <w:r w:rsidRPr="003E13FC">
        <w:rPr>
          <w:rFonts w:ascii="Times New Roman Regular" w:hAnsi="Times New Roman Regular" w:cs="Times New Roman Regular"/>
          <w:sz w:val="24"/>
        </w:rPr>
        <w:t>. (A): HL, (B):</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NHL, (C):</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AML, (D):</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CML, (E):</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ALL, (F):</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CLL, (G):</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MM. HL, Hodgkin lymphoma; NHL, Non−Hodgkin lymphoma; AML, Acute myeloid leukemia; CML, Chronic myeloid leukemia; ALL, Acute lymphoid leukemia; CLL, Chronic lymphoid leukemia; MM, Multiple myeloma; DALYs, disability-adjusted life years; SDI, socio-demographic index.</w:t>
      </w:r>
    </w:p>
    <w:p w14:paraId="6B68F9E2" w14:textId="4729C5BC"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Regular" w:hAnsi="Times New Roman Regular" w:cs="Times New Roman Regular"/>
          <w:sz w:val="24"/>
        </w:rPr>
        <w:lastRenderedPageBreak/>
        <w:t xml:space="preserve"> </w:t>
      </w:r>
      <w:r w:rsidR="004745C3">
        <w:rPr>
          <w:rFonts w:ascii="Times New Roman Regular" w:hAnsi="Times New Roman Regular" w:cs="Times New Roman Regular"/>
          <w:noProof/>
          <w:sz w:val="24"/>
        </w:rPr>
        <w:drawing>
          <wp:inline distT="0" distB="0" distL="0" distR="0" wp14:anchorId="289398DC" wp14:editId="78F520C2">
            <wp:extent cx="5274310" cy="6336665"/>
            <wp:effectExtent l="0" t="0" r="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6336665"/>
                    </a:xfrm>
                    <a:prstGeom prst="rect">
                      <a:avLst/>
                    </a:prstGeom>
                  </pic:spPr>
                </pic:pic>
              </a:graphicData>
            </a:graphic>
          </wp:inline>
        </w:drawing>
      </w:r>
    </w:p>
    <w:p w14:paraId="35473E40" w14:textId="7777777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w:t>
      </w:r>
      <w:r w:rsidRPr="003E13FC">
        <w:rPr>
          <w:rFonts w:ascii="Times New Roman Bold" w:hAnsi="Times New Roman Bold" w:cs="Times New Roman Bold" w:hint="eastAsia"/>
          <w:b/>
          <w:bCs/>
          <w:sz w:val="24"/>
        </w:rPr>
        <w:t>3</w:t>
      </w:r>
      <w:r w:rsidRPr="003E13FC">
        <w:rPr>
          <w:rFonts w:ascii="Times New Roman Regular" w:hAnsi="Times New Roman Regular" w:cs="Times New Roman Regular"/>
          <w:sz w:val="24"/>
        </w:rPr>
        <w:t>:</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 xml:space="preserve">Global and regional trends in </w:t>
      </w:r>
      <w:r w:rsidRPr="003E13FC">
        <w:rPr>
          <w:rFonts w:ascii="Times New Roman Regular" w:hAnsi="Times New Roman Regular" w:cs="Times New Roman Regular"/>
          <w:color w:val="242021"/>
          <w:sz w:val="24"/>
        </w:rPr>
        <w:t>prevalence,</w:t>
      </w:r>
      <w:r w:rsidRPr="003E13FC">
        <w:rPr>
          <w:rFonts w:ascii="Times New Roman Regular" w:hAnsi="Times New Roman Regular" w:cs="Times New Roman Regular"/>
          <w:sz w:val="24"/>
        </w:rPr>
        <w:t xml:space="preserve"> incidence, deaths, and DALYs of female</w:t>
      </w:r>
      <w:r w:rsidRPr="003E13FC">
        <w:rPr>
          <w:rFonts w:ascii="Times New Roman Regular" w:hAnsi="Times New Roman Regular" w:cs="Times New Roman Regular" w:hint="eastAsia"/>
          <w:sz w:val="24"/>
        </w:rPr>
        <w:t xml:space="preserve"> in 1990-2021 from GBD</w:t>
      </w:r>
      <w:r w:rsidRPr="003E13FC">
        <w:rPr>
          <w:rFonts w:ascii="Times New Roman Regular" w:hAnsi="Times New Roman Regular" w:cs="Times New Roman Regular"/>
          <w:sz w:val="24"/>
        </w:rPr>
        <w:t>. (A): HL, (B):</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NHL, (C):</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AML, (D):</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CML, (E):</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ALL, (F):</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CLL, (G):</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MM</w:t>
      </w:r>
      <w:r w:rsidRPr="003E13FC">
        <w:rPr>
          <w:rFonts w:ascii="Times New Roman" w:hAnsi="Times New Roman"/>
          <w:sz w:val="24"/>
        </w:rPr>
        <w:t>.</w:t>
      </w:r>
      <w:r w:rsidRPr="003E13FC">
        <w:rPr>
          <w:rFonts w:ascii="Times New Roman Regular" w:hAnsi="Times New Roman Regular" w:cs="Times New Roman Regular"/>
          <w:sz w:val="24"/>
        </w:rPr>
        <w:t xml:space="preserve"> HL, Hodgkin lymphoma; NHL, Non−Hodgkin lymphoma; AML, Acute myeloid leukemia; CML, Chronic myeloid leukemia; ALL, Acute lymphoid leukemia; CLL, Chronic lymphoid leukemia; MM, Multiple myeloma; </w:t>
      </w:r>
      <w:r w:rsidRPr="003E13FC">
        <w:rPr>
          <w:rFonts w:ascii="Times New Roman Regular" w:hAnsi="Times New Roman Regular" w:cs="Times New Roman Regular"/>
          <w:sz w:val="24"/>
        </w:rPr>
        <w:lastRenderedPageBreak/>
        <w:t>DALYs, disability-adjusted life years; SDI, socio-demographic index.</w:t>
      </w:r>
    </w:p>
    <w:p w14:paraId="092BED80" w14:textId="58FFC700"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Regular" w:hAnsi="Times New Roman Regular" w:cs="Times New Roman Regular"/>
          <w:sz w:val="24"/>
        </w:rPr>
        <w:t xml:space="preserve"> </w:t>
      </w:r>
      <w:r w:rsidR="004745C3">
        <w:rPr>
          <w:rFonts w:ascii="Times New Roman Regular" w:hAnsi="Times New Roman Regular" w:cs="Times New Roman Regular"/>
          <w:noProof/>
          <w:sz w:val="24"/>
        </w:rPr>
        <w:drawing>
          <wp:inline distT="0" distB="0" distL="0" distR="0" wp14:anchorId="67821F71" wp14:editId="4F8A50A8">
            <wp:extent cx="5274310" cy="6359525"/>
            <wp:effectExtent l="0" t="0" r="0" b="31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6359525"/>
                    </a:xfrm>
                    <a:prstGeom prst="rect">
                      <a:avLst/>
                    </a:prstGeom>
                  </pic:spPr>
                </pic:pic>
              </a:graphicData>
            </a:graphic>
          </wp:inline>
        </w:drawing>
      </w:r>
    </w:p>
    <w:p w14:paraId="75430F94" w14:textId="7777777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w:t>
      </w:r>
      <w:r w:rsidRPr="003E13FC">
        <w:rPr>
          <w:rFonts w:ascii="Times New Roman Bold" w:hAnsi="Times New Roman Bold" w:cs="Times New Roman Bold" w:hint="eastAsia"/>
          <w:b/>
          <w:bCs/>
          <w:sz w:val="24"/>
        </w:rPr>
        <w:t>4</w:t>
      </w:r>
      <w:r w:rsidRPr="003E13FC">
        <w:rPr>
          <w:rFonts w:ascii="Times New Roman Regular" w:hAnsi="Times New Roman Regular" w:cs="Times New Roman Regular"/>
          <w:sz w:val="24"/>
        </w:rPr>
        <w:t>:</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Global and regional trends in ASPR</w:t>
      </w:r>
      <w:r w:rsidRPr="003E13FC">
        <w:rPr>
          <w:rFonts w:ascii="Times New Roman Regular" w:hAnsi="Times New Roman Regular" w:cs="Times New Roman Regular"/>
          <w:color w:val="242021"/>
          <w:sz w:val="24"/>
        </w:rPr>
        <w:t>, ASIR</w:t>
      </w:r>
      <w:r w:rsidRPr="003E13FC">
        <w:rPr>
          <w:rFonts w:ascii="Times New Roman Regular" w:hAnsi="Times New Roman Regular" w:cs="Times New Roman Regular"/>
          <w:sz w:val="24"/>
        </w:rPr>
        <w:t>, ASDR, and ASDALYR of male</w:t>
      </w:r>
      <w:r w:rsidRPr="003E13FC">
        <w:rPr>
          <w:rFonts w:ascii="Times New Roman Regular" w:hAnsi="Times New Roman Regular" w:cs="Times New Roman Regular" w:hint="eastAsia"/>
          <w:sz w:val="24"/>
        </w:rPr>
        <w:t xml:space="preserve"> in 1990-2021 from GBD</w:t>
      </w:r>
      <w:r w:rsidRPr="003E13FC">
        <w:rPr>
          <w:rFonts w:ascii="Times New Roman Regular" w:hAnsi="Times New Roman Regular" w:cs="Times New Roman Regular"/>
          <w:sz w:val="24"/>
        </w:rPr>
        <w:t>. (A): HL, (B):</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NHL, (C):</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AML, (D):</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CML, (E):</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ALL, (F):</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CLL, (G):</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MM</w:t>
      </w:r>
      <w:r w:rsidRPr="003E13FC">
        <w:rPr>
          <w:rFonts w:ascii="Times New Roman" w:hAnsi="Times New Roman"/>
          <w:sz w:val="24"/>
        </w:rPr>
        <w:t>.</w:t>
      </w:r>
      <w:r w:rsidRPr="003E13FC">
        <w:rPr>
          <w:rFonts w:ascii="Times New Roman Regular" w:hAnsi="Times New Roman Regular" w:cs="Times New Roman Regular"/>
          <w:sz w:val="24"/>
        </w:rPr>
        <w:t xml:space="preserve"> HL, Hodgkin lymphoma; NHL, Non−Hodgkin lymphoma; AML, Acute myeloid leukemia; CML, Chronic myeloid leukemia; ALL, Acute lymphoid </w:t>
      </w:r>
      <w:r w:rsidRPr="003E13FC">
        <w:rPr>
          <w:rFonts w:ascii="Times New Roman Regular" w:hAnsi="Times New Roman Regular" w:cs="Times New Roman Regular"/>
          <w:sz w:val="24"/>
        </w:rPr>
        <w:lastRenderedPageBreak/>
        <w:t xml:space="preserve">leukemia; CLL, Chronic lymphoid leukemia; MM, Multiple myeloma; DALYs, disability-adjusted life years; ASPR, age-standardized </w:t>
      </w:r>
      <w:r w:rsidRPr="003E13FC">
        <w:rPr>
          <w:rFonts w:ascii="Times New Roman Regular" w:hAnsi="Times New Roman Regular" w:cs="Times New Roman Regular"/>
          <w:color w:val="242021"/>
          <w:sz w:val="24"/>
        </w:rPr>
        <w:t>prevalence</w:t>
      </w:r>
      <w:r w:rsidRPr="003E13FC">
        <w:rPr>
          <w:rFonts w:ascii="Times New Roman Regular" w:hAnsi="Times New Roman Regular" w:cs="Times New Roman Regular"/>
          <w:sz w:val="24"/>
        </w:rPr>
        <w:t xml:space="preserve"> rate; ASIR, age-standardized incidence rate; ASDR, age-standardized death rate; ASDALYR, age-standardized DALY rate; SDI, socio-demographic index.</w:t>
      </w:r>
    </w:p>
    <w:p w14:paraId="28B996EE" w14:textId="5397B632"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Regular" w:hAnsi="Times New Roman Regular" w:cs="Times New Roman Regular"/>
          <w:sz w:val="24"/>
        </w:rPr>
        <w:t xml:space="preserve"> </w:t>
      </w:r>
      <w:r w:rsidR="004745C3">
        <w:rPr>
          <w:rFonts w:ascii="Times New Roman Regular" w:hAnsi="Times New Roman Regular" w:cs="Times New Roman Regular"/>
          <w:noProof/>
          <w:sz w:val="24"/>
        </w:rPr>
        <w:drawing>
          <wp:inline distT="0" distB="0" distL="0" distR="0" wp14:anchorId="7E35776C" wp14:editId="1EE92558">
            <wp:extent cx="5274310" cy="604837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6048375"/>
                    </a:xfrm>
                    <a:prstGeom prst="rect">
                      <a:avLst/>
                    </a:prstGeom>
                  </pic:spPr>
                </pic:pic>
              </a:graphicData>
            </a:graphic>
          </wp:inline>
        </w:drawing>
      </w:r>
    </w:p>
    <w:p w14:paraId="72DFED2B" w14:textId="7777777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w:t>
      </w:r>
      <w:r w:rsidRPr="003E13FC">
        <w:rPr>
          <w:rFonts w:ascii="Times New Roman Bold" w:hAnsi="Times New Roman Bold" w:cs="Times New Roman Bold" w:hint="eastAsia"/>
          <w:b/>
          <w:bCs/>
          <w:sz w:val="24"/>
        </w:rPr>
        <w:t>5</w:t>
      </w:r>
      <w:r w:rsidRPr="003E13FC">
        <w:rPr>
          <w:rFonts w:ascii="Times New Roman Regular" w:hAnsi="Times New Roman Regular" w:cs="Times New Roman Regular"/>
          <w:sz w:val="24"/>
        </w:rPr>
        <w:t>:</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Global and regional trends in ASPR</w:t>
      </w:r>
      <w:r w:rsidRPr="003E13FC">
        <w:rPr>
          <w:rFonts w:ascii="Times New Roman Regular" w:hAnsi="Times New Roman Regular" w:cs="Times New Roman Regular"/>
          <w:color w:val="242021"/>
          <w:sz w:val="24"/>
        </w:rPr>
        <w:t>, ASIR</w:t>
      </w:r>
      <w:r w:rsidRPr="003E13FC">
        <w:rPr>
          <w:rFonts w:ascii="Times New Roman Regular" w:hAnsi="Times New Roman Regular" w:cs="Times New Roman Regular"/>
          <w:sz w:val="24"/>
        </w:rPr>
        <w:t>, ASDR, and ASDALYR of female</w:t>
      </w:r>
      <w:r w:rsidRPr="003E13FC">
        <w:rPr>
          <w:rFonts w:ascii="Times New Roman Regular" w:hAnsi="Times New Roman Regular" w:cs="Times New Roman Regular" w:hint="eastAsia"/>
          <w:sz w:val="24"/>
        </w:rPr>
        <w:t xml:space="preserve"> in 1990-2021 from GBD</w:t>
      </w:r>
      <w:r w:rsidRPr="003E13FC">
        <w:rPr>
          <w:rFonts w:ascii="Times New Roman Regular" w:hAnsi="Times New Roman Regular" w:cs="Times New Roman Regular"/>
          <w:sz w:val="24"/>
        </w:rPr>
        <w:t>. (A): HL, (B):</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NHL, (C):</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AML, (D):</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CML, (E):</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 xml:space="preserve">ALL, </w:t>
      </w:r>
      <w:r w:rsidRPr="003E13FC">
        <w:rPr>
          <w:rFonts w:ascii="Times New Roman Regular" w:hAnsi="Times New Roman Regular" w:cs="Times New Roman Regular"/>
          <w:sz w:val="24"/>
        </w:rPr>
        <w:lastRenderedPageBreak/>
        <w:t>(F):</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CLL, (G):</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MM</w:t>
      </w:r>
      <w:r w:rsidRPr="003E13FC">
        <w:rPr>
          <w:rFonts w:ascii="Times New Roman" w:hAnsi="Times New Roman"/>
          <w:sz w:val="24"/>
        </w:rPr>
        <w:t>.</w:t>
      </w:r>
      <w:r w:rsidRPr="003E13FC">
        <w:rPr>
          <w:rFonts w:ascii="Times New Roman Regular" w:hAnsi="Times New Roman Regular" w:cs="Times New Roman Regular"/>
          <w:sz w:val="24"/>
        </w:rPr>
        <w:t xml:space="preserve"> HL, Hodgkin lymphoma; NHL, Non−Hodgkin lymphoma; AML, Acute myeloid leukemia; CML, Chronic myeloid leukemia; ALL, Acute lymphoid leukemia; CLL, Chronic lymphoid leukemia; MM, Multiple myeloma; DALYs, disability-adjusted life years; ASPR, age-standardized </w:t>
      </w:r>
      <w:r w:rsidRPr="003E13FC">
        <w:rPr>
          <w:rFonts w:ascii="Times New Roman Regular" w:hAnsi="Times New Roman Regular" w:cs="Times New Roman Regular"/>
          <w:color w:val="242021"/>
          <w:sz w:val="24"/>
        </w:rPr>
        <w:t>prevalence</w:t>
      </w:r>
      <w:r w:rsidRPr="003E13FC">
        <w:rPr>
          <w:rFonts w:ascii="Times New Roman Regular" w:hAnsi="Times New Roman Regular" w:cs="Times New Roman Regular"/>
          <w:sz w:val="24"/>
        </w:rPr>
        <w:t xml:space="preserve"> rate; ASIR, age-standardized incidence rate; ASDR, age-standardized death rate; ASDALYR, age-standardized DALY rate; SDI, socio-demographic index.</w:t>
      </w:r>
    </w:p>
    <w:p w14:paraId="139A7A1E" w14:textId="37D302AD"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Regular" w:hAnsi="Times New Roman Regular" w:cs="Times New Roman Regular"/>
          <w:sz w:val="24"/>
        </w:rPr>
        <w:t xml:space="preserve"> </w:t>
      </w:r>
      <w:r w:rsidR="004745C3">
        <w:rPr>
          <w:rFonts w:ascii="Times New Roman Regular" w:hAnsi="Times New Roman Regular" w:cs="Times New Roman Regular"/>
          <w:noProof/>
          <w:sz w:val="24"/>
        </w:rPr>
        <w:lastRenderedPageBreak/>
        <w:drawing>
          <wp:inline distT="0" distB="0" distL="0" distR="0" wp14:anchorId="351A7526" wp14:editId="6962FFCF">
            <wp:extent cx="5274310" cy="63500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6350000"/>
                    </a:xfrm>
                    <a:prstGeom prst="rect">
                      <a:avLst/>
                    </a:prstGeom>
                  </pic:spPr>
                </pic:pic>
              </a:graphicData>
            </a:graphic>
          </wp:inline>
        </w:drawing>
      </w:r>
    </w:p>
    <w:p w14:paraId="284B8F2A" w14:textId="7777777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w:t>
      </w:r>
      <w:r w:rsidRPr="003E13FC">
        <w:rPr>
          <w:rFonts w:ascii="Times New Roman Bold" w:hAnsi="Times New Roman Bold" w:cs="Times New Roman Bold" w:hint="eastAsia"/>
          <w:b/>
          <w:bCs/>
          <w:sz w:val="24"/>
        </w:rPr>
        <w:t>6</w:t>
      </w:r>
      <w:r w:rsidRPr="003E13FC">
        <w:rPr>
          <w:rFonts w:ascii="Times New Roman Regular" w:hAnsi="Times New Roman Regular" w:cs="Times New Roman Regular"/>
          <w:sz w:val="24"/>
        </w:rPr>
        <w:t>: Global distribution of HL prevalence (A), incidence (B), deaths (C), DALYs (D), ASPR (E),</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and ASDALYR (</w:t>
      </w:r>
      <w:r w:rsidRPr="003E13FC">
        <w:rPr>
          <w:rFonts w:ascii="Times New Roman Regular" w:hAnsi="Times New Roman Regular" w:cs="Times New Roman Regular" w:hint="eastAsia"/>
          <w:sz w:val="24"/>
        </w:rPr>
        <w:t>F</w:t>
      </w:r>
      <w:r w:rsidRPr="003E13FC">
        <w:rPr>
          <w:rFonts w:ascii="Times New Roman Regular" w:hAnsi="Times New Roman Regular" w:cs="Times New Roman Regular"/>
          <w:sz w:val="24"/>
        </w:rPr>
        <w:t>) in 2021</w:t>
      </w:r>
      <w:r w:rsidRPr="003E13FC">
        <w:rPr>
          <w:rFonts w:ascii="Times New Roman Regular" w:hAnsi="Times New Roman Regular" w:cs="Times New Roman Regular" w:hint="eastAsia"/>
          <w:sz w:val="24"/>
        </w:rPr>
        <w:t xml:space="preserve"> from GBD</w:t>
      </w:r>
      <w:r w:rsidRPr="003E13FC">
        <w:rPr>
          <w:rFonts w:ascii="Times New Roman Regular" w:hAnsi="Times New Roman Regular" w:cs="Times New Roman Regular"/>
          <w:sz w:val="24"/>
        </w:rPr>
        <w:t>. HL, Hodgkin lymphoma; DALYs, disability-adjusted life years; ASPR, age-standardized prevalence rate; ASDALYR, age-standardized DALY rate.</w:t>
      </w:r>
    </w:p>
    <w:p w14:paraId="75C015EC" w14:textId="4B557D3A"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Regular" w:hAnsi="Times New Roman Regular" w:cs="Times New Roman Regular"/>
          <w:sz w:val="24"/>
        </w:rPr>
        <w:t xml:space="preserve"> </w:t>
      </w:r>
      <w:r w:rsidR="00351D1C">
        <w:rPr>
          <w:rFonts w:ascii="Times New Roman Regular" w:hAnsi="Times New Roman Regular" w:cs="Times New Roman Regular"/>
          <w:noProof/>
          <w:sz w:val="24"/>
        </w:rPr>
        <w:lastRenderedPageBreak/>
        <w:drawing>
          <wp:inline distT="0" distB="0" distL="0" distR="0" wp14:anchorId="29B1F0EA" wp14:editId="1E537F0B">
            <wp:extent cx="5274310" cy="56413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641340"/>
                    </a:xfrm>
                    <a:prstGeom prst="rect">
                      <a:avLst/>
                    </a:prstGeom>
                  </pic:spPr>
                </pic:pic>
              </a:graphicData>
            </a:graphic>
          </wp:inline>
        </w:drawing>
      </w:r>
    </w:p>
    <w:p w14:paraId="6515EC81" w14:textId="7777777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w:t>
      </w:r>
      <w:r w:rsidRPr="003E13FC">
        <w:rPr>
          <w:rFonts w:ascii="Times New Roman Bold" w:hAnsi="Times New Roman Bold" w:cs="Times New Roman Bold" w:hint="eastAsia"/>
          <w:b/>
          <w:bCs/>
          <w:sz w:val="24"/>
        </w:rPr>
        <w:t>7</w:t>
      </w:r>
      <w:r w:rsidRPr="003E13FC">
        <w:rPr>
          <w:rFonts w:ascii="Times New Roman Regular" w:hAnsi="Times New Roman Regular" w:cs="Times New Roman Regular"/>
          <w:sz w:val="24"/>
        </w:rPr>
        <w:t>: Global distribution of NHL prevalence (A), incidence (B), deaths (C), DALYs (D), ASPR (E),</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and ASDALYR (</w:t>
      </w:r>
      <w:r w:rsidRPr="003E13FC">
        <w:rPr>
          <w:rFonts w:ascii="Times New Roman Regular" w:hAnsi="Times New Roman Regular" w:cs="Times New Roman Regular" w:hint="eastAsia"/>
          <w:sz w:val="24"/>
        </w:rPr>
        <w:t>F</w:t>
      </w:r>
      <w:r w:rsidRPr="003E13FC">
        <w:rPr>
          <w:rFonts w:ascii="Times New Roman Regular" w:hAnsi="Times New Roman Regular" w:cs="Times New Roman Regular"/>
          <w:sz w:val="24"/>
        </w:rPr>
        <w:t>) in 2021</w:t>
      </w:r>
      <w:r w:rsidRPr="003E13FC">
        <w:rPr>
          <w:rFonts w:ascii="Times New Roman Regular" w:hAnsi="Times New Roman Regular" w:cs="Times New Roman Regular" w:hint="eastAsia"/>
          <w:sz w:val="24"/>
        </w:rPr>
        <w:t xml:space="preserve"> from GBD</w:t>
      </w:r>
      <w:r w:rsidRPr="003E13FC">
        <w:rPr>
          <w:rFonts w:ascii="Times New Roman Regular" w:hAnsi="Times New Roman Regular" w:cs="Times New Roman Regular"/>
          <w:sz w:val="24"/>
        </w:rPr>
        <w:t>. NHL, Non−Hodgkin lymphoma; DALYs, disability-adjusted life years; ASPR, age-standardized prevalence rate; ASDALYR, age-standardized DALY rate.</w:t>
      </w:r>
    </w:p>
    <w:p w14:paraId="151EEEC0" w14:textId="3ADB1198"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Regular" w:hAnsi="Times New Roman Regular" w:cs="Times New Roman Regular"/>
          <w:sz w:val="24"/>
        </w:rPr>
        <w:t xml:space="preserve"> </w:t>
      </w:r>
      <w:r w:rsidR="00351D1C">
        <w:rPr>
          <w:rFonts w:ascii="Times New Roman Regular" w:hAnsi="Times New Roman Regular" w:cs="Times New Roman Regular"/>
          <w:noProof/>
          <w:sz w:val="24"/>
        </w:rPr>
        <w:lastRenderedPageBreak/>
        <w:drawing>
          <wp:inline distT="0" distB="0" distL="0" distR="0" wp14:anchorId="013EDA0D" wp14:editId="4120F932">
            <wp:extent cx="5274310" cy="5942330"/>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942330"/>
                    </a:xfrm>
                    <a:prstGeom prst="rect">
                      <a:avLst/>
                    </a:prstGeom>
                  </pic:spPr>
                </pic:pic>
              </a:graphicData>
            </a:graphic>
          </wp:inline>
        </w:drawing>
      </w:r>
    </w:p>
    <w:p w14:paraId="5EBA0614" w14:textId="7777777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w:t>
      </w:r>
      <w:r w:rsidRPr="003E13FC">
        <w:rPr>
          <w:rFonts w:ascii="Times New Roman Bold" w:hAnsi="Times New Roman Bold" w:cs="Times New Roman Bold" w:hint="eastAsia"/>
          <w:b/>
          <w:bCs/>
          <w:sz w:val="24"/>
        </w:rPr>
        <w:t>8</w:t>
      </w:r>
      <w:r w:rsidRPr="003E13FC">
        <w:rPr>
          <w:rFonts w:ascii="Times New Roman Regular" w:hAnsi="Times New Roman Regular" w:cs="Times New Roman Regular"/>
          <w:sz w:val="24"/>
        </w:rPr>
        <w:t>: Global distribution of AML prevalence (A), incidence (B), deaths (C), DALYs (D), ASPR (E), and ASDALYR (</w:t>
      </w:r>
      <w:r w:rsidRPr="003E13FC">
        <w:rPr>
          <w:rFonts w:ascii="Times New Roman Regular" w:hAnsi="Times New Roman Regular" w:cs="Times New Roman Regular" w:hint="eastAsia"/>
          <w:sz w:val="24"/>
        </w:rPr>
        <w:t>F</w:t>
      </w:r>
      <w:r w:rsidRPr="003E13FC">
        <w:rPr>
          <w:rFonts w:ascii="Times New Roman Regular" w:hAnsi="Times New Roman Regular" w:cs="Times New Roman Regular"/>
          <w:sz w:val="24"/>
        </w:rPr>
        <w:t>) in 2021</w:t>
      </w:r>
      <w:r w:rsidRPr="003E13FC">
        <w:rPr>
          <w:rFonts w:ascii="Times New Roman Regular" w:hAnsi="Times New Roman Regular" w:cs="Times New Roman Regular" w:hint="eastAsia"/>
          <w:sz w:val="24"/>
        </w:rPr>
        <w:t xml:space="preserve"> from GBD</w:t>
      </w:r>
      <w:r w:rsidRPr="003E13FC">
        <w:rPr>
          <w:rFonts w:ascii="Times New Roman Regular" w:hAnsi="Times New Roman Regular" w:cs="Times New Roman Regular"/>
          <w:sz w:val="24"/>
        </w:rPr>
        <w:t>. AML, Acute myeloid leukemia; DALYs, disability-adjusted life years; ASPR, age-standardized prevalence rate; ASDALYR, age-standardized DALY rate.</w:t>
      </w:r>
    </w:p>
    <w:p w14:paraId="21880E4D" w14:textId="27CBA033"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Regular" w:hAnsi="Times New Roman Regular" w:cs="Times New Roman Regular"/>
          <w:sz w:val="24"/>
        </w:rPr>
        <w:t xml:space="preserve"> </w:t>
      </w:r>
      <w:r w:rsidR="00351D1C">
        <w:rPr>
          <w:rFonts w:ascii="Times New Roman Regular" w:hAnsi="Times New Roman Regular" w:cs="Times New Roman Regular"/>
          <w:noProof/>
          <w:sz w:val="24"/>
        </w:rPr>
        <w:lastRenderedPageBreak/>
        <w:drawing>
          <wp:inline distT="0" distB="0" distL="0" distR="0" wp14:anchorId="49CD7DB3" wp14:editId="1CBE7E6E">
            <wp:extent cx="5274310" cy="5861685"/>
            <wp:effectExtent l="0" t="0" r="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5861685"/>
                    </a:xfrm>
                    <a:prstGeom prst="rect">
                      <a:avLst/>
                    </a:prstGeom>
                  </pic:spPr>
                </pic:pic>
              </a:graphicData>
            </a:graphic>
          </wp:inline>
        </w:drawing>
      </w:r>
    </w:p>
    <w:p w14:paraId="7B995C10" w14:textId="7777777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w:t>
      </w:r>
      <w:r w:rsidRPr="003E13FC">
        <w:rPr>
          <w:rFonts w:ascii="Times New Roman Bold" w:hAnsi="Times New Roman Bold" w:cs="Times New Roman Bold" w:hint="eastAsia"/>
          <w:b/>
          <w:bCs/>
          <w:sz w:val="24"/>
        </w:rPr>
        <w:t>9</w:t>
      </w:r>
      <w:r w:rsidRPr="003E13FC">
        <w:rPr>
          <w:rFonts w:ascii="Times New Roman Regular" w:hAnsi="Times New Roman Regular" w:cs="Times New Roman Regular"/>
          <w:sz w:val="24"/>
        </w:rPr>
        <w:t>: Global distribution of CML prevalence (A), incidence (B), deaths (C), DALYs (D), ASPR (E), and ASDALYR (</w:t>
      </w:r>
      <w:r w:rsidRPr="003E13FC">
        <w:rPr>
          <w:rFonts w:ascii="Times New Roman Regular" w:hAnsi="Times New Roman Regular" w:cs="Times New Roman Regular" w:hint="eastAsia"/>
          <w:sz w:val="24"/>
        </w:rPr>
        <w:t>F</w:t>
      </w:r>
      <w:r w:rsidRPr="003E13FC">
        <w:rPr>
          <w:rFonts w:ascii="Times New Roman Regular" w:hAnsi="Times New Roman Regular" w:cs="Times New Roman Regular"/>
          <w:sz w:val="24"/>
        </w:rPr>
        <w:t>) in 2021</w:t>
      </w:r>
      <w:r w:rsidRPr="003E13FC">
        <w:rPr>
          <w:rFonts w:ascii="Times New Roman Regular" w:hAnsi="Times New Roman Regular" w:cs="Times New Roman Regular" w:hint="eastAsia"/>
          <w:sz w:val="24"/>
        </w:rPr>
        <w:t xml:space="preserve"> from GBD</w:t>
      </w:r>
      <w:r w:rsidRPr="003E13FC">
        <w:rPr>
          <w:rFonts w:ascii="Times New Roman Regular" w:hAnsi="Times New Roman Regular" w:cs="Times New Roman Regular"/>
          <w:sz w:val="24"/>
        </w:rPr>
        <w:t>. CML, Chronic myeloid leukemia; DALYs, disability-adjusted life years; ASPR, age-standardized prevalence rate; ASDALYR, age-standardized DALY rate.</w:t>
      </w:r>
    </w:p>
    <w:p w14:paraId="456DC594" w14:textId="10D79099"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Regular" w:hAnsi="Times New Roman Regular" w:cs="Times New Roman Regular"/>
          <w:sz w:val="24"/>
        </w:rPr>
        <w:t xml:space="preserve"> </w:t>
      </w:r>
      <w:r w:rsidR="00351D1C">
        <w:rPr>
          <w:rFonts w:ascii="Times New Roman Regular" w:hAnsi="Times New Roman Regular" w:cs="Times New Roman Regular"/>
          <w:noProof/>
          <w:sz w:val="24"/>
        </w:rPr>
        <w:lastRenderedPageBreak/>
        <w:drawing>
          <wp:inline distT="0" distB="0" distL="0" distR="0" wp14:anchorId="38D2F973" wp14:editId="5B465E45">
            <wp:extent cx="5274310" cy="5776595"/>
            <wp:effectExtent l="0" t="0" r="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5776595"/>
                    </a:xfrm>
                    <a:prstGeom prst="rect">
                      <a:avLst/>
                    </a:prstGeom>
                  </pic:spPr>
                </pic:pic>
              </a:graphicData>
            </a:graphic>
          </wp:inline>
        </w:drawing>
      </w:r>
    </w:p>
    <w:p w14:paraId="1F418AAC" w14:textId="7777777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w:t>
      </w:r>
      <w:r w:rsidRPr="003E13FC">
        <w:rPr>
          <w:rFonts w:ascii="Times New Roman Bold" w:hAnsi="Times New Roman Bold" w:cs="Times New Roman Bold" w:hint="eastAsia"/>
          <w:b/>
          <w:bCs/>
          <w:sz w:val="24"/>
        </w:rPr>
        <w:t>10</w:t>
      </w:r>
      <w:r w:rsidRPr="003E13FC">
        <w:rPr>
          <w:rFonts w:ascii="Times New Roman Regular" w:hAnsi="Times New Roman Regular" w:cs="Times New Roman Regular"/>
          <w:sz w:val="24"/>
        </w:rPr>
        <w:t>: Global distribution of ALL prevalence (A), incidence (B), deaths (C), DALYs (D), ASPR (E), and ASDALYR (</w:t>
      </w:r>
      <w:r w:rsidRPr="003E13FC">
        <w:rPr>
          <w:rFonts w:ascii="Times New Roman Regular" w:hAnsi="Times New Roman Regular" w:cs="Times New Roman Regular" w:hint="eastAsia"/>
          <w:sz w:val="24"/>
        </w:rPr>
        <w:t>F</w:t>
      </w:r>
      <w:r w:rsidRPr="003E13FC">
        <w:rPr>
          <w:rFonts w:ascii="Times New Roman Regular" w:hAnsi="Times New Roman Regular" w:cs="Times New Roman Regular"/>
          <w:sz w:val="24"/>
        </w:rPr>
        <w:t>) in 2021</w:t>
      </w:r>
      <w:r w:rsidRPr="003E13FC">
        <w:rPr>
          <w:rFonts w:ascii="Times New Roman Regular" w:hAnsi="Times New Roman Regular" w:cs="Times New Roman Regular" w:hint="eastAsia"/>
          <w:sz w:val="24"/>
        </w:rPr>
        <w:t xml:space="preserve"> from GBD</w:t>
      </w:r>
      <w:r w:rsidRPr="003E13FC">
        <w:rPr>
          <w:rFonts w:ascii="Times New Roman Regular" w:hAnsi="Times New Roman Regular" w:cs="Times New Roman Regular"/>
          <w:sz w:val="24"/>
        </w:rPr>
        <w:t>. ALL, Acute lymphoid leukemia; DALYs, disability-adjusted life years; ASPR, age-standardized prevalence rate; ASDALYR, age-standardized DALY rate.</w:t>
      </w:r>
    </w:p>
    <w:p w14:paraId="30719C09" w14:textId="6DF49036"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Regular" w:hAnsi="Times New Roman Regular" w:cs="Times New Roman Regular"/>
          <w:sz w:val="24"/>
        </w:rPr>
        <w:t xml:space="preserve"> </w:t>
      </w:r>
      <w:r w:rsidR="00351D1C">
        <w:rPr>
          <w:rFonts w:ascii="Times New Roman Regular" w:hAnsi="Times New Roman Regular" w:cs="Times New Roman Regular"/>
          <w:noProof/>
          <w:sz w:val="24"/>
        </w:rPr>
        <w:lastRenderedPageBreak/>
        <w:drawing>
          <wp:inline distT="0" distB="0" distL="0" distR="0" wp14:anchorId="5A4D663F" wp14:editId="0CF284CE">
            <wp:extent cx="5274310" cy="5876290"/>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5876290"/>
                    </a:xfrm>
                    <a:prstGeom prst="rect">
                      <a:avLst/>
                    </a:prstGeom>
                  </pic:spPr>
                </pic:pic>
              </a:graphicData>
            </a:graphic>
          </wp:inline>
        </w:drawing>
      </w:r>
    </w:p>
    <w:p w14:paraId="117BDDEA" w14:textId="7777777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S1</w:t>
      </w:r>
      <w:r w:rsidRPr="003E13FC">
        <w:rPr>
          <w:rFonts w:ascii="Times New Roman Bold" w:hAnsi="Times New Roman Bold" w:cs="Times New Roman Bold" w:hint="eastAsia"/>
          <w:b/>
          <w:bCs/>
          <w:sz w:val="24"/>
        </w:rPr>
        <w:t>1</w:t>
      </w:r>
      <w:r w:rsidRPr="003E13FC">
        <w:rPr>
          <w:rFonts w:ascii="Times New Roman Regular" w:hAnsi="Times New Roman Regular" w:cs="Times New Roman Regular"/>
          <w:sz w:val="24"/>
        </w:rPr>
        <w:t>: Global distribution of CLL prevalence (A), incidence (B), deaths (C), DALYs (D), ASPR (E), and ASDALYR (</w:t>
      </w:r>
      <w:r w:rsidRPr="003E13FC">
        <w:rPr>
          <w:rFonts w:ascii="Times New Roman Regular" w:hAnsi="Times New Roman Regular" w:cs="Times New Roman Regular" w:hint="eastAsia"/>
          <w:sz w:val="24"/>
        </w:rPr>
        <w:t>F</w:t>
      </w:r>
      <w:r w:rsidRPr="003E13FC">
        <w:rPr>
          <w:rFonts w:ascii="Times New Roman Regular" w:hAnsi="Times New Roman Regular" w:cs="Times New Roman Regular"/>
          <w:sz w:val="24"/>
        </w:rPr>
        <w:t>) in 2021</w:t>
      </w:r>
      <w:r w:rsidRPr="003E13FC">
        <w:rPr>
          <w:rFonts w:ascii="Times New Roman Regular" w:hAnsi="Times New Roman Regular" w:cs="Times New Roman Regular" w:hint="eastAsia"/>
          <w:sz w:val="24"/>
        </w:rPr>
        <w:t xml:space="preserve"> from GBD</w:t>
      </w:r>
      <w:r w:rsidRPr="003E13FC">
        <w:rPr>
          <w:rFonts w:ascii="Times New Roman Regular" w:hAnsi="Times New Roman Regular" w:cs="Times New Roman Regular"/>
          <w:sz w:val="24"/>
        </w:rPr>
        <w:t>. CLL, Chronic lymphoid leukemia; DALYs, disability-adjusted life years; ASPR, age-standardized prevalence rate; ASDALYR, age-standardized DALY rate.</w:t>
      </w:r>
    </w:p>
    <w:p w14:paraId="57FD08E9" w14:textId="24D4BF9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Regular" w:hAnsi="Times New Roman Regular" w:cs="Times New Roman Regular"/>
          <w:sz w:val="24"/>
        </w:rPr>
        <w:t xml:space="preserve"> </w:t>
      </w:r>
      <w:r w:rsidR="00351D1C">
        <w:rPr>
          <w:rFonts w:ascii="Times New Roman Regular" w:hAnsi="Times New Roman Regular" w:cs="Times New Roman Regular"/>
          <w:noProof/>
          <w:sz w:val="24"/>
        </w:rPr>
        <w:lastRenderedPageBreak/>
        <w:drawing>
          <wp:inline distT="0" distB="0" distL="0" distR="0" wp14:anchorId="10C6BBD5" wp14:editId="463B046D">
            <wp:extent cx="5274310" cy="597154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5971540"/>
                    </a:xfrm>
                    <a:prstGeom prst="rect">
                      <a:avLst/>
                    </a:prstGeom>
                  </pic:spPr>
                </pic:pic>
              </a:graphicData>
            </a:graphic>
          </wp:inline>
        </w:drawing>
      </w:r>
    </w:p>
    <w:p w14:paraId="214BC79C" w14:textId="7777777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S1</w:t>
      </w:r>
      <w:r w:rsidRPr="003E13FC">
        <w:rPr>
          <w:rFonts w:ascii="Times New Roman Bold" w:hAnsi="Times New Roman Bold" w:cs="Times New Roman Bold" w:hint="eastAsia"/>
          <w:b/>
          <w:bCs/>
          <w:sz w:val="24"/>
        </w:rPr>
        <w:t>2</w:t>
      </w:r>
      <w:r w:rsidRPr="003E13FC">
        <w:rPr>
          <w:rFonts w:ascii="Times New Roman Regular" w:hAnsi="Times New Roman Regular" w:cs="Times New Roman Regular"/>
          <w:sz w:val="24"/>
        </w:rPr>
        <w:t>: Global distribution of MM prevalence (A), incidence (B), deaths (C), DALYs (D), ASPR (E), and ASDALYR (</w:t>
      </w:r>
      <w:r w:rsidRPr="003E13FC">
        <w:rPr>
          <w:rFonts w:ascii="Times New Roman Regular" w:hAnsi="Times New Roman Regular" w:cs="Times New Roman Regular" w:hint="eastAsia"/>
          <w:sz w:val="24"/>
        </w:rPr>
        <w:t>F</w:t>
      </w:r>
      <w:r w:rsidRPr="003E13FC">
        <w:rPr>
          <w:rFonts w:ascii="Times New Roman Regular" w:hAnsi="Times New Roman Regular" w:cs="Times New Roman Regular"/>
          <w:sz w:val="24"/>
        </w:rPr>
        <w:t>) in 2021</w:t>
      </w:r>
      <w:r w:rsidRPr="003E13FC">
        <w:rPr>
          <w:rFonts w:ascii="Times New Roman Regular" w:hAnsi="Times New Roman Regular" w:cs="Times New Roman Regular" w:hint="eastAsia"/>
          <w:sz w:val="24"/>
        </w:rPr>
        <w:t xml:space="preserve"> from GBD</w:t>
      </w:r>
      <w:r w:rsidRPr="003E13FC">
        <w:rPr>
          <w:rFonts w:ascii="Times New Roman Regular" w:hAnsi="Times New Roman Regular" w:cs="Times New Roman Regular"/>
          <w:sz w:val="24"/>
        </w:rPr>
        <w:t>. MM, Multiple myeloma; DALYs, disability-adjusted life years; ASPR, age-standardized prevalence rate; ASDALYR, age-standardized DALY rate.</w:t>
      </w:r>
    </w:p>
    <w:p w14:paraId="733573E6" w14:textId="5412432F"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Regular" w:hAnsi="Times New Roman Regular" w:cs="Times New Roman Regular"/>
          <w:sz w:val="24"/>
        </w:rPr>
        <w:t xml:space="preserve"> </w:t>
      </w:r>
      <w:r w:rsidR="00351D1C">
        <w:rPr>
          <w:rFonts w:ascii="Times New Roman Regular" w:hAnsi="Times New Roman Regular" w:cs="Times New Roman Regular"/>
          <w:noProof/>
          <w:sz w:val="24"/>
        </w:rPr>
        <w:lastRenderedPageBreak/>
        <w:drawing>
          <wp:inline distT="0" distB="0" distL="0" distR="0" wp14:anchorId="5BA85384" wp14:editId="7809E70A">
            <wp:extent cx="5274310" cy="586994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5869940"/>
                    </a:xfrm>
                    <a:prstGeom prst="rect">
                      <a:avLst/>
                    </a:prstGeom>
                  </pic:spPr>
                </pic:pic>
              </a:graphicData>
            </a:graphic>
          </wp:inline>
        </w:drawing>
      </w:r>
    </w:p>
    <w:p w14:paraId="64AC42A7" w14:textId="7777777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w:t>
      </w:r>
      <w:r w:rsidRPr="003E13FC">
        <w:rPr>
          <w:rFonts w:ascii="Times New Roman Bold" w:hAnsi="Times New Roman Bold" w:cs="Times New Roman Bold" w:hint="eastAsia"/>
          <w:b/>
          <w:bCs/>
          <w:sz w:val="24"/>
        </w:rPr>
        <w:t>13</w:t>
      </w:r>
      <w:r w:rsidRPr="003E13FC">
        <w:rPr>
          <w:rFonts w:ascii="Times New Roman Regular" w:hAnsi="Times New Roman Regular" w:cs="Times New Roman Regular"/>
          <w:sz w:val="24"/>
        </w:rPr>
        <w:t>:</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 xml:space="preserve">Distribution of </w:t>
      </w:r>
      <w:r w:rsidRPr="003E13FC">
        <w:rPr>
          <w:rFonts w:ascii="Times New Roman Regular" w:hAnsi="Times New Roman Regular" w:cs="Times New Roman Regular"/>
          <w:color w:val="242021"/>
          <w:sz w:val="24"/>
        </w:rPr>
        <w:t>prevalence</w:t>
      </w:r>
      <w:r w:rsidRPr="003E13FC">
        <w:rPr>
          <w:rFonts w:ascii="Times New Roman Regular" w:hAnsi="Times New Roman Regular" w:cs="Times New Roman Regular"/>
          <w:sz w:val="24"/>
        </w:rPr>
        <w:t xml:space="preserve"> by gender, age group, SDI regions</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in 2021</w:t>
      </w:r>
      <w:r w:rsidRPr="003E13FC">
        <w:rPr>
          <w:rFonts w:ascii="Times New Roman Regular" w:hAnsi="Times New Roman Regular" w:cs="Times New Roman Regular" w:hint="eastAsia"/>
          <w:sz w:val="24"/>
        </w:rPr>
        <w:t xml:space="preserve"> from GBD</w:t>
      </w:r>
      <w:r w:rsidRPr="003E13FC">
        <w:rPr>
          <w:rFonts w:ascii="Times New Roman Regular" w:hAnsi="Times New Roman Regular" w:cs="Times New Roman Regular"/>
          <w:sz w:val="24"/>
        </w:rPr>
        <w:t>. (A): HL, (B):</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NHL, (C):</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AML, (D):</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CML, (E):</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ALL, (F):</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CLL, (G):</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MM</w:t>
      </w:r>
      <w:r w:rsidRPr="003E13FC">
        <w:rPr>
          <w:rFonts w:ascii="Times New Roman" w:hAnsi="Times New Roman"/>
          <w:sz w:val="24"/>
        </w:rPr>
        <w:t>.</w:t>
      </w:r>
      <w:r w:rsidRPr="003E13FC">
        <w:rPr>
          <w:rFonts w:ascii="Times New Roman Regular" w:hAnsi="Times New Roman Regular" w:cs="Times New Roman Regular"/>
          <w:color w:val="242021"/>
          <w:sz w:val="24"/>
        </w:rPr>
        <w:t xml:space="preserve"> </w:t>
      </w:r>
      <w:r w:rsidRPr="003E13FC">
        <w:rPr>
          <w:rFonts w:ascii="Times New Roman Regular" w:hAnsi="Times New Roman Regular" w:cs="Times New Roman Regular"/>
          <w:sz w:val="24"/>
        </w:rPr>
        <w:t>HL, Hodgkin lymphoma; NHL, Non−Hodgkin lymphoma; AML, Acute myeloid leukemia; CML, Chronic myeloid leukemia; ALL, Acute lymphoid leukemia; CLL, Chronic lymphoid leukemia; MM, Multiple myeloma; DALYs, disability-adjusted life years; SDI, socio-demographic index.</w:t>
      </w:r>
    </w:p>
    <w:p w14:paraId="3F85E380" w14:textId="0616CEA0"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Regular" w:hAnsi="Times New Roman Regular" w:cs="Times New Roman Regular"/>
          <w:sz w:val="24"/>
        </w:rPr>
        <w:t xml:space="preserve"> </w:t>
      </w:r>
      <w:r w:rsidR="00351D1C">
        <w:rPr>
          <w:rFonts w:ascii="Times New Roman Regular" w:hAnsi="Times New Roman Regular" w:cs="Times New Roman Regular"/>
          <w:noProof/>
          <w:sz w:val="24"/>
        </w:rPr>
        <w:lastRenderedPageBreak/>
        <w:drawing>
          <wp:inline distT="0" distB="0" distL="0" distR="0" wp14:anchorId="34018C38" wp14:editId="5C0474DC">
            <wp:extent cx="5274310" cy="3893185"/>
            <wp:effectExtent l="0" t="0" r="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893185"/>
                    </a:xfrm>
                    <a:prstGeom prst="rect">
                      <a:avLst/>
                    </a:prstGeom>
                  </pic:spPr>
                </pic:pic>
              </a:graphicData>
            </a:graphic>
          </wp:inline>
        </w:drawing>
      </w:r>
    </w:p>
    <w:p w14:paraId="0E756F62" w14:textId="7777777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w:t>
      </w:r>
      <w:r w:rsidRPr="003E13FC">
        <w:rPr>
          <w:rFonts w:ascii="Times New Roman Bold" w:hAnsi="Times New Roman Bold" w:cs="Times New Roman Bold" w:hint="eastAsia"/>
          <w:b/>
          <w:bCs/>
          <w:sz w:val="24"/>
        </w:rPr>
        <w:t>14</w:t>
      </w:r>
      <w:r w:rsidRPr="003E13FC">
        <w:rPr>
          <w:rFonts w:ascii="Times New Roman Regular" w:hAnsi="Times New Roman Regular" w:cs="Times New Roman Regular"/>
          <w:sz w:val="24"/>
        </w:rPr>
        <w:t>:</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 xml:space="preserve">Global trends in ASPR </w:t>
      </w:r>
      <w:r w:rsidRPr="003E13FC">
        <w:rPr>
          <w:rFonts w:ascii="Times New Roman Regular" w:hAnsi="Times New Roman Regular" w:cs="Times New Roman Regular" w:hint="eastAsia"/>
          <w:sz w:val="24"/>
        </w:rPr>
        <w:t>in 1990-2021 from GBD</w:t>
      </w:r>
      <w:r w:rsidRPr="003E13FC">
        <w:rPr>
          <w:rFonts w:ascii="Times New Roman Regular" w:hAnsi="Times New Roman Regular" w:cs="Times New Roman Regular"/>
          <w:sz w:val="24"/>
        </w:rPr>
        <w:t>. The Rho values indicate the strength of the correlation between the ASPR and SDI in HL (A), NHL (B), AML (C), CML (D), ALL (E), CLL (F), and MM (G). HL, Hodgkin lymphoma; NHL, Non−Hodgkin lymphoma; AML, Acute myeloid leukemia; CML, Chronic myeloid leukemia; ALL, Acute lymphoid leukemia; CLL, Chronic lymphoid leukemia; MM, Multiple myeloma; DALYs, disability-adjusted life years; ASPR, age-standardized prevalence rate; ASIR, age-standardized incidence rate; ASDR, age-standardized death rate; ASDALYR, age-standardized DALY rate; SDI, socio-demographic index.</w:t>
      </w:r>
    </w:p>
    <w:p w14:paraId="4A3EB9D3" w14:textId="424DB307" w:rsidR="003E13FC" w:rsidRPr="003E13FC" w:rsidRDefault="003E13FC" w:rsidP="003E13FC">
      <w:pPr>
        <w:spacing w:line="480" w:lineRule="auto"/>
        <w:rPr>
          <w:rFonts w:ascii="Times New Roman Regular" w:hAnsi="Times New Roman Regular" w:cs="Times New Roman Regular"/>
          <w:sz w:val="24"/>
        </w:rPr>
      </w:pPr>
      <w:r w:rsidRPr="003E13FC">
        <w:rPr>
          <w:rFonts w:ascii="Times New Roman Regular" w:hAnsi="Times New Roman Regular" w:cs="Times New Roman Regular"/>
          <w:sz w:val="24"/>
        </w:rPr>
        <w:t xml:space="preserve"> </w:t>
      </w:r>
      <w:r w:rsidR="00351D1C">
        <w:rPr>
          <w:rFonts w:ascii="Times New Roman Regular" w:hAnsi="Times New Roman Regular" w:cs="Times New Roman Regular"/>
          <w:noProof/>
          <w:sz w:val="24"/>
        </w:rPr>
        <w:lastRenderedPageBreak/>
        <w:drawing>
          <wp:inline distT="0" distB="0" distL="0" distR="0" wp14:anchorId="39D9E18B" wp14:editId="6F8FEE8D">
            <wp:extent cx="5274310" cy="47498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4749800"/>
                    </a:xfrm>
                    <a:prstGeom prst="rect">
                      <a:avLst/>
                    </a:prstGeom>
                  </pic:spPr>
                </pic:pic>
              </a:graphicData>
            </a:graphic>
          </wp:inline>
        </w:drawing>
      </w:r>
    </w:p>
    <w:p w14:paraId="636BA878" w14:textId="77777777" w:rsidR="003E13FC" w:rsidRDefault="003E13FC" w:rsidP="003E13FC">
      <w:pPr>
        <w:spacing w:line="480" w:lineRule="auto"/>
        <w:rPr>
          <w:rFonts w:ascii="Times New Roman Regular" w:hAnsi="Times New Roman Regular" w:cs="Times New Roman Regular"/>
          <w:sz w:val="24"/>
        </w:rPr>
      </w:pPr>
      <w:r w:rsidRPr="003E13FC">
        <w:rPr>
          <w:rFonts w:ascii="Times New Roman Bold" w:hAnsi="Times New Roman Bold" w:cs="Times New Roman Bold"/>
          <w:b/>
          <w:bCs/>
          <w:sz w:val="24"/>
        </w:rPr>
        <w:t>Figure S</w:t>
      </w:r>
      <w:r w:rsidRPr="003E13FC">
        <w:rPr>
          <w:rFonts w:ascii="Times New Roman Bold" w:hAnsi="Times New Roman Bold" w:cs="Times New Roman Bold" w:hint="eastAsia"/>
          <w:b/>
          <w:bCs/>
          <w:sz w:val="24"/>
        </w:rPr>
        <w:t>15</w:t>
      </w:r>
      <w:r w:rsidRPr="003E13FC">
        <w:rPr>
          <w:rFonts w:ascii="Times New Roman Regular" w:hAnsi="Times New Roman Regular" w:cs="Times New Roman Regular"/>
          <w:sz w:val="24"/>
        </w:rPr>
        <w:t>:</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Future forecasts of GBD in ASIR and ASDALYR in 2021</w:t>
      </w:r>
      <w:r w:rsidRPr="003E13FC">
        <w:rPr>
          <w:rFonts w:ascii="Times New Roman Regular" w:hAnsi="Times New Roman Regular" w:cs="Times New Roman Regular" w:hint="eastAsia"/>
          <w:sz w:val="24"/>
        </w:rPr>
        <w:t>-</w:t>
      </w:r>
      <w:r w:rsidRPr="003E13FC">
        <w:rPr>
          <w:rFonts w:ascii="Times New Roman Regular" w:hAnsi="Times New Roman Regular" w:cs="Times New Roman Regular"/>
          <w:sz w:val="24"/>
        </w:rPr>
        <w:t>2040 by gender. (A): HL, (B):</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NHL, (C):</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AML, (D):</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CML, (E):</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ALL, (F):</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CLL, (G):</w:t>
      </w:r>
      <w:r w:rsidRPr="003E13FC">
        <w:rPr>
          <w:rFonts w:ascii="Times New Roman Regular" w:hAnsi="Times New Roman Regular" w:cs="Times New Roman Regular" w:hint="eastAsia"/>
          <w:sz w:val="24"/>
        </w:rPr>
        <w:t xml:space="preserve"> </w:t>
      </w:r>
      <w:r w:rsidRPr="003E13FC">
        <w:rPr>
          <w:rFonts w:ascii="Times New Roman Regular" w:hAnsi="Times New Roman Regular" w:cs="Times New Roman Regular"/>
          <w:sz w:val="24"/>
        </w:rPr>
        <w:t>MM</w:t>
      </w:r>
      <w:r w:rsidRPr="003E13FC">
        <w:rPr>
          <w:rFonts w:ascii="Times New Roman" w:hAnsi="Times New Roman"/>
          <w:sz w:val="24"/>
        </w:rPr>
        <w:t>.</w:t>
      </w:r>
      <w:r w:rsidRPr="003E13FC">
        <w:rPr>
          <w:rFonts w:ascii="Times New Roman Regular" w:hAnsi="Times New Roman Regular" w:cs="Times New Roman Regular"/>
          <w:sz w:val="24"/>
        </w:rPr>
        <w:t xml:space="preserve"> HL, Hodgkin lymphoma; NHL, Non−Hodgkin lymphoma; AML, Acute myeloid leukemia; CML, Chronic myeloid leukemia; ALL, Acute lymphoid leukemia; CLL, Chronic lymphoid leukemia; MM, Multiple myeloma; ASIR, age-standardized incidence rate; ASDALYR, age-standardized DALY rate.</w:t>
      </w:r>
    </w:p>
    <w:p w14:paraId="695AD009" w14:textId="3B976005" w:rsidR="001A2F47" w:rsidRDefault="004745C3" w:rsidP="003E13FC">
      <w:pPr>
        <w:spacing w:line="480" w:lineRule="auto"/>
        <w:rPr>
          <w:rFonts w:ascii="Times New Roman Regular" w:hAnsi="Times New Roman Regular" w:cs="Times New Roman Regular"/>
          <w:sz w:val="20"/>
          <w:szCs w:val="20"/>
        </w:rPr>
      </w:pPr>
      <w:r>
        <w:rPr>
          <w:rFonts w:ascii="Times New Roman Regular" w:hAnsi="Times New Roman Regular" w:cs="Times New Roman Regular"/>
          <w:noProof/>
          <w:sz w:val="20"/>
          <w:szCs w:val="20"/>
        </w:rPr>
        <w:lastRenderedPageBreak/>
        <w:drawing>
          <wp:inline distT="0" distB="0" distL="0" distR="0" wp14:anchorId="394B6EA4" wp14:editId="2C57CE14">
            <wp:extent cx="5274310" cy="580898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5808980"/>
                    </a:xfrm>
                    <a:prstGeom prst="rect">
                      <a:avLst/>
                    </a:prstGeom>
                  </pic:spPr>
                </pic:pic>
              </a:graphicData>
            </a:graphic>
          </wp:inline>
        </w:drawing>
      </w:r>
    </w:p>
    <w:sectPr w:rsidR="001A2F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default"/>
    <w:sig w:usb0="E0002AEF" w:usb1="C0007841" w:usb2="00000009" w:usb3="00000000" w:csb0="400001FF" w:csb1="FFFF0000"/>
  </w:font>
  <w:font w:name="Times New Roman Regular">
    <w:altName w:val="Times New Roman"/>
    <w:panose1 w:val="020B0604020202020204"/>
    <w:charset w:val="00"/>
    <w:family w:val="auto"/>
    <w:pitch w:val="default"/>
    <w:sig w:usb0="E0002AEF" w:usb1="C0007841" w:usb2="00000009" w:usb3="00000000" w:csb0="400001FF" w:csb1="FFFF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7316C"/>
    <w:multiLevelType w:val="multilevel"/>
    <w:tmpl w:val="1AF7316C"/>
    <w:lvl w:ilvl="0">
      <w:start w:val="1"/>
      <w:numFmt w:val="decimal"/>
      <w:pStyle w:val="1"/>
      <w:lvlText w:val="%1."/>
      <w:lvlJc w:val="left"/>
      <w:pPr>
        <w:ind w:left="704" w:hanging="420"/>
      </w:pPr>
      <w:rPr>
        <w:rFonts w:hint="default"/>
      </w:rPr>
    </w:lvl>
    <w:lvl w:ilvl="1">
      <w:start w:val="1"/>
      <w:numFmt w:val="decimal"/>
      <w:pStyle w:val="2"/>
      <w:lvlText w:val="%1.%2"/>
      <w:lvlJc w:val="left"/>
      <w:pPr>
        <w:ind w:left="717" w:hanging="575"/>
      </w:pPr>
      <w:rPr>
        <w:rFonts w:ascii="黑体" w:eastAsia="黑体" w:hAnsi="黑体" w:hint="default"/>
      </w:rPr>
    </w:lvl>
    <w:lvl w:ilvl="2">
      <w:start w:val="1"/>
      <w:numFmt w:val="decimal"/>
      <w:pStyle w:val="3"/>
      <w:lvlText w:val="%1.%2.%3"/>
      <w:lvlJc w:val="left"/>
      <w:pPr>
        <w:ind w:left="862" w:hanging="720"/>
      </w:pPr>
      <w:rPr>
        <w:rFonts w:ascii="宋体" w:eastAsia="宋体" w:hAnsi="宋体" w:cs="宋体" w:hint="default"/>
      </w:rPr>
    </w:lvl>
    <w:lvl w:ilvl="3">
      <w:start w:val="1"/>
      <w:numFmt w:val="decimal"/>
      <w:pStyle w:val="4"/>
      <w:lvlText w:val="%1.%2.%3.%4"/>
      <w:lvlJc w:val="left"/>
      <w:pPr>
        <w:ind w:left="864" w:hanging="864"/>
      </w:pPr>
      <w:rPr>
        <w:rFonts w:ascii="宋体" w:eastAsia="宋体" w:hAnsi="宋体" w:cs="宋体" w:hint="default"/>
      </w:rPr>
    </w:lvl>
    <w:lvl w:ilvl="4">
      <w:start w:val="1"/>
      <w:numFmt w:val="decimal"/>
      <w:pStyle w:val="5"/>
      <w:lvlText w:val="%1.%2.%3.%4.%5."/>
      <w:lvlJc w:val="left"/>
      <w:pPr>
        <w:ind w:left="1008" w:hanging="1008"/>
      </w:pPr>
      <w:rPr>
        <w:rFonts w:ascii="宋体" w:eastAsia="宋体" w:hAnsi="宋体" w:cs="宋体"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DB5A902A"/>
    <w:rsid w:val="C7F74F84"/>
    <w:rsid w:val="CCED7CFD"/>
    <w:rsid w:val="DB5A902A"/>
    <w:rsid w:val="EFBB4767"/>
    <w:rsid w:val="FEFF0EB5"/>
    <w:rsid w:val="00181186"/>
    <w:rsid w:val="001A2F47"/>
    <w:rsid w:val="001E7D43"/>
    <w:rsid w:val="00351D1C"/>
    <w:rsid w:val="00371F96"/>
    <w:rsid w:val="003E13FC"/>
    <w:rsid w:val="004745C3"/>
    <w:rsid w:val="006E1F53"/>
    <w:rsid w:val="00835F9B"/>
    <w:rsid w:val="00B220B2"/>
    <w:rsid w:val="00BB16EF"/>
    <w:rsid w:val="00F46E9E"/>
    <w:rsid w:val="2FAC9AEC"/>
    <w:rsid w:val="5BAD0FD8"/>
    <w:rsid w:val="6FBA7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783F80D"/>
  <w15:docId w15:val="{65DF56ED-FE92-AB46-ABDC-9FC8ED57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numPr>
        <w:numId w:val="1"/>
      </w:numPr>
      <w:spacing w:beforeLines="200" w:before="200" w:afterLines="100" w:after="100"/>
      <w:ind w:left="0" w:firstLine="0"/>
      <w:outlineLvl w:val="0"/>
    </w:pPr>
    <w:rPr>
      <w:rFonts w:ascii="Times New Roman" w:eastAsia="黑体" w:hAnsi="Times New Roman" w:cs="宋体"/>
      <w:bCs/>
      <w:kern w:val="44"/>
      <w:sz w:val="28"/>
      <w:szCs w:val="44"/>
    </w:rPr>
  </w:style>
  <w:style w:type="paragraph" w:styleId="2">
    <w:name w:val="heading 2"/>
    <w:basedOn w:val="a"/>
    <w:next w:val="a"/>
    <w:link w:val="20"/>
    <w:semiHidden/>
    <w:unhideWhenUsed/>
    <w:qFormat/>
    <w:pPr>
      <w:numPr>
        <w:ilvl w:val="1"/>
        <w:numId w:val="1"/>
      </w:numPr>
      <w:spacing w:beforeLines="100" w:before="100" w:afterLines="100" w:after="100"/>
      <w:jc w:val="left"/>
      <w:outlineLvl w:val="1"/>
    </w:pPr>
    <w:rPr>
      <w:rFonts w:ascii="Times New Roman" w:eastAsia="黑体" w:hAnsi="Times New Roman" w:cs="宋体"/>
      <w:bCs/>
      <w:sz w:val="28"/>
      <w:szCs w:val="32"/>
    </w:rPr>
  </w:style>
  <w:style w:type="paragraph" w:styleId="3">
    <w:name w:val="heading 3"/>
    <w:basedOn w:val="a"/>
    <w:next w:val="a"/>
    <w:link w:val="30"/>
    <w:semiHidden/>
    <w:unhideWhenUsed/>
    <w:qFormat/>
    <w:pPr>
      <w:numPr>
        <w:ilvl w:val="2"/>
        <w:numId w:val="1"/>
      </w:numPr>
      <w:outlineLvl w:val="2"/>
    </w:pPr>
    <w:rPr>
      <w:rFonts w:ascii="Times New Roman" w:eastAsia="宋体" w:hAnsi="Times New Roman" w:cs="宋体"/>
      <w:b/>
      <w:bCs/>
      <w:sz w:val="24"/>
      <w:szCs w:val="32"/>
    </w:rPr>
  </w:style>
  <w:style w:type="paragraph" w:styleId="4">
    <w:name w:val="heading 4"/>
    <w:basedOn w:val="a"/>
    <w:next w:val="a"/>
    <w:semiHidden/>
    <w:unhideWhenUsed/>
    <w:qFormat/>
    <w:pPr>
      <w:keepNext/>
      <w:keepLines/>
      <w:numPr>
        <w:ilvl w:val="3"/>
        <w:numId w:val="1"/>
      </w:numPr>
      <w:spacing w:before="280" w:after="290" w:line="372" w:lineRule="auto"/>
      <w:outlineLvl w:val="3"/>
    </w:pPr>
    <w:rPr>
      <w:rFonts w:ascii="Arial" w:eastAsia="黑体" w:hAnsi="Arial"/>
      <w:b/>
      <w:sz w:val="28"/>
    </w:rPr>
  </w:style>
  <w:style w:type="paragraph" w:styleId="5">
    <w:name w:val="heading 5"/>
    <w:basedOn w:val="a"/>
    <w:next w:val="a"/>
    <w:semiHidden/>
    <w:unhideWhenUsed/>
    <w:qFormat/>
    <w:pPr>
      <w:keepNext/>
      <w:keepLines/>
      <w:numPr>
        <w:ilvl w:val="4"/>
        <w:numId w:val="1"/>
      </w:numPr>
      <w:spacing w:before="280" w:after="290" w:line="372" w:lineRule="auto"/>
      <w:outlineLvl w:val="4"/>
    </w:pPr>
    <w:rPr>
      <w:b/>
      <w:sz w:val="28"/>
    </w:rPr>
  </w:style>
  <w:style w:type="paragraph" w:styleId="6">
    <w:name w:val="heading 6"/>
    <w:basedOn w:val="a"/>
    <w:next w:val="a"/>
    <w:semiHidden/>
    <w:unhideWhenUsed/>
    <w:qFormat/>
    <w:pPr>
      <w:keepNext/>
      <w:keepLines/>
      <w:numPr>
        <w:ilvl w:val="5"/>
        <w:numId w:val="1"/>
      </w:numPr>
      <w:spacing w:before="240" w:after="64" w:line="317" w:lineRule="auto"/>
      <w:outlineLvl w:val="5"/>
    </w:pPr>
    <w:rPr>
      <w:rFonts w:ascii="Arial" w:eastAsia="黑体" w:hAnsi="Arial"/>
      <w:b/>
      <w:sz w:val="24"/>
    </w:rPr>
  </w:style>
  <w:style w:type="paragraph" w:styleId="7">
    <w:name w:val="heading 7"/>
    <w:basedOn w:val="a"/>
    <w:next w:val="a"/>
    <w:semiHidden/>
    <w:unhideWhenUsed/>
    <w:qFormat/>
    <w:pPr>
      <w:keepNext/>
      <w:keepLines/>
      <w:numPr>
        <w:ilvl w:val="6"/>
        <w:numId w:val="1"/>
      </w:numPr>
      <w:spacing w:before="240" w:after="64" w:line="317" w:lineRule="auto"/>
      <w:outlineLvl w:val="6"/>
    </w:pPr>
    <w:rPr>
      <w:b/>
      <w:sz w:val="24"/>
    </w:rPr>
  </w:style>
  <w:style w:type="paragraph" w:styleId="8">
    <w:name w:val="heading 8"/>
    <w:basedOn w:val="a"/>
    <w:next w:val="a"/>
    <w:semiHidden/>
    <w:unhideWhenUsed/>
    <w:qFormat/>
    <w:pPr>
      <w:keepNext/>
      <w:keepLines/>
      <w:numPr>
        <w:ilvl w:val="7"/>
        <w:numId w:val="1"/>
      </w:numPr>
      <w:spacing w:before="240" w:after="64" w:line="317" w:lineRule="auto"/>
      <w:outlineLvl w:val="7"/>
    </w:pPr>
    <w:rPr>
      <w:rFonts w:ascii="Arial" w:eastAsia="黑体" w:hAnsi="Arial"/>
      <w:sz w:val="24"/>
    </w:rPr>
  </w:style>
  <w:style w:type="paragraph" w:styleId="9">
    <w:name w:val="heading 9"/>
    <w:basedOn w:val="a"/>
    <w:next w:val="a"/>
    <w:semiHidden/>
    <w:unhideWhenUsed/>
    <w:qFormat/>
    <w:pPr>
      <w:keepNext/>
      <w:keepLines/>
      <w:numPr>
        <w:ilvl w:val="8"/>
        <w:numId w:val="1"/>
      </w:numPr>
      <w:spacing w:before="240" w:after="64" w:line="317" w:lineRule="auto"/>
      <w:outlineLvl w:val="8"/>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Pr>
      <w:rFonts w:ascii="Times New Roman" w:eastAsia="黑体" w:hAnsi="Times New Roman" w:cs="宋体"/>
      <w:bCs/>
      <w:kern w:val="44"/>
      <w:sz w:val="28"/>
      <w:szCs w:val="44"/>
    </w:rPr>
  </w:style>
  <w:style w:type="character" w:customStyle="1" w:styleId="30">
    <w:name w:val="标题 3 字符"/>
    <w:basedOn w:val="a0"/>
    <w:link w:val="3"/>
    <w:uiPriority w:val="9"/>
    <w:qFormat/>
    <w:rPr>
      <w:rFonts w:ascii="Times New Roman" w:eastAsia="宋体" w:hAnsi="Times New Roman" w:cs="宋体"/>
      <w:b/>
      <w:bCs/>
      <w:kern w:val="2"/>
      <w:sz w:val="24"/>
      <w:szCs w:val="32"/>
    </w:rPr>
  </w:style>
  <w:style w:type="character" w:customStyle="1" w:styleId="20">
    <w:name w:val="标题 2 字符"/>
    <w:basedOn w:val="a0"/>
    <w:link w:val="2"/>
    <w:uiPriority w:val="9"/>
    <w:qFormat/>
    <w:rPr>
      <w:rFonts w:ascii="Times New Roman" w:eastAsia="黑体" w:hAnsi="Times New Roman" w:cs="宋体"/>
      <w:bCs/>
      <w:kern w:val="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226909">
      <w:bodyDiv w:val="1"/>
      <w:marLeft w:val="0"/>
      <w:marRight w:val="0"/>
      <w:marTop w:val="0"/>
      <w:marBottom w:val="0"/>
      <w:divBdr>
        <w:top w:val="none" w:sz="0" w:space="0" w:color="auto"/>
        <w:left w:val="none" w:sz="0" w:space="0" w:color="auto"/>
        <w:bottom w:val="none" w:sz="0" w:space="0" w:color="auto"/>
        <w:right w:val="none" w:sz="0" w:space="0" w:color="auto"/>
      </w:divBdr>
    </w:div>
    <w:div w:id="1793740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18" Type="http://schemas.openxmlformats.org/officeDocument/2006/relationships/image" Target="media/image14.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tiff"/><Relationship Id="rId12" Type="http://schemas.openxmlformats.org/officeDocument/2006/relationships/image" Target="media/image8.tiff"/><Relationship Id="rId17" Type="http://schemas.openxmlformats.org/officeDocument/2006/relationships/image" Target="media/image13.tiff"/><Relationship Id="rId2" Type="http://schemas.openxmlformats.org/officeDocument/2006/relationships/styles" Target="styles.xml"/><Relationship Id="rId16" Type="http://schemas.openxmlformats.org/officeDocument/2006/relationships/image" Target="media/image12.tif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image" Target="media/image11.tiff"/><Relationship Id="rId10" Type="http://schemas.openxmlformats.org/officeDocument/2006/relationships/image" Target="media/image6.tiff"/><Relationship Id="rId19" Type="http://schemas.openxmlformats.org/officeDocument/2006/relationships/image" Target="media/image15.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tif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17</Pages>
  <Words>912</Words>
  <Characters>5200</Characters>
  <Application>Microsoft Office Word</Application>
  <DocSecurity>0</DocSecurity>
  <Lines>43</Lines>
  <Paragraphs>12</Paragraphs>
  <ScaleCrop>false</ScaleCrop>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糊里糊涂的忽悠</dc:creator>
  <cp:lastModifiedBy>潘 涛</cp:lastModifiedBy>
  <cp:revision>12</cp:revision>
  <dcterms:created xsi:type="dcterms:W3CDTF">2025-03-03T17:37:00Z</dcterms:created>
  <dcterms:modified xsi:type="dcterms:W3CDTF">2025-05-09T07:17:00Z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2052-6.5.0.8619</vt:lpwstr>
  </property>
  <property fmtid="{D5CDD505-2E9C-101B-9397-08002B2CF9AE}" pid="3" name="ICV">
    <vt:lpwstr>D323F0CA281ADC955697C4678B277D36_41</vt:lpwstr>
  </property>
</Properties>
</file>