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宋体" w:cs="Times New Roman"/>
          <w:b/>
          <w:bCs/>
          <w:color w:val="000000"/>
          <w:kern w:val="0"/>
          <w:sz w:val="24"/>
          <w:szCs w:val="24"/>
          <w:lang w:val="en-US" w:eastAsia="zh-CN" w:bidi="ar"/>
        </w:rPr>
        <w:t>Table S</w:t>
      </w:r>
      <w:r>
        <w:rPr>
          <w:rFonts w:hint="eastAsia" w:ascii="Times New Roman" w:hAnsi="Times New Roman" w:eastAsia="宋体" w:cs="Times New Roman"/>
          <w:b/>
          <w:bCs/>
          <w:color w:val="000000"/>
          <w:kern w:val="0"/>
          <w:sz w:val="24"/>
          <w:szCs w:val="24"/>
          <w:lang w:val="en-US" w:eastAsia="zh-CN" w:bidi="ar"/>
        </w:rPr>
        <w:t>1</w:t>
      </w:r>
      <w:r>
        <w:rPr>
          <w:rFonts w:hint="default" w:ascii="Times New Roman" w:hAnsi="Times New Roman" w:eastAsia="宋体" w:cs="Times New Roman"/>
          <w:b/>
          <w:bCs/>
          <w:color w:val="000000"/>
          <w:kern w:val="0"/>
          <w:sz w:val="24"/>
          <w:szCs w:val="24"/>
          <w:lang w:val="en-US" w:eastAsia="zh-CN" w:bidi="ar"/>
        </w:rPr>
        <w:t xml:space="preserve">. </w:t>
      </w: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>Summary of the crucial disparities between GBD 2021 and GLOBOCAN 2022.</w:t>
      </w:r>
    </w:p>
    <w:tbl>
      <w:tblPr>
        <w:tblStyle w:val="11"/>
        <w:tblpPr w:leftFromText="180" w:rightFromText="180" w:vertAnchor="text" w:horzAnchor="page" w:tblpX="474" w:tblpY="476"/>
        <w:tblOverlap w:val="never"/>
        <w:tblW w:w="11374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74"/>
        <w:gridCol w:w="4506"/>
        <w:gridCol w:w="4194"/>
      </w:tblGrid>
      <w:tr>
        <w:trPr>
          <w:trHeight w:val="352" w:hRule="atLeast"/>
        </w:trPr>
        <w:tc>
          <w:tcPr>
            <w:tcW w:w="2674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Times New Roman Regular" w:hAnsi="Times New Roman Regular" w:eastAsia="Times New Roman Regular" w:cs="Times New Roman Regular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506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Bold" w:hAnsi="Times New Roman Bold" w:eastAsia="Times New Roman Regular" w:cs="Times New Roman Bold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GBD 2021</w:t>
            </w:r>
          </w:p>
        </w:tc>
        <w:tc>
          <w:tcPr>
            <w:tcW w:w="4194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Bold" w:hAnsi="Times New Roman Bold" w:eastAsia="Times New Roman Regular" w:cs="Times New Roman Bold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GLOBOCAN 2022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720" w:hRule="atLeast"/>
        </w:trPr>
        <w:tc>
          <w:tcPr>
            <w:tcW w:w="2674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Bold" w:hAnsi="Times New Roman Bold" w:eastAsia="Times New Roman Regular" w:cs="Times New Roman Bold"/>
                <w:b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Organization</w:t>
            </w:r>
          </w:p>
        </w:tc>
        <w:tc>
          <w:tcPr>
            <w:tcW w:w="4506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Institute for Health Metrics and Evaluation</w:t>
            </w:r>
          </w:p>
        </w:tc>
        <w:tc>
          <w:tcPr>
            <w:tcW w:w="4194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International Agency for Research on Cancer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99" w:hRule="atLeast"/>
        </w:trPr>
        <w:tc>
          <w:tcPr>
            <w:tcW w:w="2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Bold" w:hAnsi="Times New Roman Bold" w:eastAsia="Times New Roman Regular" w:cs="Times New Roman Bold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Bold" w:hAnsi="Times New Roman Bold" w:eastAsia="Times New Roman Regular" w:cs="Times New Roman Bold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Region</w:t>
            </w:r>
          </w:p>
        </w:tc>
        <w:tc>
          <w:tcPr>
            <w:tcW w:w="4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204 countries and territories</w:t>
            </w:r>
          </w:p>
        </w:tc>
        <w:tc>
          <w:tcPr>
            <w:tcW w:w="4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185 countries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60" w:hRule="atLeast"/>
        </w:trPr>
        <w:tc>
          <w:tcPr>
            <w:tcW w:w="2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Bold" w:hAnsi="Times New Roman Bold" w:eastAsia="Times New Roman Regular" w:cs="Times New Roman Bold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Bold" w:hAnsi="Times New Roman Bold" w:eastAsia="Times New Roman Regular" w:cs="Times New Roman Bold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Years</w:t>
            </w:r>
          </w:p>
        </w:tc>
        <w:tc>
          <w:tcPr>
            <w:tcW w:w="4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1990-2021</w:t>
            </w:r>
          </w:p>
        </w:tc>
        <w:tc>
          <w:tcPr>
            <w:tcW w:w="4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720" w:hRule="atLeast"/>
        </w:trPr>
        <w:tc>
          <w:tcPr>
            <w:tcW w:w="2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Bold" w:hAnsi="Times New Roman Bold" w:eastAsia="Times New Roman Regular" w:cs="Times New Roman Bold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Bold" w:hAnsi="Times New Roman Bold" w:eastAsia="Times New Roman Regular" w:cs="Times New Roman Bold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Age groups</w:t>
            </w:r>
          </w:p>
        </w:tc>
        <w:tc>
          <w:tcPr>
            <w:tcW w:w="4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 age groups from birth to age 95 years and older</w:t>
            </w:r>
          </w:p>
        </w:tc>
        <w:tc>
          <w:tcPr>
            <w:tcW w:w="4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 age groups from birth to age 85 years and older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124" w:hRule="atLeast"/>
        </w:trPr>
        <w:tc>
          <w:tcPr>
            <w:tcW w:w="2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Bold" w:hAnsi="Times New Roman Bold" w:eastAsia="Times New Roman Regular" w:cs="Times New Roman Bold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 Bold" w:hAnsi="Times New Roman Bold" w:eastAsia="Times New Roman Regular" w:cs="Times New Roman Bold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Hematologic malignancies coverage</w:t>
            </w:r>
            <w:r>
              <w:rPr>
                <w:rFonts w:hint="eastAsia" w:ascii="Times New Roman Bold" w:hAnsi="Times New Roman Bold" w:eastAsia="Times New Roman Regular" w:cs="Times New Roman Bold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(ICD-10 code)</w:t>
            </w:r>
            <w:bookmarkStart w:id="0" w:name="_GoBack"/>
            <w:bookmarkEnd w:id="0"/>
          </w:p>
        </w:tc>
        <w:tc>
          <w:tcPr>
            <w:tcW w:w="4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Hodgkin lymphoma (C81), non-Hodgkin lymphoma (C82-C86, C88), acute myeloid leukemia (C92.0), chronic myeloid leukemia (C92.1), acute lymphoid leukemia (C91.0), chronic lymphoid leukemia (C91.1), and multiple myeloma (C90)</w:t>
            </w:r>
            <w:r>
              <w:rPr>
                <w:rFonts w:hint="eastAsia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.</w:t>
            </w:r>
          </w:p>
        </w:tc>
        <w:tc>
          <w:tcPr>
            <w:tcW w:w="4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Hodgkin lymphoma(C81), non-Hodgkin lymphoma (C82-86, C88), multiple myeloma (C90), and leukaemia (C91-95).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1978" w:hRule="atLeast"/>
        </w:trPr>
        <w:tc>
          <w:tcPr>
            <w:tcW w:w="2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Bold" w:hAnsi="Times New Roman Bold" w:eastAsia="Times New Roman Regular" w:cs="Times New Roman Bold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Bold" w:hAnsi="Times New Roman Bold" w:eastAsia="Times New Roman Regular" w:cs="Times New Roman Bold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Methodology</w:t>
            </w:r>
          </w:p>
        </w:tc>
        <w:tc>
          <w:tcPr>
            <w:tcW w:w="4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using two Bayesian statistical models (spatiotemporal Gaussian process regression [ST-GPR] and disease model meta-regression [DisMod-MR 2.1]) to pool heterogeneous data and to control and adjust for bias.</w:t>
            </w:r>
          </w:p>
        </w:tc>
        <w:tc>
          <w:tcPr>
            <w:tcW w:w="4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Short-term prediction models and mortality-to-incidence ratios (MIRs); relies on regional and neighboring country data when local data is unavailable.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1356" w:hRule="atLeast"/>
        </w:trPr>
        <w:tc>
          <w:tcPr>
            <w:tcW w:w="2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Bold" w:hAnsi="Times New Roman Bold" w:eastAsia="Times New Roman Regular" w:cs="Times New Roman Bold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Bold" w:hAnsi="Times New Roman Bold" w:eastAsia="Times New Roman Regular" w:cs="Times New Roman Bold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Data Sources</w:t>
            </w:r>
          </w:p>
        </w:tc>
        <w:tc>
          <w:tcPr>
            <w:tcW w:w="4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Comprehensive sources: cancer registries, vital registration systems, hospital records, clinical data, SEER data, and scientific literature.</w:t>
            </w:r>
          </w:p>
        </w:tc>
        <w:tc>
          <w:tcPr>
            <w:tcW w:w="4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Mainly relies on national and subnational cancer registries; proxies used for countries with limited data.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1058" w:hRule="atLeast"/>
        </w:trPr>
        <w:tc>
          <w:tcPr>
            <w:tcW w:w="2674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Bold" w:hAnsi="Times New Roman Bold" w:eastAsia="Times New Roman Regular" w:cs="Times New Roman Bold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Bold" w:hAnsi="Times New Roman Bold" w:eastAsia="Times New Roman Regular" w:cs="Times New Roman Bold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Data Accessibility</w:t>
            </w:r>
          </w:p>
        </w:tc>
        <w:tc>
          <w:tcPr>
            <w:tcW w:w="4506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Long-term trends in Prevalence, Incidence, Deaths, DALYs; Risk factors; Socio-demographic Index.</w:t>
            </w:r>
          </w:p>
        </w:tc>
        <w:tc>
          <w:tcPr>
            <w:tcW w:w="4194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Incidence and mortality for 2022.</w:t>
            </w:r>
          </w:p>
        </w:tc>
      </w:tr>
    </w:tbl>
    <w:p/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Times New Roman Regular">
    <w:panose1 w:val="02020603050405020304"/>
    <w:charset w:val="00"/>
    <w:family w:val="auto"/>
    <w:pitch w:val="default"/>
    <w:sig w:usb0="E0002AEF" w:usb1="C0007841" w:usb2="00000009" w:usb3="00000000" w:csb0="400001FF" w:csb1="FFFF0000"/>
  </w:font>
  <w:font w:name="Times New Roman Bold">
    <w:panose1 w:val="02020603050405020304"/>
    <w:charset w:val="00"/>
    <w:family w:val="auto"/>
    <w:pitch w:val="default"/>
    <w:sig w:usb0="E0002AEF" w:usb1="C0007841" w:usb2="00000009" w:usb3="00000000" w:csb0="400001FF" w:csb1="FFFF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AF7316C"/>
    <w:multiLevelType w:val="multilevel"/>
    <w:tmpl w:val="1AF7316C"/>
    <w:lvl w:ilvl="0" w:tentative="0">
      <w:start w:val="1"/>
      <w:numFmt w:val="decimal"/>
      <w:pStyle w:val="2"/>
      <w:lvlText w:val="%1."/>
      <w:lvlJc w:val="left"/>
      <w:pPr>
        <w:ind w:left="704" w:hanging="420"/>
      </w:pPr>
      <w:rPr>
        <w:rFonts w:hint="default"/>
      </w:rPr>
    </w:lvl>
    <w:lvl w:ilvl="1" w:tentative="0">
      <w:start w:val="1"/>
      <w:numFmt w:val="decimal"/>
      <w:pStyle w:val="3"/>
      <w:lvlText w:val="%1.%2"/>
      <w:lvlJc w:val="left"/>
      <w:pPr>
        <w:ind w:left="717" w:hanging="575"/>
      </w:pPr>
      <w:rPr>
        <w:rFonts w:hint="default" w:ascii="黑体" w:hAnsi="黑体" w:eastAsia="黑体"/>
      </w:rPr>
    </w:lvl>
    <w:lvl w:ilvl="2" w:tentative="0">
      <w:start w:val="1"/>
      <w:numFmt w:val="decimal"/>
      <w:pStyle w:val="4"/>
      <w:lvlText w:val="%1.%2.%3"/>
      <w:lvlJc w:val="left"/>
      <w:pPr>
        <w:ind w:left="862" w:hanging="720"/>
      </w:pPr>
      <w:rPr>
        <w:rFonts w:hint="default" w:ascii="宋体" w:hAnsi="宋体" w:eastAsia="宋体" w:cs="宋体"/>
      </w:rPr>
    </w:lvl>
    <w:lvl w:ilvl="3" w:tentative="0">
      <w:start w:val="1"/>
      <w:numFmt w:val="decimal"/>
      <w:pStyle w:val="5"/>
      <w:lvlText w:val="%1.%2.%3.%4"/>
      <w:lvlJc w:val="left"/>
      <w:pPr>
        <w:ind w:left="864" w:hanging="864"/>
      </w:pPr>
      <w:rPr>
        <w:rFonts w:hint="default" w:ascii="宋体" w:hAnsi="宋体" w:eastAsia="宋体" w:cs="宋体"/>
      </w:rPr>
    </w:lvl>
    <w:lvl w:ilvl="4" w:tentative="0">
      <w:start w:val="1"/>
      <w:numFmt w:val="decimal"/>
      <w:pStyle w:val="6"/>
      <w:lvlText w:val="%1.%2.%3.%4.%5."/>
      <w:lvlJc w:val="left"/>
      <w:pPr>
        <w:ind w:left="1008" w:hanging="1008"/>
      </w:pPr>
      <w:rPr>
        <w:rFonts w:hint="default" w:ascii="宋体" w:hAnsi="宋体" w:eastAsia="宋体" w:cs="宋体"/>
      </w:rPr>
    </w:lvl>
    <w:lvl w:ilvl="5" w:tentative="0">
      <w:start w:val="1"/>
      <w:numFmt w:val="decimal"/>
      <w:pStyle w:val="7"/>
      <w:lvlText w:val="%1.%2.%3.%4.%5.%6."/>
      <w:lvlJc w:val="left"/>
      <w:pPr>
        <w:ind w:left="1151" w:hanging="1151"/>
      </w:pPr>
      <w:rPr>
        <w:rFonts w:hint="default"/>
      </w:rPr>
    </w:lvl>
    <w:lvl w:ilvl="6" w:tentative="0">
      <w:start w:val="1"/>
      <w:numFmt w:val="decimal"/>
      <w:pStyle w:val="8"/>
      <w:lvlText w:val="%1.%2.%3.%4.%5.%6.%7."/>
      <w:lvlJc w:val="left"/>
      <w:pPr>
        <w:ind w:left="1296" w:hanging="1296"/>
      </w:pPr>
      <w:rPr>
        <w:rFonts w:hint="default"/>
      </w:rPr>
    </w:lvl>
    <w:lvl w:ilvl="7" w:tentative="0">
      <w:start w:val="1"/>
      <w:numFmt w:val="decimal"/>
      <w:pStyle w:val="9"/>
      <w:lvlText w:val="%1.%2.%3.%4.%5.%6.%7.%8."/>
      <w:lvlJc w:val="left"/>
      <w:pPr>
        <w:ind w:left="1440" w:hanging="1440"/>
      </w:pPr>
      <w:rPr>
        <w:rFonts w:hint="default"/>
      </w:rPr>
    </w:lvl>
    <w:lvl w:ilvl="8" w:tentative="0">
      <w:start w:val="1"/>
      <w:numFmt w:val="decimal"/>
      <w:pStyle w:val="10"/>
      <w:lvlText w:val="%1.%2.%3.%4.%5.%6.%7.%8.%9."/>
      <w:lvlJc w:val="left"/>
      <w:pPr>
        <w:ind w:left="1583" w:hanging="1583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F06474B"/>
    <w:rsid w:val="17FF25DA"/>
    <w:rsid w:val="2BBE9343"/>
    <w:rsid w:val="3B9F435F"/>
    <w:rsid w:val="3E560F57"/>
    <w:rsid w:val="477994D0"/>
    <w:rsid w:val="47EF8230"/>
    <w:rsid w:val="4E8E89E8"/>
    <w:rsid w:val="57EF0B9B"/>
    <w:rsid w:val="5FFB68C8"/>
    <w:rsid w:val="6FBA7CB5"/>
    <w:rsid w:val="75DE8B5E"/>
    <w:rsid w:val="76ED108F"/>
    <w:rsid w:val="7BD71F64"/>
    <w:rsid w:val="7DEB0346"/>
    <w:rsid w:val="7DF64D18"/>
    <w:rsid w:val="7DFE47F6"/>
    <w:rsid w:val="7FF7B7FC"/>
    <w:rsid w:val="7FFF8AE2"/>
    <w:rsid w:val="9E6B6476"/>
    <w:rsid w:val="AF6E69B8"/>
    <w:rsid w:val="BB7B79D9"/>
    <w:rsid w:val="BDFB7C2D"/>
    <w:rsid w:val="C7F74F84"/>
    <w:rsid w:val="CCED7CFD"/>
    <w:rsid w:val="CEFF0626"/>
    <w:rsid w:val="CFBA0BE4"/>
    <w:rsid w:val="D3DFB574"/>
    <w:rsid w:val="D4FF6156"/>
    <w:rsid w:val="DFE7FECF"/>
    <w:rsid w:val="EFBB4767"/>
    <w:rsid w:val="FEFF0EB5"/>
    <w:rsid w:val="FF06474B"/>
    <w:rsid w:val="FFFDA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3"/>
    <w:qFormat/>
    <w:uiPriority w:val="0"/>
    <w:pPr>
      <w:numPr>
        <w:ilvl w:val="0"/>
        <w:numId w:val="1"/>
      </w:numPr>
      <w:spacing w:before="200" w:beforeLines="200" w:after="100" w:afterLines="100" w:line="240" w:lineRule="auto"/>
      <w:ind w:left="0" w:firstLine="0"/>
      <w:outlineLvl w:val="0"/>
    </w:pPr>
    <w:rPr>
      <w:rFonts w:ascii="Times New Roman" w:hAnsi="Times New Roman" w:eastAsia="黑体" w:cs="宋体"/>
      <w:bCs/>
      <w:kern w:val="44"/>
      <w:sz w:val="28"/>
      <w:szCs w:val="44"/>
    </w:rPr>
  </w:style>
  <w:style w:type="paragraph" w:styleId="3">
    <w:name w:val="heading 2"/>
    <w:basedOn w:val="1"/>
    <w:next w:val="1"/>
    <w:link w:val="15"/>
    <w:semiHidden/>
    <w:unhideWhenUsed/>
    <w:qFormat/>
    <w:uiPriority w:val="0"/>
    <w:pPr>
      <w:numPr>
        <w:ilvl w:val="1"/>
        <w:numId w:val="1"/>
      </w:numPr>
      <w:spacing w:before="100" w:beforeLines="100" w:after="100" w:afterLines="100" w:line="240" w:lineRule="auto"/>
      <w:ind w:left="717" w:hanging="575"/>
      <w:jc w:val="left"/>
      <w:outlineLvl w:val="1"/>
    </w:pPr>
    <w:rPr>
      <w:rFonts w:ascii="Times New Roman" w:hAnsi="Times New Roman" w:eastAsia="黑体" w:cs="宋体"/>
      <w:bCs/>
      <w:sz w:val="28"/>
      <w:szCs w:val="32"/>
    </w:rPr>
  </w:style>
  <w:style w:type="paragraph" w:styleId="4">
    <w:name w:val="heading 3"/>
    <w:basedOn w:val="1"/>
    <w:next w:val="1"/>
    <w:link w:val="14"/>
    <w:semiHidden/>
    <w:unhideWhenUsed/>
    <w:qFormat/>
    <w:uiPriority w:val="0"/>
    <w:pPr>
      <w:numPr>
        <w:ilvl w:val="2"/>
        <w:numId w:val="1"/>
      </w:numPr>
      <w:spacing w:line="240" w:lineRule="auto"/>
      <w:ind w:left="862" w:hanging="720"/>
      <w:outlineLvl w:val="2"/>
    </w:pPr>
    <w:rPr>
      <w:rFonts w:ascii="Times New Roman" w:hAnsi="Times New Roman" w:eastAsia="宋体" w:cs="宋体"/>
      <w:b/>
      <w:bCs/>
      <w:sz w:val="24"/>
      <w:szCs w:val="32"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keepLines/>
      <w:numPr>
        <w:ilvl w:val="3"/>
        <w:numId w:val="1"/>
      </w:numPr>
      <w:spacing w:before="280" w:beforeLines="0" w:beforeAutospacing="0" w:after="290" w:afterLines="0" w:afterAutospacing="0" w:line="372" w:lineRule="auto"/>
      <w:ind w:left="864" w:hanging="864"/>
      <w:outlineLvl w:val="3"/>
    </w:pPr>
    <w:rPr>
      <w:rFonts w:ascii="Arial" w:hAnsi="Arial" w:eastAsia="黑体"/>
      <w:b/>
      <w:sz w:val="28"/>
    </w:rPr>
  </w:style>
  <w:style w:type="paragraph" w:styleId="6">
    <w:name w:val="heading 5"/>
    <w:basedOn w:val="1"/>
    <w:next w:val="1"/>
    <w:semiHidden/>
    <w:unhideWhenUsed/>
    <w:qFormat/>
    <w:uiPriority w:val="0"/>
    <w:pPr>
      <w:keepNext/>
      <w:keepLines/>
      <w:numPr>
        <w:ilvl w:val="4"/>
        <w:numId w:val="1"/>
      </w:numPr>
      <w:spacing w:before="280" w:beforeLines="0" w:beforeAutospacing="0" w:after="290" w:afterLines="0" w:afterAutospacing="0" w:line="372" w:lineRule="auto"/>
      <w:ind w:left="1008" w:hanging="1008"/>
      <w:outlineLvl w:val="4"/>
    </w:pPr>
    <w:rPr>
      <w:b/>
      <w:sz w:val="28"/>
    </w:rPr>
  </w:style>
  <w:style w:type="paragraph" w:styleId="7">
    <w:name w:val="heading 6"/>
    <w:basedOn w:val="1"/>
    <w:next w:val="1"/>
    <w:semiHidden/>
    <w:unhideWhenUsed/>
    <w:qFormat/>
    <w:uiPriority w:val="0"/>
    <w:pPr>
      <w:keepNext/>
      <w:keepLines/>
      <w:numPr>
        <w:ilvl w:val="5"/>
        <w:numId w:val="1"/>
      </w:numPr>
      <w:spacing w:before="240" w:beforeLines="0" w:beforeAutospacing="0" w:after="64" w:afterLines="0" w:afterAutospacing="0" w:line="317" w:lineRule="auto"/>
      <w:ind w:left="1151" w:hanging="1151"/>
      <w:outlineLvl w:val="5"/>
    </w:pPr>
    <w:rPr>
      <w:rFonts w:ascii="Arial" w:hAnsi="Arial" w:eastAsia="黑体"/>
      <w:b/>
      <w:sz w:val="24"/>
    </w:rPr>
  </w:style>
  <w:style w:type="paragraph" w:styleId="8">
    <w:name w:val="heading 7"/>
    <w:basedOn w:val="1"/>
    <w:next w:val="1"/>
    <w:semiHidden/>
    <w:unhideWhenUsed/>
    <w:qFormat/>
    <w:uiPriority w:val="0"/>
    <w:pPr>
      <w:keepNext/>
      <w:keepLines/>
      <w:numPr>
        <w:ilvl w:val="6"/>
        <w:numId w:val="1"/>
      </w:numPr>
      <w:spacing w:before="240" w:beforeLines="0" w:beforeAutospacing="0" w:after="64" w:afterLines="0" w:afterAutospacing="0" w:line="317" w:lineRule="auto"/>
      <w:ind w:left="1296" w:hanging="1296"/>
      <w:outlineLvl w:val="6"/>
    </w:pPr>
    <w:rPr>
      <w:b/>
      <w:sz w:val="24"/>
    </w:rPr>
  </w:style>
  <w:style w:type="paragraph" w:styleId="9">
    <w:name w:val="heading 8"/>
    <w:basedOn w:val="1"/>
    <w:next w:val="1"/>
    <w:semiHidden/>
    <w:unhideWhenUsed/>
    <w:qFormat/>
    <w:uiPriority w:val="0"/>
    <w:pPr>
      <w:keepNext/>
      <w:keepLines/>
      <w:numPr>
        <w:ilvl w:val="7"/>
        <w:numId w:val="1"/>
      </w:numPr>
      <w:spacing w:before="240" w:beforeLines="0" w:beforeAutospacing="0" w:after="64" w:afterLines="0" w:afterAutospacing="0" w:line="317" w:lineRule="auto"/>
      <w:ind w:left="1440" w:hanging="1440"/>
      <w:outlineLvl w:val="7"/>
    </w:pPr>
    <w:rPr>
      <w:rFonts w:ascii="Arial" w:hAnsi="Arial" w:eastAsia="黑体"/>
      <w:sz w:val="24"/>
    </w:rPr>
  </w:style>
  <w:style w:type="paragraph" w:styleId="10">
    <w:name w:val="heading 9"/>
    <w:basedOn w:val="1"/>
    <w:next w:val="1"/>
    <w:semiHidden/>
    <w:unhideWhenUsed/>
    <w:qFormat/>
    <w:uiPriority w:val="0"/>
    <w:pPr>
      <w:keepNext/>
      <w:keepLines/>
      <w:numPr>
        <w:ilvl w:val="8"/>
        <w:numId w:val="1"/>
      </w:numPr>
      <w:spacing w:before="240" w:beforeLines="0" w:beforeAutospacing="0" w:after="64" w:afterLines="0" w:afterAutospacing="0" w:line="317" w:lineRule="auto"/>
      <w:ind w:left="1583" w:hanging="1583"/>
      <w:outlineLvl w:val="8"/>
    </w:pPr>
    <w:rPr>
      <w:rFonts w:ascii="Arial" w:hAnsi="Arial" w:eastAsia="黑体"/>
      <w:sz w:val="21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3">
    <w:name w:val="标题 1 字符"/>
    <w:basedOn w:val="12"/>
    <w:link w:val="2"/>
    <w:qFormat/>
    <w:uiPriority w:val="9"/>
    <w:rPr>
      <w:rFonts w:ascii="Times New Roman" w:hAnsi="Times New Roman" w:eastAsia="黑体" w:cs="宋体"/>
      <w:bCs/>
      <w:kern w:val="44"/>
      <w:sz w:val="28"/>
      <w:szCs w:val="44"/>
    </w:rPr>
  </w:style>
  <w:style w:type="character" w:customStyle="1" w:styleId="14">
    <w:name w:val="标题 3 字符"/>
    <w:basedOn w:val="12"/>
    <w:link w:val="4"/>
    <w:qFormat/>
    <w:uiPriority w:val="9"/>
    <w:rPr>
      <w:rFonts w:ascii="Times New Roman" w:hAnsi="Times New Roman" w:eastAsia="宋体" w:cs="宋体"/>
      <w:b/>
      <w:bCs/>
      <w:kern w:val="2"/>
      <w:sz w:val="24"/>
      <w:szCs w:val="32"/>
    </w:rPr>
  </w:style>
  <w:style w:type="character" w:customStyle="1" w:styleId="15">
    <w:name w:val="标题 2 字符"/>
    <w:basedOn w:val="12"/>
    <w:link w:val="3"/>
    <w:qFormat/>
    <w:uiPriority w:val="9"/>
    <w:rPr>
      <w:rFonts w:ascii="Times New Roman" w:hAnsi="Times New Roman" w:eastAsia="黑体" w:cs="宋体"/>
      <w:bCs/>
      <w:kern w:val="2"/>
      <w:sz w:val="28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29</TotalTime>
  <ScaleCrop>false</ScaleCrop>
  <LinksUpToDate>false</LinksUpToDate>
  <CharactersWithSpaces>0</CharactersWithSpaces>
  <Application>WPS Office_6.5.0.8619_F1E327BC-269C-435d-A152-05C5408002CA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2025-04-29T17:16:00Z</dcterms:created>
  <dc:creator>糊里糊涂的忽悠</dc:creator>
  <cp:lastModifiedBy>糊里糊涂的忽悠</cp:lastModifiedBy>
  <dcterms:modified xsi:type="dcterms:W3CDTF">2025-05-09T15:19:02Z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2052-6.5.0.8619</vt:lpwstr>
  </property>
  <property fmtid="{D5CDD505-2E9C-101B-9397-08002B2CF9AE}" pid="3" name="ICV">
    <vt:lpwstr>302DA8C191B603557C470F68E06059B1_41</vt:lpwstr>
  </property>
</Properties>
</file>