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EBE43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Supplementary methods</w:t>
      </w:r>
    </w:p>
    <w:p w14:paraId="3C8C93ED"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Decomposition Analysis </w:t>
      </w:r>
    </w:p>
    <w:p w14:paraId="4DDDD7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cs="Times New Roman"/>
          <w:b w:val="0"/>
          <w:bCs w:val="0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ging, population growth, and epidemiological </w:t>
      </w:r>
      <w:r>
        <w:rPr>
          <w:rFonts w:hint="eastAsia" w:cs="Times New Roman"/>
          <w:b w:val="0"/>
          <w:bCs w:val="0"/>
          <w:lang w:val="en-US" w:eastAsia="zh-CN"/>
        </w:rPr>
        <w:t xml:space="preserve">changes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are key population-level factors utilized in decomposition analysis to determine their individual contributions to shifts in </w:t>
      </w:r>
      <w:r>
        <w:rPr>
          <w:rFonts w:hint="eastAsia" w:cs="Times New Roman"/>
          <w:b w:val="0"/>
          <w:bCs w:val="0"/>
          <w:lang w:val="en-US" w:eastAsia="zh-CN"/>
        </w:rPr>
        <w:t xml:space="preserve">incidence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and mortality at the population level. </w:t>
      </w:r>
      <w:r>
        <w:rPr>
          <w:rFonts w:hint="eastAsia" w:cs="Times New Roman"/>
          <w:b w:val="0"/>
          <w:bCs w:val="0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ging is generally estimated by alterations in the age structure, while population growth indicates an increase in the total population size. In the context of decomposition analysis for </w:t>
      </w:r>
      <w:r>
        <w:rPr>
          <w:rFonts w:hint="eastAsia" w:cs="Times New Roman"/>
          <w:b w:val="0"/>
          <w:bCs w:val="0"/>
          <w:lang w:val="en-US" w:eastAsia="zh-CN"/>
        </w:rPr>
        <w:t>incidence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, epidemiological change </w:t>
      </w:r>
      <w:r>
        <w:rPr>
          <w:rFonts w:hint="eastAsia" w:cs="Times New Roman"/>
          <w:b w:val="0"/>
          <w:bCs w:val="0"/>
          <w:lang w:val="en-US" w:eastAsia="zh-CN"/>
        </w:rPr>
        <w:t xml:space="preserve">refers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to variations in the </w:t>
      </w:r>
      <w:r>
        <w:rPr>
          <w:rFonts w:hint="eastAsia" w:cs="Times New Roman"/>
          <w:b w:val="0"/>
          <w:bCs w:val="0"/>
          <w:lang w:val="en-US" w:eastAsia="zh-CN"/>
        </w:rPr>
        <w:t xml:space="preserve">incidence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rate; for mortality, it refers to changes in the mortality rate.</w:t>
      </w:r>
    </w:p>
    <w:p w14:paraId="205BC0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240" w:firstLineChars="1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In conducting a decomposition analysis, taking </w:t>
      </w:r>
      <w:r>
        <w:rPr>
          <w:rFonts w:hint="eastAsia" w:cs="Times New Roman"/>
          <w:b w:val="0"/>
          <w:bCs w:val="0"/>
          <w:lang w:val="en-US" w:eastAsia="zh-CN"/>
        </w:rPr>
        <w:t xml:space="preserve">incidence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as an example, the number of </w:t>
      </w:r>
      <w:r>
        <w:rPr>
          <w:rFonts w:hint="eastAsia" w:cs="Times New Roman"/>
          <w:b w:val="0"/>
          <w:bCs w:val="0"/>
          <w:lang w:val="en-US" w:eastAsia="zh-CN"/>
        </w:rPr>
        <w:t xml:space="preserve">incident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cases is derived from the following equation:</w:t>
      </w:r>
    </w:p>
    <w:p w14:paraId="12E565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cs="Times New Roman"/>
          <w:b w:val="0"/>
          <w:bCs w:val="0"/>
          <w:lang w:val="en-US" w:eastAsia="zh-CN"/>
        </w:rPr>
        <w:t xml:space="preserve">Incidence </w:t>
      </w:r>
      <w:r>
        <w:rPr>
          <w:rFonts w:hint="eastAsia" w:cs="Times New Roman"/>
          <w:b w:val="0"/>
          <w:bCs w:val="0"/>
          <w:vertAlign w:val="subscript"/>
          <w:lang w:val="en-US" w:eastAsia="zh-CN"/>
        </w:rPr>
        <w:t>ay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zh-CN"/>
        </w:rPr>
        <w:t>,</w:t>
      </w:r>
      <w:r>
        <w:rPr>
          <w:rFonts w:hint="eastAsia" w:cs="Times New Roman"/>
          <w:b w:val="0"/>
          <w:bCs w:val="0"/>
          <w:vertAlign w:val="subscript"/>
          <w:lang w:val="en-US" w:eastAsia="zh-CN"/>
        </w:rPr>
        <w:t xml:space="preserve"> py, ey</w:t>
      </w:r>
      <w:r>
        <w:rPr>
          <w:rFonts w:hint="eastAsia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=</w:t>
      </w:r>
      <w:r>
        <w:rPr>
          <w:rFonts w:hint="eastAsia" w:cs="Times New Roman"/>
          <w:b w:val="0"/>
          <w:bCs w:val="0"/>
          <w:lang w:val="en-US" w:eastAsia="zh-CN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Cs w:val="0"/>
                <w:i/>
                <w:lang w:val="en-US"/>
              </w:rPr>
            </m:ctrlPr>
          </m:sSubSupPr>
          <m:e>
            <m:r>
              <m:rPr>
                <m:sty m:val="p"/>
              </m:rPr>
              <w:rPr>
                <w:rFonts w:hint="default" w:ascii="Times New Roman" w:hAnsi="Times New Roman" w:cs="Times New Roman"/>
                <w:lang w:val="en-US" w:eastAsia="zh-CN"/>
              </w:rPr>
              <m:t>∑</m:t>
            </m:r>
            <m:ctrlPr>
              <w:rPr>
                <w:rFonts w:ascii="Cambria Math" w:hAnsi="Cambria Math" w:cs="Times New Roman"/>
                <w:bCs w:val="0"/>
                <w:i/>
                <w:lang w:val="en-US"/>
              </w:rPr>
            </m:ctrlPr>
          </m:e>
          <m:sub>
            <m:r>
              <m:rPr/>
              <w:rPr>
                <w:rFonts w:hint="default" w:ascii="Cambria Math" w:hAnsi="Cambria Math" w:eastAsia="宋体" w:cs="Times New Roman"/>
                <w:lang w:val="en-US" w:eastAsia="zh-CN"/>
              </w:rPr>
              <m:t>i=1</m:t>
            </m:r>
            <m:ctrlPr>
              <w:rPr>
                <w:rFonts w:ascii="Cambria Math" w:hAnsi="Cambria Math" w:cs="Times New Roman"/>
                <w:bCs w:val="0"/>
                <w:i/>
                <w:lang w:val="en-US"/>
              </w:rPr>
            </m:ctrlPr>
          </m:sub>
          <m:sup>
            <m:r>
              <m:rPr/>
              <w:rPr>
                <w:rFonts w:hint="default" w:ascii="Cambria Math" w:hAnsi="Cambria Math" w:eastAsia="宋体" w:cs="Times New Roman"/>
                <w:lang w:val="en-US" w:eastAsia="zh-CN"/>
              </w:rPr>
              <m:t>4</m:t>
            </m:r>
            <m:ctrlPr>
              <w:rPr>
                <w:rFonts w:ascii="Cambria Math" w:hAnsi="Cambria Math" w:cs="Times New Roman"/>
                <w:bCs w:val="0"/>
                <w:i/>
                <w:lang w:val="en-US"/>
              </w:rPr>
            </m:ctrlPr>
          </m:sup>
        </m:sSubSup>
      </m:oMath>
      <w:r>
        <w:rPr>
          <w:rFonts w:hint="eastAsia" w:hAnsi="Cambria Math" w:eastAsia="宋体" w:cs="Times New Roman"/>
          <w:bCs w:val="0"/>
          <w:i w:val="0"/>
          <w:lang w:val="en-US" w:eastAsia="zh-CN"/>
        </w:rPr>
        <w:t>(</w:t>
      </w:r>
      <w:r>
        <w:rPr>
          <w:rFonts w:hint="eastAsia" w:cs="Times New Roman"/>
          <w:b w:val="0"/>
          <w:bCs w:val="0"/>
          <w:lang w:val="en-US" w:eastAsia="zh-CN"/>
        </w:rPr>
        <w:t xml:space="preserve"> a</w:t>
      </w:r>
      <w:r>
        <w:rPr>
          <w:rFonts w:hint="eastAsia" w:cs="Times New Roman"/>
          <w:b w:val="0"/>
          <w:bCs w:val="0"/>
          <w:vertAlign w:val="subscript"/>
          <w:lang w:val="en-US" w:eastAsia="zh-CN"/>
        </w:rPr>
        <w:t>i,y</w:t>
      </w:r>
      <w:r>
        <w:rPr>
          <w:rFonts w:hint="eastAsia" w:cs="Times New Roman"/>
          <w:b w:val="0"/>
          <w:bCs w:val="0"/>
          <w:lang w:val="en-US" w:eastAsia="zh-CN"/>
        </w:rPr>
        <w:t xml:space="preserve"> * p</w:t>
      </w:r>
      <w:r>
        <w:rPr>
          <w:rFonts w:hint="eastAsia" w:cs="Times New Roman"/>
          <w:b w:val="0"/>
          <w:bCs w:val="0"/>
          <w:vertAlign w:val="subscript"/>
          <w:lang w:val="en-US" w:eastAsia="zh-CN"/>
        </w:rPr>
        <w:t>y</w:t>
      </w:r>
      <w:r>
        <w:rPr>
          <w:rFonts w:hint="eastAsia" w:cs="Times New Roman"/>
          <w:b w:val="0"/>
          <w:bCs w:val="0"/>
          <w:lang w:val="en-US" w:eastAsia="zh-CN"/>
        </w:rPr>
        <w:t>* e</w:t>
      </w:r>
      <w:r>
        <w:rPr>
          <w:rFonts w:hint="eastAsia" w:cs="Times New Roman"/>
          <w:b w:val="0"/>
          <w:bCs w:val="0"/>
          <w:vertAlign w:val="subscript"/>
          <w:lang w:val="en-US" w:eastAsia="zh-CN"/>
        </w:rPr>
        <w:t>i,y</w:t>
      </w:r>
      <w:r>
        <w:rPr>
          <w:rFonts w:hint="eastAsia" w:cs="Times New Roman"/>
          <w:b w:val="0"/>
          <w:bCs w:val="0"/>
          <w:lang w:val="en-US" w:eastAsia="zh-CN"/>
        </w:rPr>
        <w:t xml:space="preserve">).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​</w:t>
      </w:r>
    </w:p>
    <w:p w14:paraId="2895A2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240" w:firstLineChars="1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Here, a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zh-CN"/>
        </w:rPr>
        <w:t>i,y</w:t>
      </w:r>
      <w:r>
        <w:rPr>
          <w:rFonts w:hint="eastAsia" w:cs="Times New Roman"/>
          <w:b w:val="0"/>
          <w:bCs w:val="0"/>
          <w:vertAlign w:val="sub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represents the proportion of the population in age category i out of the 4 age categories (</w:t>
      </w:r>
      <w:r>
        <w:rPr>
          <w:rFonts w:hint="eastAsia" w:cs="Times New Roman"/>
          <w:b w:val="0"/>
          <w:bCs w:val="0"/>
          <w:lang w:val="en-US" w:eastAsia="zh-CN"/>
        </w:rPr>
        <w:t>0-14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years, </w:t>
      </w:r>
      <w:r>
        <w:rPr>
          <w:rFonts w:hint="eastAsia" w:cs="Times New Roman"/>
          <w:b w:val="0"/>
          <w:bCs w:val="0"/>
          <w:lang w:val="en-US" w:eastAsia="zh-CN"/>
        </w:rPr>
        <w:t>15-49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years, </w:t>
      </w:r>
      <w:r>
        <w:rPr>
          <w:rFonts w:hint="eastAsia" w:cs="Times New Roman"/>
          <w:b w:val="0"/>
          <w:bCs w:val="0"/>
          <w:lang w:val="en-US" w:eastAsia="zh-CN"/>
        </w:rPr>
        <w:t>50-74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years, and </w:t>
      </w:r>
      <w:bookmarkStart w:id="0" w:name="_GoBack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≥7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5 y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ears)</w:t>
      </w:r>
      <w:bookmarkEnd w:id="0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in year y; p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zh-CN"/>
        </w:rPr>
        <w:t>y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denotes the total population in year y; and e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zh-CN"/>
        </w:rPr>
        <w:t>i,y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signifies the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genitourinary </w:t>
      </w:r>
      <w:r>
        <w:rPr>
          <w:rFonts w:hint="eastAsia"/>
          <w:sz w:val="24"/>
          <w:szCs w:val="24"/>
          <w:lang w:val="en-US" w:eastAsia="zh-CN"/>
        </w:rPr>
        <w:t>cancer</w:t>
      </w:r>
      <w:r>
        <w:rPr>
          <w:rFonts w:hint="eastAsia" w:cs="Times New Roman"/>
          <w:b w:val="0"/>
          <w:bCs w:val="0"/>
          <w:lang w:val="en-US" w:eastAsia="zh-CN"/>
        </w:rPr>
        <w:t xml:space="preserve"> incidence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rate for age category i in year y. The net contribution of each factor to the total change in </w:t>
      </w:r>
      <w:r>
        <w:rPr>
          <w:rFonts w:hint="eastAsia" w:cs="Times New Roman"/>
          <w:b w:val="0"/>
          <w:bCs w:val="0"/>
          <w:lang w:val="en-US" w:eastAsia="zh-CN"/>
        </w:rPr>
        <w:t xml:space="preserve">incidence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is ascertained by examining the effect of one factor while keeping the others constant. The proportion of the total change attributed to each factor is calculated using the formula:</w:t>
      </w:r>
    </w:p>
    <w:p w14:paraId="25E2AE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Proportion</w:t>
      </w:r>
      <w:r>
        <w:rPr>
          <w:rFonts w:hint="eastAsia" w:cs="Times New Roman"/>
          <w:b w:val="0"/>
          <w:bCs w:val="0"/>
          <w:lang w:val="en-US" w:eastAsia="zh-CN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Times New Roman" w:hAnsi="Times New Roman" w:cs="Times New Roman"/>
                <w:lang w:val="en-US" w:eastAsia="zh-CN"/>
              </w:rPr>
              <m:t>Absolute value of change driven by the factor</m:t>
            </m:r>
            <m:ctrlPr>
              <w:rPr>
                <w:rFonts w:ascii="Cambria Math" w:hAnsi="Cambria Math" w:cs="Times New Roman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Times New Roman" w:hAnsi="Times New Roman" w:cs="Times New Roman"/>
                <w:lang w:val="en-US" w:eastAsia="zh-CN"/>
              </w:rPr>
              <m:t>Absolute value of the overall change</m:t>
            </m:r>
            <m:ctrlPr>
              <w:rPr>
                <w:rFonts w:ascii="Cambria Math" w:hAnsi="Cambria Math" w:cs="Times New Roman"/>
                <w:bCs w:val="0"/>
                <w:i/>
                <w:lang w:val="en-US"/>
              </w:rPr>
            </m:ctrlPr>
          </m:den>
        </m:f>
      </m:oMath>
      <w:r>
        <w:rPr>
          <w:rFonts w:ascii="Cambria Math" w:hAnsi="Cambria Math" w:cs="Times New Roman"/>
          <w:bCs w:val="0"/>
          <w:i/>
          <w:lang w:val="en-US"/>
        </w:rPr>
        <w:t xml:space="preserve"> </w:t>
      </w:r>
      <w:r>
        <w:rPr>
          <w:rFonts w:hint="eastAsia" w:ascii="Cambria Math" w:hAnsi="Cambria Math" w:eastAsia="宋体" w:cs="Times New Roman"/>
          <w:bCs w:val="0"/>
          <w:i/>
          <w:lang w:val="en-US" w:eastAsia="zh-CN"/>
        </w:rPr>
        <w:t>.</w:t>
      </w:r>
    </w:p>
    <w:p w14:paraId="058848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240" w:firstLineChars="1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The proportion is positive when the change driven by the factor is positive, and negative otherwise.</w:t>
      </w:r>
    </w:p>
    <w:p w14:paraId="23DAE8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net contribution of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aging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was calculated as: </w:t>
      </w:r>
    </w:p>
    <w:p w14:paraId="593FC7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(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a2021, p1990, e1990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p2021, e2021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3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 w:val="0"/>
          <w:i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/>
          <w:lang w:val="en-US" w:eastAsia="zh-CN"/>
        </w:rPr>
        <w:t xml:space="preserve">+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a2021, p1990, e2021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p2021, e1990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6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) -</w:t>
      </w:r>
    </w:p>
    <w:p w14:paraId="628AC4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(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p2021, e2021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a1990, p1990, e1990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3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 w:val="0"/>
          <w:i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/>
          <w:lang w:val="en-US" w:eastAsia="zh-CN"/>
        </w:rPr>
        <w:t xml:space="preserve">+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p2021, e1990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a1990, p1990, e2021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6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 xml:space="preserve">) </w:t>
      </w:r>
    </w:p>
    <w:p w14:paraId="712939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The net contribution of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population growth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was calculated as: </w:t>
      </w:r>
    </w:p>
    <w:p w14:paraId="63A318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(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p2021, e1990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p2021, e2021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3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 w:val="0"/>
          <w:i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/>
          <w:lang w:val="en-US" w:eastAsia="zh-CN"/>
        </w:rPr>
        <w:t xml:space="preserve">+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p2021, e2021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p2021, e1990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6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) -</w:t>
      </w:r>
    </w:p>
    <w:p w14:paraId="4DB195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(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p1990, e1990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p1990, e2021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3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 w:val="0"/>
          <w:i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/>
          <w:lang w:val="en-US" w:eastAsia="zh-CN"/>
        </w:rPr>
        <w:t xml:space="preserve">+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p1990, e2021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p1990, e1990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6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)</w:t>
      </w:r>
    </w:p>
    <w:p w14:paraId="0674F8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The net contribution of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incidence rate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was calculated as: </w:t>
      </w:r>
    </w:p>
    <w:p w14:paraId="3EAC7D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(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p1990, e2021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p2021, e2021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3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 w:val="0"/>
          <w:i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/>
          <w:lang w:val="en-US" w:eastAsia="zh-CN"/>
        </w:rPr>
        <w:t xml:space="preserve">+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p2021, e2021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p1990, e1990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)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6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) -</w:t>
      </w:r>
    </w:p>
    <w:p w14:paraId="1D219B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(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p1990, e1990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p2021, e1990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3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 w:val="0"/>
          <w:i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/>
          <w:lang w:val="en-US" w:eastAsia="zh-CN"/>
        </w:rPr>
        <w:t xml:space="preserve">+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 xml:space="preserve">a1990, p2021 e1990 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m:t>+ Incidence</m:t>
            </m:r>
            <m:r>
              <m:rPr>
                <m:sty m:val="p"/>
              </m:rPr>
              <w:rPr>
                <w:rFonts w:hint="default" w:ascii="Cambria Math" w:hAnsi="Cambria Math" w:eastAsia="宋体" w:cs="Times New Roman"/>
                <w:color w:val="000000"/>
                <w:kern w:val="0"/>
                <w:sz w:val="16"/>
                <w:szCs w:val="16"/>
                <w:lang w:val="en-US" w:eastAsia="zh-CN" w:bidi="ar"/>
              </w:rPr>
              <m:t>a2021, p1990, e1990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lang w:val="en-US" w:eastAsia="zh-CN"/>
              </w:rPr>
              <m:t>6</m:t>
            </m:r>
            <m:ctrlPr>
              <w:rPr>
                <w:rFonts w:hint="default" w:ascii="Cambria Math" w:hAnsi="Cambria Math" w:cs="Times New Roman"/>
                <w:b w:val="0"/>
                <w:bCs w:val="0"/>
                <w:i/>
                <w:lang w:val="en-US"/>
              </w:rPr>
            </m:ctrlPr>
          </m:den>
        </m:f>
      </m:oMath>
      <w:r>
        <w:rPr>
          <w:rFonts w:hint="default" w:ascii="Times New Roman" w:hAnsi="Times New Roman" w:eastAsia="宋体" w:cs="Times New Roman"/>
          <w:b w:val="0"/>
          <w:bCs w:val="0"/>
          <w:i w:val="0"/>
          <w:lang w:val="en-US" w:eastAsia="zh-CN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75531"/>
    <w:rsid w:val="318F1AB3"/>
    <w:rsid w:val="39375531"/>
    <w:rsid w:val="6D784DD8"/>
    <w:rsid w:val="73856C19"/>
    <w:rsid w:val="7970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40" w:lineRule="atLeast"/>
      <w:jc w:val="both"/>
    </w:pPr>
    <w:rPr>
      <w:rFonts w:ascii="Times New Roman" w:hAnsi="Times New Roman" w:eastAsia="Times New Roman" w:cs="Times New Roman"/>
      <w:color w:val="000000"/>
      <w:sz w:val="24"/>
      <w:lang w:val="en-US" w:eastAsia="de-DE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240"/>
      <w:outlineLvl w:val="0"/>
    </w:pPr>
    <w:rPr>
      <w:rFonts w:ascii="Times New Roman" w:hAnsi="Times New Roman"/>
      <w:b/>
      <w:bCs/>
      <w:kern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2107</Characters>
  <Lines>0</Lines>
  <Paragraphs>0</Paragraphs>
  <TotalTime>0</TotalTime>
  <ScaleCrop>false</ScaleCrop>
  <LinksUpToDate>false</LinksUpToDate>
  <CharactersWithSpaces>2452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2025-03-28T07:02:00Z</dcterms:created>
  <dc:creator>gaohar</dc:creator>
  <cp:lastModifiedBy>gaohar</cp:lastModifiedBy>
  <dcterms:modified xsi:type="dcterms:W3CDTF">2025-07-22T09:09:16Z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072E32826360498D9411846C8B56F743_11</vt:lpwstr>
  </property>
  <property fmtid="{D5CDD505-2E9C-101B-9397-08002B2CF9AE}" pid="4" name="KSOTemplateDocerSaveRecord">
    <vt:lpwstr>eyJoZGlkIjoiNDcyNzIwZDIwNmU1YzQ5NzBmMWY1NDA4OGNkMDRjNGMiLCJ1c2VySWQiOiIyNDU4MjI1MjUifQ==</vt:lpwstr>
  </property>
</Properties>
</file>