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CDDA9">
      <w:pPr>
        <w:pStyle w:val="2"/>
        <w:jc w:val="center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Supplementary figures</w:t>
      </w:r>
    </w:p>
    <w:p w14:paraId="2BCC8FAC">
      <w:pPr>
        <w:bidi w:val="0"/>
        <w:rPr>
          <w:rFonts w:hint="eastAsia" w:ascii="Times New Roman" w:hAnsi="Times New Roman" w:cs="Times New Roman"/>
          <w:b/>
          <w:bCs/>
          <w:highlight w:val="none"/>
          <w:lang w:val="en-US" w:eastAsia="zh-CN"/>
        </w:rPr>
      </w:pPr>
      <w:r>
        <w:rPr>
          <w:rFonts w:hint="eastAsia" w:cs="Times New Roman"/>
          <w:b/>
          <w:bCs/>
          <w:highlight w:val="none"/>
          <w:lang w:val="en-US" w:eastAsia="zh-CN"/>
        </w:rPr>
        <w:t>Fi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 xml:space="preserve">gure </w:t>
      </w:r>
      <w:r>
        <w:rPr>
          <w:rFonts w:hint="eastAsia" w:cs="Times New Roman"/>
          <w:b/>
          <w:bCs/>
          <w:highlight w:val="none"/>
          <w:lang w:val="en-US" w:eastAsia="zh-CN"/>
        </w:rPr>
        <w:t>S1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Attributable numbers of genitourinary cancer mortality due to smoking across sexes, locations, and ages from 1990 to 2021</w:t>
      </w:r>
    </w:p>
    <w:p w14:paraId="09354845">
      <w:pPr>
        <w:bidi w:val="0"/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Attributable numbers of genitourinary cancer</w:t>
      </w:r>
      <w:r>
        <w:rPr>
          <w:rFonts w:hint="eastAsia" w:cs="Times New Roman"/>
          <w:b w:val="0"/>
          <w:bCs w:val="0"/>
          <w:highlight w:val="none"/>
          <w:lang w:val="en-US" w:eastAsia="zh-CN"/>
        </w:rPr>
        <w:t xml:space="preserve"> (kidney, bladder, and prostate cancers)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mortality due to smoking in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(A)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15-49 years,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(B)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50-74 years, and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 xml:space="preserve"> (C)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</w:t>
      </w:r>
      <w:r>
        <w:rPr>
          <w:rFonts w:hint="eastAsia" w:cs="Times New Roman"/>
          <w:b w:val="0"/>
          <w:bCs w:val="0"/>
          <w:highlight w:val="none"/>
          <w:lang w:val="en-US" w:eastAsia="zh-CN"/>
        </w:rPr>
        <w:t>≥75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years </w:t>
      </w:r>
      <w:r>
        <w:rPr>
          <w:rFonts w:hint="eastAsia" w:cs="Times New Roman"/>
          <w:b w:val="0"/>
          <w:bCs w:val="0"/>
          <w:highlight w:val="none"/>
          <w:lang w:val="en-US" w:eastAsia="zh-CN"/>
        </w:rPr>
        <w:t xml:space="preserve">age 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groups</w:t>
      </w:r>
      <w:r>
        <w:rPr>
          <w:rFonts w:hint="eastAsia" w:cs="Times New Roman"/>
          <w:b w:val="0"/>
          <w:bCs w:val="0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eastAsia="zh-CN"/>
        </w:rPr>
        <w:t>across sexes</w:t>
      </w:r>
      <w:r>
        <w:rPr>
          <w:rFonts w:hint="eastAsia"/>
          <w:highlight w:val="none"/>
          <w:lang w:val="en-US" w:eastAsia="zh-CN"/>
        </w:rPr>
        <w:t xml:space="preserve"> (male and female) and geographic </w:t>
      </w:r>
      <w:r>
        <w:rPr>
          <w:rFonts w:hint="eastAsia"/>
          <w:highlight w:val="none"/>
          <w:lang w:eastAsia="zh-CN"/>
        </w:rPr>
        <w:t>locations</w:t>
      </w:r>
      <w:r>
        <w:rPr>
          <w:rFonts w:hint="eastAsia"/>
          <w:highlight w:val="none"/>
          <w:lang w:val="en-US" w:eastAsia="zh-CN"/>
        </w:rPr>
        <w:t xml:space="preserve"> (</w:t>
      </w:r>
      <w:r>
        <w:rPr>
          <w:rFonts w:hint="eastAsia"/>
          <w:highlight w:val="none"/>
        </w:rPr>
        <w:t>global, East Asia and Pacific, China, Japan, the Republic of Korea, the US and the UK</w:t>
      </w:r>
      <w:r>
        <w:rPr>
          <w:rFonts w:hint="eastAsia"/>
          <w:highlight w:val="none"/>
          <w:lang w:val="en-US" w:eastAsia="zh-CN"/>
        </w:rPr>
        <w:t>)</w:t>
      </w:r>
      <w:r>
        <w:rPr>
          <w:rFonts w:hint="eastAsia"/>
          <w:highlight w:val="none"/>
          <w:lang w:eastAsia="zh-CN"/>
        </w:rPr>
        <w:t xml:space="preserve"> from 1990 to 2021</w:t>
      </w:r>
      <w:r>
        <w:rPr>
          <w:rFonts w:hint="eastAsia"/>
          <w:highlight w:val="none"/>
          <w:lang w:val="en-US" w:eastAsia="zh-CN"/>
        </w:rPr>
        <w:t>.</w:t>
      </w:r>
    </w:p>
    <w:p w14:paraId="7C00F7EF">
      <w:pPr>
        <w:bidi w:val="0"/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</w:pPr>
    </w:p>
    <w:p w14:paraId="7619606F">
      <w:pPr>
        <w:bidi w:val="0"/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</w:pPr>
      <w:r>
        <w:rPr>
          <w:rFonts w:hint="eastAsia" w:cs="Times New Roman"/>
          <w:b/>
          <w:bCs/>
          <w:highlight w:val="none"/>
          <w:lang w:val="en-US" w:eastAsia="zh-CN"/>
        </w:rPr>
        <w:t>F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igure</w:t>
      </w:r>
      <w:r>
        <w:rPr>
          <w:rFonts w:hint="eastAsia" w:cs="Times New Roman"/>
          <w:b/>
          <w:bCs/>
          <w:highlight w:val="none"/>
          <w:lang w:val="en-US" w:eastAsia="zh-CN"/>
        </w:rPr>
        <w:t xml:space="preserve"> S2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Attributable numbers of bladder cancer mortality due to high fasting plasma glucose across sexes, locations, and ages from 1990 to 2021</w:t>
      </w:r>
    </w:p>
    <w:p w14:paraId="31518EF2">
      <w:pPr>
        <w:bidi w:val="0"/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Attributable numbers of bladder cancer mortality due to high fasting plasma glucose across sexes</w:t>
      </w:r>
      <w:r>
        <w:rPr>
          <w:rFonts w:hint="eastAsia" w:cs="Times New Roman"/>
          <w:b w:val="0"/>
          <w:bCs w:val="0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t xml:space="preserve">(male and female) 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, </w:t>
      </w:r>
      <w:r>
        <w:rPr>
          <w:rFonts w:hint="eastAsia" w:cs="Times New Roman"/>
          <w:b w:val="0"/>
          <w:bCs w:val="0"/>
          <w:highlight w:val="none"/>
          <w:lang w:val="en-US" w:eastAsia="zh-CN"/>
        </w:rPr>
        <w:t xml:space="preserve">age groups </w:t>
      </w:r>
      <w:r>
        <w:rPr>
          <w:rFonts w:hint="eastAsia"/>
          <w:highlight w:val="none"/>
        </w:rPr>
        <w:t xml:space="preserve">(15-49 years, 50-74 years and </w:t>
      </w:r>
      <w:r>
        <w:rPr>
          <w:rFonts w:hint="default" w:ascii="Times New Roman" w:hAnsi="Times New Roman" w:eastAsia="宋体" w:cs="Times New Roman"/>
          <w:iCs/>
          <w:sz w:val="24"/>
          <w:szCs w:val="24"/>
          <w:highlight w:val="none"/>
          <w:lang w:val="en-US" w:eastAsia="zh-CN"/>
        </w:rPr>
        <w:t>≥</w:t>
      </w:r>
      <w:r>
        <w:rPr>
          <w:rFonts w:hint="default" w:ascii="Times New Roman" w:hAnsi="Times New Roman" w:eastAsia="宋体" w:cs="Times New Roman"/>
          <w:iCs/>
          <w:sz w:val="24"/>
          <w:szCs w:val="24"/>
          <w:highlight w:val="none"/>
          <w:lang w:eastAsia="zh-CN"/>
        </w:rPr>
        <w:t>75</w:t>
      </w:r>
      <w:r>
        <w:rPr>
          <w:rFonts w:hint="eastAsia" w:eastAsia="宋体" w:cs="Times New Roman"/>
          <w:i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</w:rPr>
        <w:t>years)</w:t>
      </w:r>
      <w:r>
        <w:rPr>
          <w:rFonts w:hint="eastAsia" w:cs="Times New Roman"/>
          <w:b w:val="0"/>
          <w:bCs w:val="0"/>
          <w:highlight w:val="none"/>
          <w:lang w:val="en-US" w:eastAsia="zh-CN"/>
        </w:rPr>
        <w:t xml:space="preserve">, and </w:t>
      </w:r>
      <w:r>
        <w:rPr>
          <w:rFonts w:hint="eastAsia"/>
          <w:highlight w:val="none"/>
          <w:lang w:val="en-US" w:eastAsia="zh-CN"/>
        </w:rPr>
        <w:t xml:space="preserve">geographic 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locations</w:t>
      </w:r>
      <w:r>
        <w:rPr>
          <w:rFonts w:hint="eastAsia"/>
          <w:highlight w:val="none"/>
          <w:lang w:val="en-US" w:eastAsia="zh-CN"/>
        </w:rPr>
        <w:t xml:space="preserve"> (</w:t>
      </w:r>
      <w:r>
        <w:rPr>
          <w:rFonts w:hint="eastAsia"/>
          <w:highlight w:val="none"/>
        </w:rPr>
        <w:t>global, East Asia and Pacific, China, Japan, the Republic of Korea, the US and the UK</w:t>
      </w:r>
      <w:r>
        <w:rPr>
          <w:rFonts w:hint="eastAsia"/>
          <w:highlight w:val="none"/>
          <w:lang w:val="en-US" w:eastAsia="zh-CN"/>
        </w:rPr>
        <w:t>)</w:t>
      </w:r>
      <w:r>
        <w:rPr>
          <w:rFonts w:hint="eastAsia"/>
          <w:highlight w:val="none"/>
          <w:lang w:eastAsia="zh-CN"/>
        </w:rPr>
        <w:t xml:space="preserve"> from 1990 to 2021</w:t>
      </w:r>
      <w:r>
        <w:rPr>
          <w:rFonts w:hint="eastAsia"/>
          <w:highlight w:val="none"/>
          <w:lang w:val="en-US" w:eastAsia="zh-CN"/>
        </w:rPr>
        <w:t>.</w:t>
      </w:r>
    </w:p>
    <w:p w14:paraId="557715BB">
      <w:pPr>
        <w:bidi w:val="0"/>
        <w:rPr>
          <w:rFonts w:hint="eastAsia" w:ascii="Times New Roman" w:hAnsi="Times New Roman" w:cs="Times New Roman"/>
          <w:b/>
          <w:bCs/>
          <w:highlight w:val="none"/>
          <w:lang w:val="en-US" w:eastAsia="zh-CN"/>
        </w:rPr>
      </w:pPr>
    </w:p>
    <w:p w14:paraId="25B7E63D">
      <w:pPr>
        <w:bidi w:val="0"/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</w:pPr>
    </w:p>
    <w:p w14:paraId="1E0377DF">
      <w:pPr>
        <w:bidi w:val="0"/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</w:pPr>
      <w:r>
        <w:rPr>
          <w:rFonts w:hint="eastAsia" w:cs="Times New Roman"/>
          <w:b/>
          <w:bCs/>
          <w:highlight w:val="none"/>
          <w:lang w:val="en-US" w:eastAsia="zh-CN"/>
        </w:rPr>
        <w:t>F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 xml:space="preserve">igure </w:t>
      </w:r>
      <w:r>
        <w:rPr>
          <w:rFonts w:hint="eastAsia" w:cs="Times New Roman"/>
          <w:b/>
          <w:bCs/>
          <w:highlight w:val="none"/>
          <w:lang w:val="en-US" w:eastAsia="zh-CN"/>
        </w:rPr>
        <w:t>S3</w:t>
      </w: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. Attributable numbers of kidney cancer mortality due to high body-mass index across sexes, locations, and ages from 1990 to 2021</w:t>
      </w:r>
    </w:p>
    <w:p w14:paraId="541BEC48">
      <w:pPr>
        <w:bidi w:val="0"/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Attributable numbers of </w:t>
      </w:r>
      <w:r>
        <w:rPr>
          <w:rFonts w:hint="eastAsia" w:cs="Times New Roman"/>
          <w:b w:val="0"/>
          <w:bCs w:val="0"/>
          <w:highlight w:val="none"/>
          <w:lang w:val="en-US" w:eastAsia="zh-CN"/>
        </w:rPr>
        <w:t xml:space="preserve">kidney 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cancer mortality due to high body-mass index</w:t>
      </w:r>
      <w:r>
        <w:rPr>
          <w:rFonts w:hint="eastAsia" w:cs="Times New Roman"/>
          <w:b w:val="0"/>
          <w:bCs w:val="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across sexes</w:t>
      </w:r>
      <w:r>
        <w:rPr>
          <w:rFonts w:hint="eastAsia" w:cs="Times New Roman"/>
          <w:b w:val="0"/>
          <w:bCs w:val="0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  <w:lang w:val="en-US" w:eastAsia="zh-CN"/>
        </w:rPr>
        <w:t xml:space="preserve">(male and female) 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 xml:space="preserve">, </w:t>
      </w:r>
      <w:r>
        <w:rPr>
          <w:rFonts w:hint="eastAsia" w:cs="Times New Roman"/>
          <w:b w:val="0"/>
          <w:bCs w:val="0"/>
          <w:highlight w:val="none"/>
          <w:lang w:val="en-US" w:eastAsia="zh-CN"/>
        </w:rPr>
        <w:t>age groups (</w:t>
      </w:r>
      <w:r>
        <w:rPr>
          <w:rFonts w:hint="eastAsia"/>
          <w:highlight w:val="none"/>
        </w:rPr>
        <w:t xml:space="preserve">15-49 years, 50-74 years and </w:t>
      </w:r>
      <w:r>
        <w:rPr>
          <w:rFonts w:hint="default" w:ascii="Times New Roman" w:hAnsi="Times New Roman" w:eastAsia="宋体" w:cs="Times New Roman"/>
          <w:iCs/>
          <w:sz w:val="24"/>
          <w:szCs w:val="24"/>
          <w:highlight w:val="none"/>
          <w:lang w:val="en-US" w:eastAsia="zh-CN"/>
        </w:rPr>
        <w:t>≥</w:t>
      </w:r>
      <w:r>
        <w:rPr>
          <w:rFonts w:hint="default" w:ascii="Times New Roman" w:hAnsi="Times New Roman" w:eastAsia="宋体" w:cs="Times New Roman"/>
          <w:iCs/>
          <w:sz w:val="24"/>
          <w:szCs w:val="24"/>
          <w:highlight w:val="none"/>
          <w:lang w:eastAsia="zh-CN"/>
        </w:rPr>
        <w:t>75</w:t>
      </w:r>
      <w:r>
        <w:rPr>
          <w:rFonts w:hint="eastAsia" w:eastAsia="宋体" w:cs="Times New Roman"/>
          <w:iCs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/>
          <w:highlight w:val="none"/>
        </w:rPr>
        <w:t>years</w:t>
      </w:r>
      <w:bookmarkStart w:id="0" w:name="_GoBack"/>
      <w:bookmarkEnd w:id="0"/>
      <w:r>
        <w:rPr>
          <w:rFonts w:hint="eastAsia" w:cs="Times New Roman"/>
          <w:b w:val="0"/>
          <w:bCs w:val="0"/>
          <w:highlight w:val="none"/>
          <w:lang w:val="en-US" w:eastAsia="zh-CN"/>
        </w:rPr>
        <w:t xml:space="preserve">), and </w:t>
      </w:r>
      <w:r>
        <w:rPr>
          <w:rFonts w:hint="eastAsia"/>
          <w:highlight w:val="none"/>
          <w:lang w:val="en-US" w:eastAsia="zh-CN"/>
        </w:rPr>
        <w:t xml:space="preserve">geographic </w:t>
      </w:r>
      <w:r>
        <w:rPr>
          <w:rFonts w:hint="default" w:ascii="Times New Roman" w:hAnsi="Times New Roman" w:cs="Times New Roman"/>
          <w:b w:val="0"/>
          <w:bCs w:val="0"/>
          <w:highlight w:val="none"/>
          <w:lang w:val="en-US" w:eastAsia="zh-CN"/>
        </w:rPr>
        <w:t>locations</w:t>
      </w:r>
      <w:r>
        <w:rPr>
          <w:rFonts w:hint="eastAsia"/>
          <w:highlight w:val="none"/>
          <w:lang w:val="en-US" w:eastAsia="zh-CN"/>
        </w:rPr>
        <w:t xml:space="preserve"> (</w:t>
      </w:r>
      <w:r>
        <w:rPr>
          <w:rFonts w:hint="eastAsia"/>
          <w:highlight w:val="none"/>
        </w:rPr>
        <w:t>global, East Asia and Pacific, China, Japan, the Republic of Korea, the US and the UK</w:t>
      </w:r>
      <w:r>
        <w:rPr>
          <w:rFonts w:hint="eastAsia"/>
          <w:highlight w:val="none"/>
          <w:lang w:val="en-US" w:eastAsia="zh-CN"/>
        </w:rPr>
        <w:t>)</w:t>
      </w:r>
      <w:r>
        <w:rPr>
          <w:rFonts w:hint="eastAsia"/>
          <w:highlight w:val="none"/>
          <w:lang w:eastAsia="zh-CN"/>
        </w:rPr>
        <w:t xml:space="preserve"> from 1990 to 2021</w:t>
      </w:r>
      <w:r>
        <w:rPr>
          <w:rFonts w:hint="eastAsia"/>
          <w:highlight w:val="none"/>
          <w:lang w:val="en-US" w:eastAsia="zh-CN"/>
        </w:rPr>
        <w:t>.</w:t>
      </w:r>
    </w:p>
    <w:p w14:paraId="29BCFB08">
      <w:pPr>
        <w:jc w:val="both"/>
        <w:rPr>
          <w:rFonts w:hint="eastAsia"/>
          <w:lang w:val="en-US" w:eastAsia="zh-CN"/>
        </w:rPr>
      </w:pPr>
    </w:p>
    <w:p w14:paraId="03C0A2F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240" w:firstLineChars="100"/>
        <w:jc w:val="center"/>
        <w:textAlignment w:val="auto"/>
        <w:rPr>
          <w:b w:val="0"/>
          <w:bCs w:val="0"/>
        </w:rPr>
      </w:pPr>
    </w:p>
    <w:p w14:paraId="1EDC3E5E">
      <w:pPr>
        <w:bidi w:val="0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 w14:paraId="33C1357C"/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DA969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CB363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CB363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2235E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D03022"/>
    <w:rsid w:val="18D066FD"/>
    <w:rsid w:val="2D881F35"/>
    <w:rsid w:val="5BD03022"/>
    <w:rsid w:val="6FB3100F"/>
    <w:rsid w:val="70093F98"/>
    <w:rsid w:val="730B2E93"/>
    <w:rsid w:val="73B25FBD"/>
    <w:rsid w:val="7C47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40" w:lineRule="atLeast"/>
      <w:jc w:val="both"/>
    </w:pPr>
    <w:rPr>
      <w:rFonts w:ascii="Times New Roman" w:hAnsi="Times New Roman" w:eastAsia="Times New Roman" w:cs="Times New Roman"/>
      <w:color w:val="000000"/>
      <w:sz w:val="24"/>
      <w:lang w:val="en-US" w:eastAsia="de-DE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 w:after="240"/>
      <w:outlineLvl w:val="0"/>
    </w:pPr>
    <w:rPr>
      <w:rFonts w:ascii="Times New Roman" w:hAnsi="Times New Roman"/>
      <w:b/>
      <w:bCs/>
      <w:kern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1156</Characters>
  <Lines>0</Lines>
  <Paragraphs>0</Paragraphs>
  <TotalTime>2</TotalTime>
  <ScaleCrop>false</ScaleCrop>
  <LinksUpToDate>false</LinksUpToDate>
  <CharactersWithSpaces>1369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2025-03-28T07:06:00Z</dcterms:created>
  <dc:creator>gaohar</dc:creator>
  <cp:lastModifiedBy>gaohar</cp:lastModifiedBy>
  <dcterms:modified xsi:type="dcterms:W3CDTF">2025-07-22T09:05:52Z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B5C95AE2C6DE4708A695067A4A218A88_11</vt:lpwstr>
  </property>
  <property fmtid="{D5CDD505-2E9C-101B-9397-08002B2CF9AE}" pid="4" name="KSOTemplateDocerSaveRecord">
    <vt:lpwstr>eyJoZGlkIjoiNDcyNzIwZDIwNmU1YzQ5NzBmMWY1NDA4OGNkMDRjNGMiLCJ1c2VySWQiOiIyNDU4MjI1MjUifQ==</vt:lpwstr>
  </property>
</Properties>
</file>