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F9809">
      <w:pPr>
        <w:pStyle w:val="2"/>
        <w:spacing w:line="360" w:lineRule="auto"/>
        <w:ind w:firstLine="0" w:firstLineChars="0"/>
        <w:rPr>
          <w:rFonts w:ascii="Times New Roman" w:hAnsi="Times New Roman" w:eastAsia="黑体" w:cs="Times New Roman"/>
          <w:sz w:val="24"/>
          <w:szCs w:val="24"/>
        </w:rPr>
      </w:pPr>
      <w:r>
        <w:rPr>
          <w:rFonts w:ascii="Times New Roman" w:hAnsi="Times New Roman" w:cs="Times New Roman"/>
          <w:b/>
          <w:bCs/>
          <w:sz w:val="24"/>
          <w:szCs w:val="24"/>
        </w:rPr>
        <w:t>Supplementary Figure</w:t>
      </w:r>
      <w:r>
        <w:rPr>
          <w:rFonts w:hint="eastAsia" w:ascii="Times New Roman" w:hAnsi="Times New Roman" w:eastAsia="黑体" w:cs="Times New Roman"/>
          <w:sz w:val="24"/>
          <w:szCs w:val="24"/>
          <w:lang w:val="en-US" w:eastAsia="zh-CN"/>
        </w:rPr>
        <w:t xml:space="preserve"> and</w:t>
      </w:r>
      <w:r>
        <w:rPr>
          <w:rFonts w:hint="eastAsia" w:ascii="Arial" w:hAnsi="Arial" w:cs="宋体"/>
          <w:b/>
          <w:bCs/>
          <w:color w:val="4874CB" w:themeColor="accent1"/>
          <w:sz w:val="24"/>
          <w:szCs w:val="24"/>
          <w:lang w:val="en-US" w:eastAsia="zh-CN"/>
          <w14:textFill>
            <w14:solidFill>
              <w14:schemeClr w14:val="accent1"/>
            </w14:solidFill>
          </w14:textFill>
        </w:rPr>
        <w:t xml:space="preserve"> </w:t>
      </w:r>
      <w:r>
        <w:rPr>
          <w:rFonts w:ascii="Times New Roman" w:hAnsi="Times New Roman" w:eastAsia="黑体" w:cs="Times New Roman"/>
          <w:sz w:val="24"/>
          <w:szCs w:val="24"/>
        </w:rPr>
        <w:t>Figure legend</w:t>
      </w:r>
    </w:p>
    <w:p w14:paraId="585282D2">
      <w:pPr>
        <w:rPr>
          <w:rFonts w:hint="eastAsia" w:eastAsia="黑体"/>
          <w:lang w:eastAsia="zh-CN"/>
        </w:rPr>
      </w:pPr>
      <w:r>
        <w:rPr>
          <w:rFonts w:hint="eastAsia" w:eastAsia="黑体"/>
          <w:lang w:eastAsia="zh-CN"/>
        </w:rPr>
        <w:drawing>
          <wp:inline distT="0" distB="0" distL="114300" distR="114300">
            <wp:extent cx="5269230" cy="3921760"/>
            <wp:effectExtent l="0" t="0" r="1270" b="2540"/>
            <wp:docPr id="11" name="图片 11"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S1"/>
                    <pic:cNvPicPr>
                      <a:picLocks noChangeAspect="1"/>
                    </pic:cNvPicPr>
                  </pic:nvPicPr>
                  <pic:blipFill>
                    <a:blip r:embed="rId4"/>
                    <a:stretch>
                      <a:fillRect/>
                    </a:stretch>
                  </pic:blipFill>
                  <pic:spPr>
                    <a:xfrm>
                      <a:off x="0" y="0"/>
                      <a:ext cx="5269230" cy="3921760"/>
                    </a:xfrm>
                    <a:prstGeom prst="rect">
                      <a:avLst/>
                    </a:prstGeom>
                  </pic:spPr>
                </pic:pic>
              </a:graphicData>
            </a:graphic>
          </wp:inline>
        </w:drawing>
      </w:r>
    </w:p>
    <w:p w14:paraId="043E74B5">
      <w:pPr>
        <w:pStyle w:val="5"/>
        <w:spacing w:line="360" w:lineRule="auto"/>
        <w:ind w:firstLine="0" w:firstLineChars="0"/>
        <w:jc w:val="center"/>
        <w:rPr>
          <w:rFonts w:ascii="Times New Roman" w:hAnsi="Times New Roman" w:eastAsia="宋体"/>
          <w:b/>
          <w:color w:val="auto"/>
          <w:sz w:val="24"/>
          <w:szCs w:val="21"/>
        </w:rPr>
      </w:pPr>
      <w:r>
        <w:rPr>
          <w:rFonts w:ascii="Times New Roman" w:hAnsi="Times New Roman" w:eastAsia="宋体"/>
          <w:b/>
          <w:color w:val="auto"/>
          <w:sz w:val="24"/>
          <w:szCs w:val="21"/>
        </w:rPr>
        <w:t>Supplementary Figure 1</w:t>
      </w:r>
    </w:p>
    <w:p w14:paraId="17A2791F">
      <w:pPr>
        <w:pStyle w:val="5"/>
        <w:spacing w:line="360" w:lineRule="auto"/>
        <w:ind w:firstLine="0" w:firstLineChars="0"/>
        <w:jc w:val="center"/>
        <w:rPr>
          <w:rFonts w:ascii="Times New Roman" w:hAnsi="Times New Roman" w:eastAsia="宋体"/>
          <w:b/>
          <w:color w:val="auto"/>
          <w:sz w:val="24"/>
          <w:szCs w:val="21"/>
        </w:rPr>
      </w:pPr>
    </w:p>
    <w:p w14:paraId="79F8F2EC">
      <w:pPr>
        <w:pStyle w:val="5"/>
        <w:spacing w:line="360" w:lineRule="auto"/>
        <w:ind w:firstLine="0" w:firstLineChars="0"/>
        <w:jc w:val="center"/>
        <w:rPr>
          <w:rFonts w:hint="eastAsia" w:ascii="Times New Roman" w:hAnsi="Times New Roman" w:eastAsia="宋体"/>
          <w:b/>
          <w:color w:val="auto"/>
          <w:sz w:val="24"/>
          <w:szCs w:val="21"/>
          <w:lang w:eastAsia="zh-CN"/>
        </w:rPr>
      </w:pPr>
      <w:r>
        <w:rPr>
          <w:rFonts w:hint="eastAsia" w:ascii="Times New Roman" w:hAnsi="Times New Roman" w:eastAsia="宋体"/>
          <w:b/>
          <w:color w:val="auto"/>
          <w:sz w:val="24"/>
          <w:szCs w:val="21"/>
          <w:lang w:eastAsia="zh-CN"/>
        </w:rPr>
        <w:drawing>
          <wp:inline distT="0" distB="0" distL="114300" distR="114300">
            <wp:extent cx="4529455" cy="4291330"/>
            <wp:effectExtent l="0" t="0" r="4445" b="1270"/>
            <wp:docPr id="2" name="图片 2" descr="figureS2 +WB原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S2 +WB原始图"/>
                    <pic:cNvPicPr>
                      <a:picLocks noChangeAspect="1"/>
                    </pic:cNvPicPr>
                  </pic:nvPicPr>
                  <pic:blipFill>
                    <a:blip r:embed="rId5"/>
                    <a:stretch>
                      <a:fillRect/>
                    </a:stretch>
                  </pic:blipFill>
                  <pic:spPr>
                    <a:xfrm>
                      <a:off x="0" y="0"/>
                      <a:ext cx="4529455" cy="4291330"/>
                    </a:xfrm>
                    <a:prstGeom prst="rect">
                      <a:avLst/>
                    </a:prstGeom>
                  </pic:spPr>
                </pic:pic>
              </a:graphicData>
            </a:graphic>
          </wp:inline>
        </w:drawing>
      </w:r>
    </w:p>
    <w:p w14:paraId="76C24FFE">
      <w:pPr>
        <w:rPr>
          <w:rFonts w:hint="default" w:eastAsiaTheme="minorEastAsia"/>
          <w:lang w:val="en-US" w:eastAsia="zh-CN"/>
        </w:rPr>
      </w:pPr>
    </w:p>
    <w:p w14:paraId="4FE07EDF">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ascii="Times New Roman" w:hAnsi="Times New Roman" w:eastAsia="宋体"/>
          <w:b/>
          <w:color w:val="auto"/>
          <w:sz w:val="24"/>
          <w:szCs w:val="21"/>
        </w:rPr>
        <w:t xml:space="preserve">Supplementary Figure </w:t>
      </w:r>
      <w:r>
        <w:rPr>
          <w:rFonts w:hint="eastAsia" w:ascii="Times New Roman" w:hAnsi="Times New Roman" w:eastAsia="宋体"/>
          <w:b/>
          <w:color w:val="auto"/>
          <w:sz w:val="24"/>
          <w:szCs w:val="21"/>
          <w:lang w:val="en-US" w:eastAsia="zh-CN"/>
        </w:rPr>
        <w:t>2</w:t>
      </w:r>
    </w:p>
    <w:p w14:paraId="4785670F">
      <w:pPr>
        <w:pStyle w:val="5"/>
        <w:spacing w:line="360" w:lineRule="auto"/>
        <w:ind w:firstLine="0" w:firstLineChars="0"/>
        <w:jc w:val="center"/>
        <w:rPr>
          <w:rFonts w:hint="eastAsia" w:ascii="Times New Roman" w:hAnsi="Times New Roman" w:eastAsia="宋体"/>
          <w:b/>
          <w:color w:val="auto"/>
          <w:sz w:val="24"/>
          <w:szCs w:val="21"/>
          <w:lang w:val="en-US" w:eastAsia="zh-CN"/>
        </w:rPr>
      </w:pPr>
    </w:p>
    <w:p w14:paraId="1C3D3588">
      <w:pPr>
        <w:pStyle w:val="5"/>
        <w:spacing w:line="360" w:lineRule="auto"/>
        <w:ind w:firstLine="0" w:firstLineChars="0"/>
        <w:jc w:val="both"/>
        <w:rPr>
          <w:rFonts w:hint="eastAsia" w:ascii="Times New Roman" w:hAnsi="Times New Roman" w:eastAsia="宋体"/>
          <w:b/>
          <w:color w:val="auto"/>
          <w:sz w:val="24"/>
          <w:szCs w:val="21"/>
          <w:lang w:val="en-US" w:eastAsia="zh-CN"/>
        </w:rPr>
      </w:pPr>
      <w:r>
        <w:rPr>
          <w:rFonts w:hint="eastAsia" w:ascii="Times New Roman" w:hAnsi="Times New Roman" w:eastAsia="宋体"/>
          <w:b/>
          <w:color w:val="auto"/>
          <w:sz w:val="24"/>
          <w:szCs w:val="21"/>
          <w:lang w:val="en-US" w:eastAsia="zh-CN"/>
        </w:rPr>
        <w:drawing>
          <wp:inline distT="0" distB="0" distL="114300" distR="114300">
            <wp:extent cx="5272405" cy="1770380"/>
            <wp:effectExtent l="0" t="0" r="10795" b="7620"/>
            <wp:docPr id="3" name="图片 3" descr="figureS3 耗竭+k562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S3 耗竭+k562结果"/>
                    <pic:cNvPicPr>
                      <a:picLocks noChangeAspect="1"/>
                    </pic:cNvPicPr>
                  </pic:nvPicPr>
                  <pic:blipFill>
                    <a:blip r:embed="rId6"/>
                    <a:stretch>
                      <a:fillRect/>
                    </a:stretch>
                  </pic:blipFill>
                  <pic:spPr>
                    <a:xfrm>
                      <a:off x="0" y="0"/>
                      <a:ext cx="5272405" cy="1770380"/>
                    </a:xfrm>
                    <a:prstGeom prst="rect">
                      <a:avLst/>
                    </a:prstGeom>
                  </pic:spPr>
                </pic:pic>
              </a:graphicData>
            </a:graphic>
          </wp:inline>
        </w:drawing>
      </w:r>
    </w:p>
    <w:p w14:paraId="12C15096">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ascii="Times New Roman" w:hAnsi="Times New Roman" w:eastAsia="宋体"/>
          <w:b/>
          <w:color w:val="auto"/>
          <w:sz w:val="24"/>
          <w:szCs w:val="21"/>
        </w:rPr>
        <w:t xml:space="preserve">Supplementary Figure </w:t>
      </w:r>
      <w:r>
        <w:rPr>
          <w:rFonts w:hint="eastAsia" w:ascii="Times New Roman" w:hAnsi="Times New Roman" w:eastAsia="宋体"/>
          <w:b/>
          <w:color w:val="auto"/>
          <w:sz w:val="24"/>
          <w:szCs w:val="21"/>
          <w:lang w:val="en-US" w:eastAsia="zh-CN"/>
        </w:rPr>
        <w:t>3</w:t>
      </w:r>
    </w:p>
    <w:p w14:paraId="7B57DD25">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hint="eastAsia" w:ascii="Times New Roman" w:hAnsi="Times New Roman" w:eastAsia="宋体"/>
          <w:b/>
          <w:color w:val="auto"/>
          <w:sz w:val="24"/>
          <w:szCs w:val="21"/>
          <w:lang w:val="en-US" w:eastAsia="zh-CN"/>
        </w:rPr>
        <w:drawing>
          <wp:inline distT="0" distB="0" distL="114300" distR="114300">
            <wp:extent cx="5268595" cy="2165350"/>
            <wp:effectExtent l="0" t="0" r="1905" b="6350"/>
            <wp:docPr id="4" name="图片 4" descr="figureS4 +IL-12evs对NK细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S4 +IL-12evs对NK细胞"/>
                    <pic:cNvPicPr>
                      <a:picLocks noChangeAspect="1"/>
                    </pic:cNvPicPr>
                  </pic:nvPicPr>
                  <pic:blipFill>
                    <a:blip r:embed="rId7"/>
                    <a:stretch>
                      <a:fillRect/>
                    </a:stretch>
                  </pic:blipFill>
                  <pic:spPr>
                    <a:xfrm>
                      <a:off x="0" y="0"/>
                      <a:ext cx="5268595" cy="2165350"/>
                    </a:xfrm>
                    <a:prstGeom prst="rect">
                      <a:avLst/>
                    </a:prstGeom>
                  </pic:spPr>
                </pic:pic>
              </a:graphicData>
            </a:graphic>
          </wp:inline>
        </w:drawing>
      </w:r>
    </w:p>
    <w:p w14:paraId="4EEF0410">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ascii="Times New Roman" w:hAnsi="Times New Roman" w:eastAsia="宋体"/>
          <w:b/>
          <w:color w:val="auto"/>
          <w:sz w:val="24"/>
          <w:szCs w:val="21"/>
        </w:rPr>
        <w:t xml:space="preserve">Supplementary Figure </w:t>
      </w:r>
      <w:r>
        <w:rPr>
          <w:rFonts w:hint="eastAsia" w:ascii="Times New Roman" w:hAnsi="Times New Roman" w:eastAsia="宋体"/>
          <w:b/>
          <w:color w:val="auto"/>
          <w:sz w:val="24"/>
          <w:szCs w:val="21"/>
          <w:lang w:val="en-US" w:eastAsia="zh-CN"/>
        </w:rPr>
        <w:t>4</w:t>
      </w:r>
    </w:p>
    <w:p w14:paraId="282E5F34">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hint="eastAsia" w:ascii="Times New Roman" w:hAnsi="Times New Roman" w:eastAsia="宋体"/>
          <w:b/>
          <w:color w:val="auto"/>
          <w:sz w:val="24"/>
          <w:szCs w:val="21"/>
          <w:lang w:val="en-US" w:eastAsia="zh-CN"/>
        </w:rPr>
        <w:drawing>
          <wp:inline distT="0" distB="0" distL="114300" distR="114300">
            <wp:extent cx="5274310" cy="7703185"/>
            <wp:effectExtent l="0" t="0" r="8890" b="5715"/>
            <wp:docPr id="12" name="图片 12" descr="figure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S5"/>
                    <pic:cNvPicPr>
                      <a:picLocks noChangeAspect="1"/>
                    </pic:cNvPicPr>
                  </pic:nvPicPr>
                  <pic:blipFill>
                    <a:blip r:embed="rId8"/>
                    <a:stretch>
                      <a:fillRect/>
                    </a:stretch>
                  </pic:blipFill>
                  <pic:spPr>
                    <a:xfrm>
                      <a:off x="0" y="0"/>
                      <a:ext cx="5274310" cy="7703185"/>
                    </a:xfrm>
                    <a:prstGeom prst="rect">
                      <a:avLst/>
                    </a:prstGeom>
                  </pic:spPr>
                </pic:pic>
              </a:graphicData>
            </a:graphic>
          </wp:inline>
        </w:drawing>
      </w:r>
    </w:p>
    <w:p w14:paraId="07147A1F">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ascii="Times New Roman" w:hAnsi="Times New Roman" w:eastAsia="宋体"/>
          <w:b/>
          <w:color w:val="auto"/>
          <w:sz w:val="24"/>
          <w:szCs w:val="21"/>
        </w:rPr>
        <w:t xml:space="preserve">Supplementary Figure </w:t>
      </w:r>
      <w:r>
        <w:rPr>
          <w:rFonts w:hint="eastAsia" w:ascii="Times New Roman" w:hAnsi="Times New Roman" w:eastAsia="宋体"/>
          <w:b/>
          <w:color w:val="auto"/>
          <w:sz w:val="24"/>
          <w:szCs w:val="21"/>
          <w:lang w:val="en-US" w:eastAsia="zh-CN"/>
        </w:rPr>
        <w:t>5</w:t>
      </w:r>
    </w:p>
    <w:p w14:paraId="5DD2F646">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hint="eastAsia" w:ascii="Times New Roman" w:hAnsi="Times New Roman" w:eastAsia="宋体"/>
          <w:b/>
          <w:color w:val="auto"/>
          <w:sz w:val="24"/>
          <w:szCs w:val="21"/>
          <w:lang w:val="en-US" w:eastAsia="zh-CN"/>
        </w:rPr>
        <w:drawing>
          <wp:inline distT="0" distB="0" distL="114300" distR="114300">
            <wp:extent cx="5274310" cy="5490845"/>
            <wp:effectExtent l="0" t="0" r="8890" b="8255"/>
            <wp:docPr id="6" name="图片 6" descr="figureS6 多轮刺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S6 多轮刺激"/>
                    <pic:cNvPicPr>
                      <a:picLocks noChangeAspect="1"/>
                    </pic:cNvPicPr>
                  </pic:nvPicPr>
                  <pic:blipFill>
                    <a:blip r:embed="rId9"/>
                    <a:stretch>
                      <a:fillRect/>
                    </a:stretch>
                  </pic:blipFill>
                  <pic:spPr>
                    <a:xfrm>
                      <a:off x="0" y="0"/>
                      <a:ext cx="5274310" cy="5490845"/>
                    </a:xfrm>
                    <a:prstGeom prst="rect">
                      <a:avLst/>
                    </a:prstGeom>
                  </pic:spPr>
                </pic:pic>
              </a:graphicData>
            </a:graphic>
          </wp:inline>
        </w:drawing>
      </w:r>
    </w:p>
    <w:p w14:paraId="138FD932">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ascii="Times New Roman" w:hAnsi="Times New Roman" w:eastAsia="宋体"/>
          <w:b/>
          <w:color w:val="auto"/>
          <w:sz w:val="24"/>
          <w:szCs w:val="21"/>
        </w:rPr>
        <w:t xml:space="preserve">Supplementary Figure </w:t>
      </w:r>
      <w:r>
        <w:rPr>
          <w:rFonts w:hint="eastAsia" w:ascii="Times New Roman" w:hAnsi="Times New Roman" w:eastAsia="宋体"/>
          <w:b/>
          <w:color w:val="auto"/>
          <w:sz w:val="24"/>
          <w:szCs w:val="21"/>
          <w:lang w:val="en-US" w:eastAsia="zh-CN"/>
        </w:rPr>
        <w:t>6</w:t>
      </w:r>
    </w:p>
    <w:p w14:paraId="5D0ECDF8">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hint="eastAsia" w:ascii="Times New Roman" w:hAnsi="Times New Roman" w:eastAsia="宋体"/>
          <w:b/>
          <w:color w:val="auto"/>
          <w:sz w:val="24"/>
          <w:szCs w:val="21"/>
          <w:lang w:val="en-US" w:eastAsia="zh-CN"/>
        </w:rPr>
        <w:drawing>
          <wp:inline distT="0" distB="0" distL="114300" distR="114300">
            <wp:extent cx="5267960" cy="3268980"/>
            <wp:effectExtent l="0" t="0" r="2540" b="7620"/>
            <wp:docPr id="13" name="图片 13" descr="figure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S7"/>
                    <pic:cNvPicPr>
                      <a:picLocks noChangeAspect="1"/>
                    </pic:cNvPicPr>
                  </pic:nvPicPr>
                  <pic:blipFill>
                    <a:blip r:embed="rId10"/>
                    <a:stretch>
                      <a:fillRect/>
                    </a:stretch>
                  </pic:blipFill>
                  <pic:spPr>
                    <a:xfrm>
                      <a:off x="0" y="0"/>
                      <a:ext cx="5267960" cy="3268980"/>
                    </a:xfrm>
                    <a:prstGeom prst="rect">
                      <a:avLst/>
                    </a:prstGeom>
                  </pic:spPr>
                </pic:pic>
              </a:graphicData>
            </a:graphic>
          </wp:inline>
        </w:drawing>
      </w:r>
    </w:p>
    <w:p w14:paraId="798A9C72">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ascii="Times New Roman" w:hAnsi="Times New Roman" w:eastAsia="宋体"/>
          <w:b/>
          <w:color w:val="auto"/>
          <w:sz w:val="24"/>
          <w:szCs w:val="21"/>
        </w:rPr>
        <w:t xml:space="preserve">Supplementary Figure </w:t>
      </w:r>
      <w:r>
        <w:rPr>
          <w:rFonts w:hint="eastAsia" w:ascii="Times New Roman" w:hAnsi="Times New Roman" w:eastAsia="宋体"/>
          <w:b/>
          <w:color w:val="auto"/>
          <w:sz w:val="24"/>
          <w:szCs w:val="21"/>
          <w:lang w:val="en-US" w:eastAsia="zh-CN"/>
        </w:rPr>
        <w:t>7</w:t>
      </w:r>
    </w:p>
    <w:p w14:paraId="16142BC6">
      <w:pPr>
        <w:pStyle w:val="5"/>
        <w:spacing w:line="360" w:lineRule="auto"/>
        <w:ind w:firstLine="0" w:firstLineChars="0"/>
        <w:jc w:val="center"/>
        <w:rPr>
          <w:rFonts w:hint="eastAsia" w:ascii="Times New Roman" w:hAnsi="Times New Roman" w:eastAsia="宋体"/>
          <w:b/>
          <w:color w:val="auto"/>
          <w:sz w:val="24"/>
          <w:szCs w:val="21"/>
          <w:lang w:val="en-US" w:eastAsia="zh-CN"/>
        </w:rPr>
      </w:pPr>
    </w:p>
    <w:p w14:paraId="71DEFB5B">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hint="eastAsia" w:ascii="Times New Roman" w:hAnsi="Times New Roman" w:eastAsia="宋体"/>
          <w:b/>
          <w:color w:val="auto"/>
          <w:sz w:val="24"/>
          <w:szCs w:val="21"/>
          <w:lang w:val="en-US" w:eastAsia="zh-CN"/>
        </w:rPr>
        <w:drawing>
          <wp:inline distT="0" distB="0" distL="114300" distR="114300">
            <wp:extent cx="5269230" cy="7180580"/>
            <wp:effectExtent l="0" t="0" r="1270" b="7620"/>
            <wp:docPr id="9" name="图片 9" descr="figureS9 动物附图+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S9 动物附图+line"/>
                    <pic:cNvPicPr>
                      <a:picLocks noChangeAspect="1"/>
                    </pic:cNvPicPr>
                  </pic:nvPicPr>
                  <pic:blipFill>
                    <a:blip r:embed="rId11"/>
                    <a:stretch>
                      <a:fillRect/>
                    </a:stretch>
                  </pic:blipFill>
                  <pic:spPr>
                    <a:xfrm>
                      <a:off x="0" y="0"/>
                      <a:ext cx="5269230" cy="7180580"/>
                    </a:xfrm>
                    <a:prstGeom prst="rect">
                      <a:avLst/>
                    </a:prstGeom>
                  </pic:spPr>
                </pic:pic>
              </a:graphicData>
            </a:graphic>
          </wp:inline>
        </w:drawing>
      </w:r>
    </w:p>
    <w:p w14:paraId="3C31AF2E">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ascii="Times New Roman" w:hAnsi="Times New Roman" w:eastAsia="宋体"/>
          <w:b/>
          <w:color w:val="auto"/>
          <w:sz w:val="24"/>
          <w:szCs w:val="21"/>
        </w:rPr>
        <w:t xml:space="preserve">Supplementary Figure </w:t>
      </w:r>
      <w:r>
        <w:rPr>
          <w:rFonts w:hint="eastAsia" w:ascii="Times New Roman" w:hAnsi="Times New Roman" w:eastAsia="宋体"/>
          <w:b/>
          <w:color w:val="auto"/>
          <w:sz w:val="24"/>
          <w:szCs w:val="21"/>
          <w:lang w:val="en-US" w:eastAsia="zh-CN"/>
        </w:rPr>
        <w:t>8</w:t>
      </w:r>
    </w:p>
    <w:p w14:paraId="69BD1FF3">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hint="eastAsia" w:ascii="Times New Roman" w:hAnsi="Times New Roman" w:eastAsia="宋体"/>
          <w:b/>
          <w:color w:val="auto"/>
          <w:sz w:val="24"/>
          <w:szCs w:val="21"/>
          <w:lang w:val="en-US" w:eastAsia="zh-CN"/>
        </w:rPr>
        <w:drawing>
          <wp:inline distT="0" distB="0" distL="114300" distR="114300">
            <wp:extent cx="5274310" cy="7433945"/>
            <wp:effectExtent l="0" t="0" r="8890" b="8255"/>
            <wp:docPr id="10" name="图片 10" descr="figureS5 转录组补充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S5 转录组补充图"/>
                    <pic:cNvPicPr>
                      <a:picLocks noChangeAspect="1"/>
                    </pic:cNvPicPr>
                  </pic:nvPicPr>
                  <pic:blipFill>
                    <a:blip r:embed="rId12"/>
                    <a:stretch>
                      <a:fillRect/>
                    </a:stretch>
                  </pic:blipFill>
                  <pic:spPr>
                    <a:xfrm>
                      <a:off x="0" y="0"/>
                      <a:ext cx="5274310" cy="7433945"/>
                    </a:xfrm>
                    <a:prstGeom prst="rect">
                      <a:avLst/>
                    </a:prstGeom>
                  </pic:spPr>
                </pic:pic>
              </a:graphicData>
            </a:graphic>
          </wp:inline>
        </w:drawing>
      </w:r>
    </w:p>
    <w:p w14:paraId="5AAA3E9C">
      <w:pPr>
        <w:pStyle w:val="5"/>
        <w:spacing w:line="360" w:lineRule="auto"/>
        <w:ind w:firstLine="0" w:firstLineChars="0"/>
        <w:jc w:val="center"/>
        <w:rPr>
          <w:rFonts w:hint="eastAsia" w:ascii="Times New Roman" w:hAnsi="Times New Roman" w:eastAsia="宋体"/>
          <w:b/>
          <w:color w:val="auto"/>
          <w:sz w:val="24"/>
          <w:szCs w:val="21"/>
          <w:lang w:val="en-US" w:eastAsia="zh-CN"/>
        </w:rPr>
      </w:pPr>
      <w:r>
        <w:rPr>
          <w:rFonts w:ascii="Times New Roman" w:hAnsi="Times New Roman" w:eastAsia="宋体"/>
          <w:b/>
          <w:color w:val="auto"/>
          <w:sz w:val="24"/>
          <w:szCs w:val="21"/>
        </w:rPr>
        <w:t>Supplementary Figure</w:t>
      </w:r>
      <w:r>
        <w:rPr>
          <w:rFonts w:hint="eastAsia" w:ascii="Times New Roman" w:hAnsi="Times New Roman" w:eastAsia="宋体"/>
          <w:b/>
          <w:color w:val="auto"/>
          <w:sz w:val="24"/>
          <w:szCs w:val="21"/>
          <w:lang w:val="en-US" w:eastAsia="zh-CN"/>
        </w:rPr>
        <w:t>9</w:t>
      </w:r>
    </w:p>
    <w:p w14:paraId="56479176">
      <w:pPr>
        <w:pStyle w:val="5"/>
        <w:spacing w:line="360" w:lineRule="auto"/>
        <w:ind w:firstLine="0" w:firstLineChars="0"/>
        <w:jc w:val="center"/>
        <w:rPr>
          <w:rFonts w:hint="eastAsia" w:ascii="Times New Roman" w:hAnsi="Times New Roman" w:eastAsia="宋体"/>
          <w:b/>
          <w:color w:val="auto"/>
          <w:sz w:val="24"/>
          <w:szCs w:val="21"/>
          <w:lang w:val="en-US" w:eastAsia="zh-CN"/>
        </w:rPr>
      </w:pPr>
    </w:p>
    <w:p w14:paraId="23A4277C">
      <w:pPr>
        <w:pStyle w:val="2"/>
        <w:spacing w:line="360" w:lineRule="auto"/>
        <w:ind w:firstLine="0" w:firstLineChars="0"/>
        <w:rPr>
          <w:rFonts w:ascii="Times New Roman" w:hAnsi="Times New Roman" w:eastAsia="宋体"/>
          <w:b/>
          <w:color w:val="auto"/>
          <w:sz w:val="24"/>
          <w:szCs w:val="21"/>
        </w:rPr>
      </w:pPr>
      <w:r>
        <w:rPr>
          <w:rFonts w:ascii="Times New Roman" w:hAnsi="Times New Roman" w:eastAsia="宋体"/>
          <w:b/>
          <w:color w:val="auto"/>
          <w:sz w:val="24"/>
          <w:szCs w:val="21"/>
        </w:rPr>
        <w:t>Supplementary</w:t>
      </w:r>
      <w:r>
        <w:rPr>
          <w:rFonts w:hint="eastAsia" w:ascii="Times New Roman" w:hAnsi="Times New Roman" w:eastAsia="宋体"/>
          <w:b/>
          <w:color w:val="auto"/>
          <w:sz w:val="24"/>
          <w:szCs w:val="21"/>
          <w:lang w:val="en-US" w:eastAsia="zh-CN"/>
        </w:rPr>
        <w:t xml:space="preserve"> </w:t>
      </w:r>
      <w:r>
        <w:rPr>
          <w:rFonts w:ascii="Times New Roman" w:hAnsi="Times New Roman" w:eastAsia="宋体"/>
          <w:b/>
          <w:color w:val="auto"/>
          <w:sz w:val="24"/>
          <w:szCs w:val="21"/>
        </w:rPr>
        <w:t>Figure legend</w:t>
      </w:r>
    </w:p>
    <w:p w14:paraId="5D1BB349">
      <w:pPr>
        <w:spacing w:line="360" w:lineRule="auto"/>
        <w:rPr>
          <w:rFonts w:hint="eastAsia" w:ascii="Times New Roman" w:hAnsi="Times New Roman" w:eastAsia="宋体" w:cs="Times New Roman"/>
          <w:bCs/>
          <w:color w:val="auto"/>
          <w:sz w:val="24"/>
          <w:szCs w:val="21"/>
          <w:highlight w:val="none"/>
          <w:lang w:val="en-US" w:eastAsia="zh-CN"/>
        </w:rPr>
      </w:pPr>
      <w:r>
        <w:rPr>
          <w:rFonts w:ascii="Times New Roman" w:hAnsi="Times New Roman" w:eastAsia="宋体" w:cs="Times New Roman"/>
          <w:b/>
          <w:sz w:val="24"/>
          <w:szCs w:val="21"/>
        </w:rPr>
        <w:t>Supplementary Figure 1.</w:t>
      </w:r>
      <w:bookmarkStart w:id="0" w:name="OLE_LINK53"/>
      <w:bookmarkStart w:id="1" w:name="OLE_LINK52"/>
      <w:bookmarkStart w:id="2" w:name="OLE_LINK54"/>
      <w:r>
        <w:rPr>
          <w:rFonts w:hint="eastAsia" w:ascii="Times New Roman" w:hAnsi="Times New Roman" w:eastAsia="宋体" w:cs="Times New Roman"/>
          <w:b/>
          <w:sz w:val="24"/>
          <w:szCs w:val="21"/>
          <w:lang w:val="en-US" w:eastAsia="zh-CN"/>
        </w:rPr>
        <w:t xml:space="preserve"> </w:t>
      </w:r>
      <w:r>
        <w:rPr>
          <w:rFonts w:ascii="Times New Roman" w:hAnsi="Times New Roman" w:eastAsia="宋体" w:cs="Times New Roman"/>
          <w:bCs/>
          <w:color w:val="auto"/>
          <w:sz w:val="24"/>
          <w:szCs w:val="21"/>
          <w:highlight w:val="none"/>
        </w:rPr>
        <w:t>Flo</w:t>
      </w:r>
      <w:bookmarkStart w:id="28" w:name="_GoBack"/>
      <w:r>
        <w:rPr>
          <w:rFonts w:ascii="Times New Roman" w:hAnsi="Times New Roman" w:eastAsia="宋体" w:cs="Times New Roman"/>
          <w:bCs/>
          <w:color w:val="auto"/>
          <w:sz w:val="24"/>
          <w:szCs w:val="21"/>
          <w:highlight w:val="none"/>
        </w:rPr>
        <w:t>w cytometry was performed to detect the expression of IL-12 on the surface of HEK293T-mIL-12 cells.</w:t>
      </w:r>
      <w:bookmarkEnd w:id="0"/>
      <w:bookmarkEnd w:id="1"/>
      <w:bookmarkEnd w:id="2"/>
      <w:r>
        <w:rPr>
          <w:rFonts w:hint="eastAsia" w:ascii="Times New Roman" w:hAnsi="Times New Roman" w:eastAsia="宋体" w:cs="Times New Roman"/>
          <w:bCs/>
          <w:color w:val="auto"/>
          <w:sz w:val="24"/>
          <w:szCs w:val="21"/>
          <w:highlight w:val="none"/>
          <w:lang w:val="en-US" w:eastAsia="zh-CN"/>
        </w:rPr>
        <w:t xml:space="preserve"> </w:t>
      </w:r>
      <w:r>
        <w:rPr>
          <w:rFonts w:ascii="Times New Roman" w:hAnsi="Times New Roman" w:eastAsia="宋体" w:cs="Times New Roman"/>
          <w:bCs/>
          <w:color w:val="auto"/>
          <w:sz w:val="24"/>
          <w:szCs w:val="21"/>
        </w:rPr>
        <w:t>Experiments are representative of 3 independent repeats.</w:t>
      </w:r>
    </w:p>
    <w:p w14:paraId="0B3337B9">
      <w:pPr>
        <w:spacing w:line="360" w:lineRule="auto"/>
        <w:rPr>
          <w:rFonts w:hint="eastAsia" w:ascii="Times New Roman" w:hAnsi="Times New Roman" w:eastAsia="宋体" w:cs="Times New Roman"/>
          <w:bCs/>
          <w:color w:val="auto"/>
          <w:sz w:val="24"/>
          <w:szCs w:val="21"/>
          <w:highlight w:val="none"/>
          <w:lang w:val="en-US" w:eastAsia="zh-CN"/>
        </w:rPr>
      </w:pPr>
      <w:r>
        <w:rPr>
          <w:rFonts w:hint="eastAsia" w:ascii="Times New Roman" w:hAnsi="Times New Roman" w:eastAsia="宋体" w:cs="Times New Roman"/>
          <w:b/>
          <w:color w:val="auto"/>
          <w:sz w:val="24"/>
          <w:szCs w:val="21"/>
          <w:highlight w:val="none"/>
        </w:rPr>
        <w:t xml:space="preserve">Supplement </w:t>
      </w:r>
      <w:r>
        <w:rPr>
          <w:rFonts w:ascii="Times New Roman" w:hAnsi="Times New Roman" w:eastAsia="宋体" w:cs="Times New Roman"/>
          <w:b/>
          <w:color w:val="auto"/>
          <w:sz w:val="24"/>
          <w:szCs w:val="21"/>
          <w:highlight w:val="none"/>
        </w:rPr>
        <w:t xml:space="preserve">Figure </w:t>
      </w:r>
      <w:r>
        <w:rPr>
          <w:rFonts w:hint="eastAsia" w:ascii="Times New Roman" w:hAnsi="Times New Roman" w:eastAsia="宋体" w:cs="Times New Roman"/>
          <w:b/>
          <w:color w:val="auto"/>
          <w:sz w:val="24"/>
          <w:szCs w:val="21"/>
          <w:highlight w:val="none"/>
        </w:rPr>
        <w:t>2</w:t>
      </w:r>
      <w:r>
        <w:rPr>
          <w:rFonts w:ascii="Times New Roman" w:hAnsi="Times New Roman" w:eastAsia="宋体" w:cs="Times New Roman"/>
          <w:b/>
          <w:color w:val="auto"/>
          <w:sz w:val="24"/>
          <w:szCs w:val="21"/>
          <w:highlight w:val="none"/>
        </w:rPr>
        <w:t>.</w:t>
      </w:r>
      <w:r>
        <w:rPr>
          <w:rFonts w:hint="eastAsia" w:ascii="Times New Roman" w:hAnsi="Times New Roman" w:eastAsia="宋体" w:cs="Times New Roman"/>
          <w:b/>
          <w:color w:val="auto"/>
          <w:sz w:val="24"/>
          <w:szCs w:val="21"/>
          <w:highlight w:val="none"/>
        </w:rPr>
        <w:t xml:space="preserve"> U</w:t>
      </w:r>
      <w:r>
        <w:rPr>
          <w:rFonts w:ascii="Times New Roman" w:hAnsi="Times New Roman" w:eastAsia="宋体" w:cs="Times New Roman"/>
          <w:b/>
          <w:color w:val="auto"/>
          <w:sz w:val="24"/>
          <w:szCs w:val="21"/>
          <w:highlight w:val="none"/>
        </w:rPr>
        <w:t>ncropped</w:t>
      </w:r>
      <w:r>
        <w:rPr>
          <w:rFonts w:hint="eastAsia" w:ascii="Times New Roman" w:hAnsi="Times New Roman" w:eastAsia="宋体" w:cs="Times New Roman"/>
          <w:b/>
          <w:color w:val="auto"/>
          <w:sz w:val="24"/>
          <w:szCs w:val="21"/>
          <w:highlight w:val="none"/>
        </w:rPr>
        <w:t xml:space="preserve"> gels for Western Blots</w:t>
      </w:r>
      <w:r>
        <w:rPr>
          <w:rFonts w:hint="eastAsia" w:ascii="Times New Roman" w:hAnsi="Times New Roman" w:eastAsia="宋体" w:cs="Times New Roman"/>
          <w:bCs/>
          <w:color w:val="auto"/>
          <w:szCs w:val="21"/>
          <w:highlight w:val="none"/>
        </w:rPr>
        <w:t xml:space="preserve">. </w:t>
      </w:r>
      <w:r>
        <w:rPr>
          <w:rFonts w:hint="eastAsia" w:ascii="Times New Roman" w:hAnsi="Times New Roman" w:eastAsia="宋体" w:cs="Times New Roman"/>
          <w:bCs/>
          <w:color w:val="auto"/>
          <w:sz w:val="24"/>
          <w:szCs w:val="21"/>
          <w:highlight w:val="none"/>
        </w:rPr>
        <w:t>(A)</w:t>
      </w:r>
      <w:r>
        <w:rPr>
          <w:rFonts w:ascii="Times New Roman" w:hAnsi="Times New Roman" w:eastAsia="宋体" w:cs="Times New Roman"/>
          <w:bCs/>
          <w:color w:val="auto"/>
          <w:sz w:val="24"/>
          <w:szCs w:val="21"/>
          <w:highlight w:val="none"/>
        </w:rPr>
        <w:t xml:space="preserve"> </w:t>
      </w:r>
      <w:r>
        <w:rPr>
          <w:rFonts w:hint="eastAsia" w:ascii="Times New Roman" w:hAnsi="Times New Roman" w:eastAsia="宋体" w:cs="Times New Roman"/>
          <w:bCs/>
          <w:color w:val="auto"/>
          <w:sz w:val="24"/>
          <w:szCs w:val="21"/>
          <w:highlight w:val="none"/>
        </w:rPr>
        <w:t>The original and uncropped gels for Western Blots in Figure 1</w:t>
      </w:r>
      <w:r>
        <w:rPr>
          <w:rFonts w:ascii="Times New Roman" w:hAnsi="Times New Roman" w:eastAsia="宋体" w:cs="Times New Roman"/>
          <w:bCs/>
          <w:color w:val="auto"/>
          <w:sz w:val="24"/>
          <w:szCs w:val="21"/>
          <w:highlight w:val="none"/>
        </w:rPr>
        <w:t>C</w:t>
      </w:r>
      <w:r>
        <w:rPr>
          <w:rFonts w:hint="eastAsia" w:ascii="Times New Roman" w:hAnsi="Times New Roman" w:eastAsia="宋体" w:cs="Times New Roman"/>
          <w:bCs/>
          <w:color w:val="auto"/>
          <w:sz w:val="24"/>
          <w:szCs w:val="21"/>
          <w:highlight w:val="none"/>
        </w:rPr>
        <w:t>.</w:t>
      </w:r>
      <w:r>
        <w:rPr>
          <w:rFonts w:ascii="Times New Roman" w:hAnsi="Times New Roman" w:eastAsia="宋体" w:cs="Times New Roman"/>
          <w:bCs/>
          <w:color w:val="auto"/>
          <w:sz w:val="24"/>
          <w:szCs w:val="21"/>
          <w:highlight w:val="none"/>
        </w:rPr>
        <w:t xml:space="preserve"> (</w:t>
      </w:r>
      <w:r>
        <w:rPr>
          <w:rFonts w:hint="eastAsia" w:ascii="Times New Roman" w:hAnsi="Times New Roman" w:eastAsia="宋体" w:cs="Times New Roman"/>
          <w:bCs/>
          <w:color w:val="auto"/>
          <w:sz w:val="24"/>
          <w:szCs w:val="21"/>
          <w:highlight w:val="none"/>
        </w:rPr>
        <w:t>B) Uncropped gels for Western Blots in Figure 2</w:t>
      </w:r>
      <w:r>
        <w:rPr>
          <w:rFonts w:ascii="Times New Roman" w:hAnsi="Times New Roman" w:eastAsia="宋体" w:cs="Times New Roman"/>
          <w:bCs/>
          <w:color w:val="auto"/>
          <w:sz w:val="24"/>
          <w:szCs w:val="21"/>
          <w:highlight w:val="none"/>
        </w:rPr>
        <w:t>A.</w:t>
      </w:r>
      <w:r>
        <w:rPr>
          <w:rFonts w:hint="eastAsia" w:ascii="Times New Roman" w:hAnsi="Times New Roman" w:eastAsia="宋体" w:cs="Times New Roman"/>
          <w:bCs/>
          <w:color w:val="auto"/>
          <w:sz w:val="24"/>
          <w:szCs w:val="21"/>
          <w:highlight w:val="none"/>
          <w:lang w:val="en-US" w:eastAsia="zh-CN"/>
        </w:rPr>
        <w:t xml:space="preserve"> </w:t>
      </w:r>
      <w:r>
        <w:rPr>
          <w:rFonts w:ascii="Times New Roman" w:hAnsi="Times New Roman" w:eastAsia="宋体" w:cs="Times New Roman"/>
          <w:bCs/>
          <w:color w:val="auto"/>
          <w:sz w:val="24"/>
          <w:szCs w:val="21"/>
        </w:rPr>
        <w:t>Experiments are representative of 3 independent repeats.</w:t>
      </w:r>
    </w:p>
    <w:p w14:paraId="2377F52C">
      <w:pPr>
        <w:spacing w:line="360" w:lineRule="auto"/>
        <w:rPr>
          <w:rFonts w:ascii="Times New Roman" w:hAnsi="Times New Roman" w:eastAsia="宋体" w:cs="Times New Roman"/>
          <w:bCs/>
          <w:color w:val="auto"/>
          <w:sz w:val="24"/>
          <w:szCs w:val="21"/>
          <w:highlight w:val="none"/>
        </w:rPr>
      </w:pPr>
      <w:r>
        <w:rPr>
          <w:rFonts w:ascii="Times New Roman" w:hAnsi="Times New Roman" w:eastAsia="宋体" w:cs="Times New Roman"/>
          <w:b/>
          <w:color w:val="auto"/>
          <w:sz w:val="24"/>
          <w:szCs w:val="21"/>
          <w:highlight w:val="none"/>
        </w:rPr>
        <w:t xml:space="preserve">Supplementary Figure </w:t>
      </w:r>
      <w:r>
        <w:rPr>
          <w:rFonts w:hint="eastAsia" w:ascii="Times New Roman" w:hAnsi="Times New Roman" w:eastAsia="宋体" w:cs="Times New Roman"/>
          <w:b/>
          <w:color w:val="auto"/>
          <w:sz w:val="24"/>
          <w:szCs w:val="21"/>
          <w:highlight w:val="none"/>
        </w:rPr>
        <w:t>3</w:t>
      </w:r>
      <w:r>
        <w:rPr>
          <w:rFonts w:ascii="Times New Roman" w:hAnsi="Times New Roman" w:eastAsia="宋体" w:cs="Times New Roman"/>
          <w:b/>
          <w:color w:val="auto"/>
          <w:sz w:val="24"/>
          <w:szCs w:val="21"/>
          <w:highlight w:val="none"/>
        </w:rPr>
        <w:t xml:space="preserve">. </w:t>
      </w:r>
      <w:bookmarkStart w:id="3" w:name="OLE_LINK78"/>
      <w:r>
        <w:rPr>
          <w:rFonts w:ascii="Times New Roman" w:hAnsi="Times New Roman" w:eastAsia="宋体" w:cs="Times New Roman"/>
          <w:b/>
          <w:color w:val="auto"/>
          <w:sz w:val="24"/>
          <w:szCs w:val="21"/>
          <w:highlight w:val="none"/>
        </w:rPr>
        <w:t xml:space="preserve">Effect of IL-12 EVs on </w:t>
      </w:r>
      <w:bookmarkEnd w:id="3"/>
      <w:bookmarkStart w:id="4" w:name="OLE_LINK77"/>
      <w:r>
        <w:rPr>
          <w:rFonts w:ascii="Times New Roman" w:hAnsi="Times New Roman" w:eastAsia="宋体" w:cs="Times New Roman"/>
          <w:b/>
          <w:color w:val="auto"/>
          <w:sz w:val="24"/>
          <w:szCs w:val="21"/>
          <w:highlight w:val="none"/>
        </w:rPr>
        <w:t xml:space="preserve">CAR-T cells. </w:t>
      </w:r>
      <w:bookmarkEnd w:id="4"/>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rPr>
        <w:t>A</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rPr>
        <w:t>B</w:t>
      </w:r>
      <w:r>
        <w:rPr>
          <w:rFonts w:ascii="Times New Roman" w:hAnsi="Times New Roman" w:eastAsia="宋体" w:cs="Times New Roman"/>
          <w:bCs/>
          <w:color w:val="auto"/>
          <w:sz w:val="24"/>
          <w:szCs w:val="21"/>
          <w:highlight w:val="none"/>
        </w:rPr>
        <w:t>) CAR-T cells were mixed with 5×10</w:t>
      </w:r>
      <w:r>
        <w:rPr>
          <w:rFonts w:ascii="Times New Roman" w:hAnsi="Times New Roman" w:eastAsia="宋体" w:cs="Times New Roman"/>
          <w:bCs/>
          <w:color w:val="auto"/>
          <w:sz w:val="24"/>
          <w:szCs w:val="21"/>
          <w:highlight w:val="none"/>
          <w:vertAlign w:val="superscript"/>
        </w:rPr>
        <w:t xml:space="preserve">4 </w:t>
      </w:r>
      <w:r>
        <w:rPr>
          <w:rFonts w:hint="eastAsia" w:ascii="Times New Roman" w:hAnsi="Times New Roman" w:eastAsia="宋体" w:cs="Times New Roman"/>
          <w:bCs/>
          <w:color w:val="auto"/>
          <w:sz w:val="24"/>
          <w:szCs w:val="21"/>
          <w:highlight w:val="none"/>
        </w:rPr>
        <w:t>K</w:t>
      </w:r>
      <w:r>
        <w:rPr>
          <w:rFonts w:ascii="Times New Roman" w:hAnsi="Times New Roman" w:eastAsia="宋体" w:cs="Times New Roman"/>
          <w:bCs/>
          <w:color w:val="auto"/>
          <w:sz w:val="24"/>
          <w:szCs w:val="21"/>
          <w:highlight w:val="none"/>
        </w:rPr>
        <w:t xml:space="preserve">562 cells at an effector-to-target ratio of 1:1 and treated with PBS, control EVs , rhIL-12 and IL-12 EVs </w:t>
      </w:r>
      <w:r>
        <w:rPr>
          <w:rFonts w:hint="eastAsia" w:ascii="Times New Roman" w:hAnsi="Times New Roman" w:eastAsia="宋体" w:cs="Times New Roman"/>
          <w:bCs/>
          <w:color w:val="auto"/>
          <w:sz w:val="24"/>
          <w:szCs w:val="21"/>
          <w:highlight w:val="none"/>
        </w:rPr>
        <w:t>respective</w:t>
      </w:r>
      <w:r>
        <w:rPr>
          <w:rFonts w:ascii="Times New Roman" w:hAnsi="Times New Roman" w:eastAsia="宋体" w:cs="Times New Roman"/>
          <w:bCs/>
          <w:color w:val="auto"/>
          <w:sz w:val="24"/>
          <w:szCs w:val="21"/>
          <w:highlight w:val="none"/>
        </w:rPr>
        <w:t>ly. (</w:t>
      </w:r>
      <w:r>
        <w:rPr>
          <w:rFonts w:hint="eastAsia" w:ascii="Times New Roman" w:hAnsi="Times New Roman" w:eastAsia="宋体" w:cs="Times New Roman"/>
          <w:bCs/>
          <w:color w:val="auto"/>
          <w:sz w:val="24"/>
          <w:szCs w:val="21"/>
          <w:highlight w:val="none"/>
        </w:rPr>
        <w:t>A</w:t>
      </w:r>
      <w:r>
        <w:rPr>
          <w:rFonts w:ascii="Times New Roman" w:hAnsi="Times New Roman" w:eastAsia="宋体" w:cs="Times New Roman"/>
          <w:bCs/>
          <w:color w:val="auto"/>
          <w:sz w:val="24"/>
          <w:szCs w:val="21"/>
          <w:highlight w:val="none"/>
        </w:rPr>
        <w:t>) CD107a expression in CD8+ CAR-T cells was detected by flow cytometry</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lang w:val="en-US" w:eastAsia="zh-CN"/>
        </w:rPr>
        <w:t>(n = 3 donors)</w:t>
      </w:r>
      <w:r>
        <w:rPr>
          <w:rFonts w:ascii="Times New Roman" w:hAnsi="Times New Roman" w:eastAsia="宋体" w:cs="Times New Roman"/>
          <w:bCs/>
          <w:color w:val="auto"/>
          <w:sz w:val="24"/>
          <w:szCs w:val="21"/>
          <w:highlight w:val="none"/>
        </w:rPr>
        <w:t>. (</w:t>
      </w:r>
      <w:r>
        <w:rPr>
          <w:rFonts w:hint="eastAsia" w:ascii="Times New Roman" w:hAnsi="Times New Roman" w:eastAsia="宋体" w:cs="Times New Roman"/>
          <w:bCs/>
          <w:color w:val="auto"/>
          <w:sz w:val="24"/>
          <w:szCs w:val="21"/>
          <w:highlight w:val="none"/>
        </w:rPr>
        <w:t>B</w:t>
      </w:r>
      <w:r>
        <w:rPr>
          <w:rFonts w:ascii="Times New Roman" w:hAnsi="Times New Roman" w:eastAsia="宋体" w:cs="Times New Roman"/>
          <w:bCs/>
          <w:color w:val="auto"/>
          <w:sz w:val="24"/>
          <w:szCs w:val="21"/>
          <w:highlight w:val="none"/>
        </w:rPr>
        <w:t xml:space="preserve">) </w:t>
      </w:r>
      <w:r>
        <w:rPr>
          <w:rFonts w:hint="eastAsia" w:ascii="Times New Roman" w:hAnsi="Times New Roman" w:eastAsia="宋体" w:cs="Times New Roman"/>
          <w:bCs/>
          <w:color w:val="auto"/>
          <w:sz w:val="24"/>
          <w:szCs w:val="21"/>
          <w:highlight w:val="none"/>
        </w:rPr>
        <w:t>K</w:t>
      </w:r>
      <w:r>
        <w:rPr>
          <w:rFonts w:ascii="Times New Roman" w:hAnsi="Times New Roman" w:eastAsia="宋体" w:cs="Times New Roman"/>
          <w:bCs/>
          <w:color w:val="auto"/>
          <w:sz w:val="24"/>
          <w:szCs w:val="21"/>
          <w:highlight w:val="none"/>
        </w:rPr>
        <w:t>562 cell death was determined using PI (BD Pharmingen) and analyzed by using flow cytometry after 24 h</w:t>
      </w:r>
      <w:r>
        <w:rPr>
          <w:rFonts w:hint="eastAsia" w:ascii="Times New Roman" w:hAnsi="Times New Roman" w:eastAsia="宋体" w:cs="Times New Roman"/>
          <w:bCs/>
          <w:color w:val="auto"/>
          <w:sz w:val="24"/>
          <w:szCs w:val="21"/>
          <w:lang w:val="en-US" w:eastAsia="zh-CN"/>
        </w:rPr>
        <w:t xml:space="preserve"> (n = 3 donors)</w:t>
      </w:r>
      <w:r>
        <w:rPr>
          <w:rFonts w:ascii="Times New Roman" w:hAnsi="Times New Roman" w:eastAsia="宋体" w:cs="Times New Roman"/>
          <w:bCs/>
          <w:color w:val="auto"/>
          <w:sz w:val="24"/>
          <w:szCs w:val="21"/>
          <w:highlight w:val="none"/>
        </w:rPr>
        <w:t>. (</w:t>
      </w:r>
      <w:r>
        <w:rPr>
          <w:rFonts w:hint="eastAsia" w:ascii="Times New Roman" w:hAnsi="Times New Roman" w:eastAsia="宋体" w:cs="Times New Roman"/>
          <w:bCs/>
          <w:color w:val="auto"/>
          <w:sz w:val="24"/>
          <w:szCs w:val="21"/>
          <w:highlight w:val="none"/>
        </w:rPr>
        <w:t>C</w:t>
      </w:r>
      <w:r>
        <w:rPr>
          <w:rFonts w:ascii="Times New Roman" w:hAnsi="Times New Roman" w:eastAsia="宋体" w:cs="Times New Roman"/>
          <w:bCs/>
          <w:color w:val="auto"/>
          <w:sz w:val="24"/>
          <w:szCs w:val="21"/>
          <w:highlight w:val="none"/>
        </w:rPr>
        <w:t xml:space="preserve">) </w:t>
      </w:r>
      <w:r>
        <w:rPr>
          <w:rFonts w:hint="eastAsia" w:ascii="Times New Roman" w:hAnsi="Times New Roman" w:eastAsia="宋体" w:cs="Times New Roman"/>
          <w:bCs/>
          <w:color w:val="auto"/>
          <w:sz w:val="24"/>
          <w:szCs w:val="21"/>
          <w:highlight w:val="none"/>
        </w:rPr>
        <w:t xml:space="preserve">3 </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rPr>
        <w:t xml:space="preserve"> </w:t>
      </w:r>
      <w:r>
        <w:rPr>
          <w:rFonts w:ascii="Times New Roman" w:hAnsi="Times New Roman" w:eastAsia="宋体" w:cs="Times New Roman"/>
          <w:bCs/>
          <w:color w:val="auto"/>
          <w:sz w:val="24"/>
          <w:szCs w:val="21"/>
          <w:highlight w:val="none"/>
        </w:rPr>
        <w:t>10</w:t>
      </w:r>
      <w:r>
        <w:rPr>
          <w:rFonts w:hint="eastAsia" w:ascii="Times New Roman" w:hAnsi="Times New Roman" w:eastAsia="宋体" w:cs="Times New Roman"/>
          <w:bCs/>
          <w:color w:val="auto"/>
          <w:sz w:val="24"/>
          <w:szCs w:val="21"/>
          <w:highlight w:val="none"/>
          <w:vertAlign w:val="superscript"/>
        </w:rPr>
        <w:t>5</w:t>
      </w:r>
      <w:r>
        <w:rPr>
          <w:rFonts w:hint="eastAsia" w:ascii="Times New Roman" w:hAnsi="Times New Roman" w:eastAsia="宋体" w:cs="Times New Roman"/>
          <w:bCs/>
          <w:color w:val="auto"/>
          <w:sz w:val="24"/>
          <w:szCs w:val="21"/>
          <w:highlight w:val="none"/>
          <w:vertAlign w:val="superscript"/>
          <w:lang w:val="en-US" w:eastAsia="zh-CN"/>
        </w:rPr>
        <w:t xml:space="preserve"> </w:t>
      </w:r>
      <w:r>
        <w:rPr>
          <w:rFonts w:ascii="Times New Roman" w:hAnsi="Times New Roman" w:eastAsia="宋体" w:cs="Times New Roman"/>
          <w:bCs/>
          <w:color w:val="auto"/>
          <w:sz w:val="24"/>
          <w:szCs w:val="21"/>
          <w:highlight w:val="none"/>
        </w:rPr>
        <w:t>CAR-T cells were mixed with Raji cells at an effector-to-</w:t>
      </w:r>
      <w:bookmarkStart w:id="5" w:name="OLE_LINK29"/>
      <w:bookmarkStart w:id="6" w:name="OLE_LINK30"/>
      <w:r>
        <w:rPr>
          <w:rFonts w:ascii="Times New Roman" w:hAnsi="Times New Roman" w:eastAsia="宋体" w:cs="Times New Roman"/>
          <w:bCs/>
          <w:color w:val="auto"/>
          <w:sz w:val="24"/>
          <w:szCs w:val="21"/>
          <w:highlight w:val="none"/>
        </w:rPr>
        <w:t>target ratio of 1:1 and treated with PBS, control EVs, and rhIL-12 and IL-12 EVs differently. PD</w:t>
      </w:r>
      <w:r>
        <w:rPr>
          <w:rFonts w:hint="eastAsia" w:ascii="Times New Roman" w:hAnsi="Times New Roman" w:eastAsia="宋体" w:cs="Times New Roman"/>
          <w:bCs/>
          <w:color w:val="auto"/>
          <w:sz w:val="24"/>
          <w:szCs w:val="21"/>
          <w:highlight w:val="none"/>
        </w:rPr>
        <w:t>-</w:t>
      </w:r>
      <w:r>
        <w:rPr>
          <w:rFonts w:ascii="Times New Roman" w:hAnsi="Times New Roman" w:eastAsia="宋体" w:cs="Times New Roman"/>
          <w:bCs/>
          <w:color w:val="auto"/>
          <w:sz w:val="24"/>
          <w:szCs w:val="21"/>
          <w:highlight w:val="none"/>
        </w:rPr>
        <w:t>1</w:t>
      </w:r>
      <w:bookmarkEnd w:id="5"/>
      <w:bookmarkEnd w:id="6"/>
      <w:r>
        <w:rPr>
          <w:rFonts w:ascii="Times New Roman" w:hAnsi="Times New Roman" w:eastAsia="宋体" w:cs="Times New Roman"/>
          <w:bCs/>
          <w:color w:val="auto"/>
          <w:sz w:val="24"/>
          <w:szCs w:val="21"/>
          <w:highlight w:val="none"/>
        </w:rPr>
        <w:t xml:space="preserve"> and LAG</w:t>
      </w:r>
      <w:r>
        <w:rPr>
          <w:rFonts w:hint="eastAsia" w:ascii="Times New Roman" w:hAnsi="Times New Roman" w:eastAsia="宋体" w:cs="Times New Roman"/>
          <w:bCs/>
          <w:color w:val="auto"/>
          <w:sz w:val="24"/>
          <w:szCs w:val="21"/>
          <w:highlight w:val="none"/>
        </w:rPr>
        <w:t>-</w:t>
      </w:r>
      <w:r>
        <w:rPr>
          <w:rFonts w:ascii="Times New Roman" w:hAnsi="Times New Roman" w:eastAsia="宋体" w:cs="Times New Roman"/>
          <w:bCs/>
          <w:color w:val="auto"/>
          <w:sz w:val="24"/>
          <w:szCs w:val="21"/>
          <w:highlight w:val="none"/>
        </w:rPr>
        <w:t>3 expression in CAR-T cells was analyzed via flow cytometry after 7 days of treatment</w:t>
      </w:r>
      <w:r>
        <w:rPr>
          <w:rFonts w:hint="eastAsia" w:ascii="Times New Roman" w:hAnsi="Times New Roman" w:eastAsia="宋体" w:cs="Times New Roman"/>
          <w:bCs/>
          <w:color w:val="auto"/>
          <w:sz w:val="24"/>
          <w:szCs w:val="21"/>
          <w:lang w:val="en-US" w:eastAsia="zh-CN"/>
        </w:rPr>
        <w:t xml:space="preserve"> (n = 5 donors)</w:t>
      </w:r>
      <w:r>
        <w:rPr>
          <w:rFonts w:ascii="Times New Roman" w:hAnsi="Times New Roman" w:eastAsia="宋体" w:cs="Times New Roman"/>
          <w:bCs/>
          <w:color w:val="auto"/>
          <w:sz w:val="24"/>
          <w:szCs w:val="21"/>
          <w:highlight w:val="none"/>
        </w:rPr>
        <w:t xml:space="preserve">. </w:t>
      </w:r>
      <w:bookmarkStart w:id="7" w:name="OLE_LINK200"/>
      <w:bookmarkStart w:id="8" w:name="OLE_LINK199"/>
      <w:r>
        <w:rPr>
          <w:rFonts w:ascii="Times New Roman" w:hAnsi="Times New Roman" w:cs="Times New Roman"/>
          <w:bCs/>
          <w:color w:val="auto"/>
          <w:sz w:val="24"/>
          <w:szCs w:val="21"/>
          <w:highlight w:val="none"/>
        </w:rPr>
        <w:t>Data are presented as mean ± SEM. Statistical analysis was performed using one-way ANOVA.</w:t>
      </w:r>
      <w:bookmarkEnd w:id="7"/>
      <w:bookmarkEnd w:id="8"/>
      <w:r>
        <w:rPr>
          <w:rFonts w:ascii="Times New Roman" w:hAnsi="Times New Roman" w:cs="Times New Roman"/>
          <w:bCs/>
          <w:color w:val="auto"/>
          <w:sz w:val="24"/>
          <w:szCs w:val="21"/>
          <w:highlight w:val="none"/>
        </w:rPr>
        <w:t xml:space="preserve"> </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i/>
          <w:iCs/>
          <w:color w:val="auto"/>
          <w:sz w:val="24"/>
          <w:szCs w:val="21"/>
          <w:highlight w:val="none"/>
        </w:rPr>
        <w:t>p</w:t>
      </w:r>
      <w:r>
        <w:rPr>
          <w:rFonts w:ascii="Times New Roman" w:hAnsi="Times New Roman" w:eastAsia="宋体" w:cs="Times New Roman"/>
          <w:bCs/>
          <w:color w:val="auto"/>
          <w:sz w:val="24"/>
          <w:szCs w:val="21"/>
          <w:highlight w:val="none"/>
        </w:rPr>
        <w:t xml:space="preserve"> &lt;0.05.</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lang w:val="en-US" w:eastAsia="zh-CN"/>
        </w:rPr>
        <w:t>P</w:t>
      </w:r>
      <w:r>
        <w:rPr>
          <w:rFonts w:ascii="Times New Roman" w:hAnsi="Times New Roman" w:eastAsia="宋体" w:cs="Times New Roman"/>
          <w:bCs/>
          <w:color w:val="auto"/>
          <w:sz w:val="24"/>
          <w:szCs w:val="21"/>
        </w:rPr>
        <w:t>rotein concentration</w:t>
      </w:r>
      <w:r>
        <w:rPr>
          <w:rFonts w:hint="eastAsia" w:ascii="Times New Roman" w:hAnsi="Times New Roman" w:eastAsia="宋体" w:cs="Times New Roman"/>
          <w:bCs/>
          <w:color w:val="auto"/>
          <w:sz w:val="24"/>
          <w:szCs w:val="21"/>
          <w:lang w:val="en-US" w:eastAsia="zh-CN"/>
        </w:rPr>
        <w:t xml:space="preserve"> of EVs is </w:t>
      </w:r>
      <w:r>
        <w:rPr>
          <w:rFonts w:ascii="Times New Roman" w:hAnsi="Times New Roman" w:eastAsia="宋体" w:cs="Times New Roman"/>
          <w:bCs/>
          <w:color w:val="auto"/>
          <w:sz w:val="24"/>
          <w:szCs w:val="21"/>
        </w:rPr>
        <w:t>167</w:t>
      </w:r>
      <w:bookmarkStart w:id="9" w:name="OLE_LINK61"/>
      <w:bookmarkStart w:id="10" w:name="OLE_LINK65"/>
      <w:bookmarkStart w:id="11" w:name="OLE_LINK62"/>
      <w:r>
        <w:rPr>
          <w:rFonts w:ascii="Times New Roman" w:hAnsi="Times New Roman" w:eastAsia="宋体" w:cs="Times New Roman"/>
          <w:bCs/>
          <w:color w:val="auto"/>
          <w:sz w:val="24"/>
          <w:szCs w:val="21"/>
        </w:rPr>
        <w:t>μg/mL</w:t>
      </w:r>
      <w:bookmarkEnd w:id="9"/>
      <w:bookmarkEnd w:id="10"/>
      <w:bookmarkEnd w:id="11"/>
      <w:r>
        <w:rPr>
          <w:rFonts w:hint="eastAsia" w:ascii="Times New Roman" w:hAnsi="Times New Roman" w:eastAsia="宋体" w:cs="Times New Roman"/>
          <w:bCs/>
          <w:color w:val="auto"/>
          <w:sz w:val="24"/>
          <w:szCs w:val="21"/>
          <w:lang w:val="en-US" w:eastAsia="zh-CN"/>
        </w:rPr>
        <w:t xml:space="preserve">, and </w:t>
      </w:r>
      <w:r>
        <w:rPr>
          <w:rFonts w:ascii="Times New Roman" w:hAnsi="Times New Roman" w:eastAsia="宋体" w:cs="Times New Roman"/>
          <w:bCs/>
          <w:color w:val="auto"/>
          <w:sz w:val="24"/>
          <w:szCs w:val="21"/>
        </w:rPr>
        <w:t>rhIL-12</w:t>
      </w:r>
      <w:bookmarkStart w:id="12" w:name="OLE_LINK95"/>
      <w:bookmarkStart w:id="13" w:name="OLE_LINK94"/>
      <w:r>
        <w:rPr>
          <w:rFonts w:ascii="Times New Roman" w:hAnsi="Times New Roman" w:eastAsia="宋体" w:cs="Times New Roman"/>
          <w:bCs/>
          <w:color w:val="auto"/>
          <w:sz w:val="24"/>
          <w:szCs w:val="21"/>
        </w:rPr>
        <w:t xml:space="preserve"> concentration</w:t>
      </w:r>
      <w:r>
        <w:rPr>
          <w:rFonts w:hint="eastAsia" w:ascii="Times New Roman" w:hAnsi="Times New Roman" w:eastAsia="宋体" w:cs="Times New Roman"/>
          <w:bCs/>
          <w:color w:val="auto"/>
          <w:sz w:val="24"/>
          <w:szCs w:val="21"/>
          <w:lang w:val="en-US" w:eastAsia="zh-CN"/>
        </w:rPr>
        <w:t xml:space="preserve"> is</w:t>
      </w:r>
      <w:r>
        <w:rPr>
          <w:rFonts w:ascii="Times New Roman" w:hAnsi="Times New Roman" w:eastAsia="宋体" w:cs="Times New Roman"/>
          <w:bCs/>
          <w:color w:val="auto"/>
          <w:sz w:val="24"/>
          <w:szCs w:val="21"/>
        </w:rPr>
        <w:t xml:space="preserve"> 667 pg</w:t>
      </w:r>
      <w:r>
        <w:rPr>
          <w:rFonts w:hint="eastAsia" w:ascii="Times New Roman" w:hAnsi="Times New Roman" w:eastAsia="宋体" w:cs="Times New Roman"/>
          <w:bCs/>
          <w:color w:val="auto"/>
          <w:sz w:val="24"/>
          <w:szCs w:val="21"/>
        </w:rPr>
        <w:t>/</w:t>
      </w:r>
      <w:r>
        <w:rPr>
          <w:rFonts w:ascii="Times New Roman" w:hAnsi="Times New Roman" w:eastAsia="宋体" w:cs="Times New Roman"/>
          <w:bCs/>
          <w:color w:val="auto"/>
          <w:sz w:val="24"/>
          <w:szCs w:val="21"/>
        </w:rPr>
        <w:t>mL</w:t>
      </w:r>
      <w:bookmarkEnd w:id="12"/>
      <w:bookmarkEnd w:id="13"/>
      <w:r>
        <w:rPr>
          <w:rFonts w:hint="eastAsia" w:ascii="Times New Roman" w:hAnsi="Times New Roman" w:eastAsia="宋体" w:cs="Times New Roman"/>
          <w:bCs/>
          <w:color w:val="auto"/>
          <w:sz w:val="24"/>
          <w:szCs w:val="21"/>
          <w:lang w:val="en-US" w:eastAsia="zh-CN"/>
        </w:rPr>
        <w:t>.</w:t>
      </w:r>
    </w:p>
    <w:p w14:paraId="30216D9C">
      <w:pPr>
        <w:spacing w:line="360" w:lineRule="auto"/>
        <w:rPr>
          <w:rFonts w:hint="default" w:ascii="Times New Roman" w:hAnsi="Times New Roman" w:eastAsia="宋体" w:cs="Times New Roman"/>
          <w:bCs/>
          <w:color w:val="auto"/>
          <w:sz w:val="24"/>
          <w:szCs w:val="21"/>
          <w:highlight w:val="yellow"/>
          <w:lang w:val="en-US" w:eastAsia="zh-CN"/>
        </w:rPr>
      </w:pPr>
      <w:r>
        <w:rPr>
          <w:rFonts w:hint="eastAsia" w:ascii="Times New Roman" w:hAnsi="Times New Roman" w:eastAsia="宋体" w:cs="Times New Roman"/>
          <w:b/>
          <w:color w:val="auto"/>
          <w:sz w:val="24"/>
          <w:szCs w:val="21"/>
          <w:highlight w:val="none"/>
        </w:rPr>
        <w:t>Supplement Figure 4. IL-12 EVs enhance STAT4 signaling and IFN-γ secretion in primary human NK cells.</w:t>
      </w:r>
      <w:r>
        <w:rPr>
          <w:rFonts w:hint="eastAsia" w:ascii="Times New Roman" w:hAnsi="Times New Roman" w:eastAsia="宋体" w:cs="Times New Roman"/>
          <w:bCs/>
          <w:color w:val="auto"/>
          <w:sz w:val="24"/>
          <w:szCs w:val="21"/>
          <w:highlight w:val="none"/>
        </w:rPr>
        <w:t xml:space="preserve"> (A) Purified human peripheral blood NK cells were stimulated under the indicated conditions for 45 minutes. Intracellular pSTAT4 (Y693) levels were assessed by flow cytometry following stimulation; (B) IFN-γ production </w:t>
      </w:r>
      <w:r>
        <w:rPr>
          <w:rFonts w:hint="eastAsia" w:ascii="Times New Roman" w:hAnsi="Times New Roman" w:eastAsia="宋体" w:cs="Times New Roman"/>
          <w:bCs/>
          <w:color w:val="auto"/>
          <w:sz w:val="24"/>
          <w:szCs w:val="21"/>
          <w:highlight w:val="none"/>
          <w:lang w:val="en-US" w:eastAsia="zh-CN"/>
        </w:rPr>
        <w:t>of NK cells</w:t>
      </w:r>
      <w:r>
        <w:rPr>
          <w:rFonts w:hint="eastAsia" w:ascii="Times New Roman" w:hAnsi="Times New Roman" w:eastAsia="宋体" w:cs="Times New Roman"/>
          <w:bCs/>
          <w:color w:val="auto"/>
          <w:sz w:val="24"/>
          <w:szCs w:val="21"/>
          <w:highlight w:val="none"/>
        </w:rPr>
        <w:t xml:space="preserve"> after</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highlight w:val="none"/>
        </w:rPr>
        <w:t>culture</w:t>
      </w:r>
      <w:r>
        <w:rPr>
          <w:rFonts w:hint="eastAsia" w:ascii="Times New Roman" w:hAnsi="Times New Roman" w:eastAsia="宋体" w:cs="Times New Roman"/>
          <w:bCs/>
          <w:color w:val="auto"/>
          <w:sz w:val="24"/>
          <w:szCs w:val="21"/>
          <w:highlight w:val="none"/>
          <w:lang w:val="en-US" w:eastAsia="zh-CN"/>
        </w:rPr>
        <w:t>d</w:t>
      </w:r>
      <w:r>
        <w:rPr>
          <w:rFonts w:hint="eastAsia" w:ascii="Times New Roman" w:hAnsi="Times New Roman" w:eastAsia="宋体" w:cs="Times New Roman"/>
          <w:bCs/>
          <w:color w:val="auto"/>
          <w:sz w:val="24"/>
          <w:szCs w:val="21"/>
          <w:highlight w:val="none"/>
        </w:rPr>
        <w:t xml:space="preserve"> with PBS, Ctrl EVs, IL-12 EVs and recombinant IL-12 (1 ng/mL) </w:t>
      </w:r>
      <w:r>
        <w:rPr>
          <w:rFonts w:hint="eastAsia" w:ascii="Times New Roman" w:hAnsi="Times New Roman" w:eastAsia="宋体" w:cs="Times New Roman"/>
          <w:bCs/>
          <w:color w:val="auto"/>
          <w:sz w:val="24"/>
          <w:szCs w:val="21"/>
          <w:highlight w:val="none"/>
          <w:lang w:val="en-US" w:eastAsia="zh-CN"/>
        </w:rPr>
        <w:t>for 2</w:t>
      </w:r>
      <w:r>
        <w:rPr>
          <w:rFonts w:hint="eastAsia" w:ascii="Times New Roman" w:hAnsi="Times New Roman" w:eastAsia="宋体" w:cs="Times New Roman"/>
          <w:bCs/>
          <w:color w:val="auto"/>
          <w:sz w:val="24"/>
          <w:szCs w:val="21"/>
          <w:highlight w:val="none"/>
        </w:rPr>
        <w:t>4 hours</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lang w:val="en-US" w:eastAsia="zh-CN"/>
        </w:rPr>
        <w:t>(n = 3 donors)</w:t>
      </w:r>
      <w:r>
        <w:rPr>
          <w:rFonts w:hint="eastAsia" w:ascii="Times New Roman" w:hAnsi="Times New Roman" w:eastAsia="宋体" w:cs="Times New Roman"/>
          <w:bCs/>
          <w:color w:val="auto"/>
          <w:sz w:val="24"/>
          <w:szCs w:val="21"/>
          <w:highlight w:val="none"/>
        </w:rPr>
        <w:t xml:space="preserve">. </w:t>
      </w:r>
      <w:r>
        <w:rPr>
          <w:rFonts w:hint="eastAsia" w:ascii="Times New Roman" w:hAnsi="Times New Roman" w:eastAsia="宋体" w:cs="Times New Roman"/>
          <w:bCs/>
          <w:color w:val="auto"/>
          <w:sz w:val="24"/>
          <w:szCs w:val="21"/>
          <w:lang w:val="en-US" w:eastAsia="zh-CN"/>
        </w:rPr>
        <w:t>P</w:t>
      </w:r>
      <w:r>
        <w:rPr>
          <w:rFonts w:ascii="Times New Roman" w:hAnsi="Times New Roman" w:eastAsia="宋体" w:cs="Times New Roman"/>
          <w:bCs/>
          <w:color w:val="auto"/>
          <w:sz w:val="24"/>
          <w:szCs w:val="21"/>
        </w:rPr>
        <w:t>rotein concentration</w:t>
      </w:r>
      <w:r>
        <w:rPr>
          <w:rFonts w:hint="eastAsia" w:ascii="Times New Roman" w:hAnsi="Times New Roman" w:eastAsia="宋体" w:cs="Times New Roman"/>
          <w:bCs/>
          <w:color w:val="auto"/>
          <w:sz w:val="24"/>
          <w:szCs w:val="21"/>
          <w:lang w:val="en-US" w:eastAsia="zh-CN"/>
        </w:rPr>
        <w:t xml:space="preserve"> of E</w:t>
      </w:r>
      <w:r>
        <w:rPr>
          <w:rFonts w:hint="eastAsia" w:ascii="Times New Roman" w:hAnsi="Times New Roman" w:eastAsia="宋体" w:cs="Times New Roman"/>
          <w:bCs/>
          <w:color w:val="auto"/>
          <w:sz w:val="24"/>
          <w:szCs w:val="21"/>
          <w:highlight w:val="none"/>
          <w:lang w:val="en-US" w:eastAsia="zh-CN"/>
        </w:rPr>
        <w:t xml:space="preserve">Vs is </w:t>
      </w:r>
      <w:r>
        <w:rPr>
          <w:rFonts w:ascii="Times New Roman" w:hAnsi="Times New Roman" w:eastAsia="宋体" w:cs="Times New Roman"/>
          <w:bCs/>
          <w:color w:val="auto"/>
          <w:sz w:val="24"/>
          <w:szCs w:val="21"/>
          <w:highlight w:val="none"/>
        </w:rPr>
        <w:t>167μ</w:t>
      </w:r>
      <w:r>
        <w:rPr>
          <w:rFonts w:ascii="Times New Roman" w:hAnsi="Times New Roman" w:eastAsia="宋体" w:cs="Times New Roman"/>
          <w:bCs/>
          <w:color w:val="auto"/>
          <w:sz w:val="24"/>
          <w:szCs w:val="21"/>
        </w:rPr>
        <w:t>g/mL</w:t>
      </w:r>
      <w:r>
        <w:rPr>
          <w:rFonts w:hint="eastAsia" w:ascii="Times New Roman" w:hAnsi="Times New Roman" w:eastAsia="宋体" w:cs="Times New Roman"/>
          <w:bCs/>
          <w:color w:val="auto"/>
          <w:sz w:val="24"/>
          <w:szCs w:val="21"/>
          <w:lang w:val="en-US" w:eastAsia="zh-CN"/>
        </w:rPr>
        <w:t xml:space="preserve">, and </w:t>
      </w:r>
      <w:r>
        <w:rPr>
          <w:rFonts w:ascii="Times New Roman" w:hAnsi="Times New Roman" w:eastAsia="宋体" w:cs="Times New Roman"/>
          <w:bCs/>
          <w:color w:val="auto"/>
          <w:sz w:val="24"/>
          <w:szCs w:val="21"/>
        </w:rPr>
        <w:t>rhIL-</w:t>
      </w:r>
      <w:r>
        <w:rPr>
          <w:rFonts w:hint="eastAsia" w:ascii="Times New Roman" w:hAnsi="Times New Roman" w:eastAsia="宋体" w:cs="Times New Roman"/>
          <w:bCs/>
          <w:color w:val="auto"/>
          <w:sz w:val="24"/>
          <w:szCs w:val="21"/>
          <w:lang w:val="en-US" w:eastAsia="zh-CN"/>
        </w:rPr>
        <w:t>1</w:t>
      </w:r>
      <w:r>
        <w:rPr>
          <w:rFonts w:ascii="Times New Roman" w:hAnsi="Times New Roman" w:eastAsia="宋体" w:cs="Times New Roman"/>
          <w:bCs/>
          <w:color w:val="auto"/>
          <w:sz w:val="24"/>
          <w:szCs w:val="21"/>
        </w:rPr>
        <w:t>2 concentration</w:t>
      </w:r>
      <w:r>
        <w:rPr>
          <w:rFonts w:hint="eastAsia" w:ascii="Times New Roman" w:hAnsi="Times New Roman" w:eastAsia="宋体" w:cs="Times New Roman"/>
          <w:bCs/>
          <w:color w:val="auto"/>
          <w:sz w:val="24"/>
          <w:szCs w:val="21"/>
          <w:lang w:val="en-US" w:eastAsia="zh-CN"/>
        </w:rPr>
        <w:t xml:space="preserve"> is</w:t>
      </w:r>
      <w:r>
        <w:rPr>
          <w:rFonts w:ascii="Times New Roman" w:hAnsi="Times New Roman" w:eastAsia="宋体" w:cs="Times New Roman"/>
          <w:bCs/>
          <w:color w:val="auto"/>
          <w:sz w:val="24"/>
          <w:szCs w:val="21"/>
        </w:rPr>
        <w:t xml:space="preserve"> </w:t>
      </w:r>
      <w:r>
        <w:rPr>
          <w:rFonts w:hint="eastAsia" w:ascii="Times New Roman" w:hAnsi="Times New Roman" w:eastAsia="宋体" w:cs="Times New Roman"/>
          <w:bCs/>
          <w:color w:val="auto"/>
          <w:sz w:val="24"/>
          <w:szCs w:val="21"/>
          <w:lang w:val="en-US" w:eastAsia="zh-CN"/>
        </w:rPr>
        <w:t>1000 p</w:t>
      </w:r>
      <w:r>
        <w:rPr>
          <w:rFonts w:ascii="Times New Roman" w:hAnsi="Times New Roman" w:eastAsia="宋体" w:cs="Times New Roman"/>
          <w:bCs/>
          <w:color w:val="auto"/>
          <w:sz w:val="24"/>
          <w:szCs w:val="21"/>
        </w:rPr>
        <w:t>g</w:t>
      </w:r>
      <w:r>
        <w:rPr>
          <w:rFonts w:hint="eastAsia" w:ascii="Times New Roman" w:hAnsi="Times New Roman" w:eastAsia="宋体" w:cs="Times New Roman"/>
          <w:bCs/>
          <w:color w:val="auto"/>
          <w:sz w:val="24"/>
          <w:szCs w:val="21"/>
        </w:rPr>
        <w:t>/</w:t>
      </w:r>
      <w:r>
        <w:rPr>
          <w:rFonts w:ascii="Times New Roman" w:hAnsi="Times New Roman" w:eastAsia="宋体" w:cs="Times New Roman"/>
          <w:bCs/>
          <w:color w:val="auto"/>
          <w:sz w:val="24"/>
          <w:szCs w:val="21"/>
        </w:rPr>
        <w:t>mL</w:t>
      </w:r>
      <w:r>
        <w:rPr>
          <w:rFonts w:hint="eastAsia" w:ascii="Times New Roman" w:hAnsi="Times New Roman" w:eastAsia="宋体" w:cs="Times New Roman"/>
          <w:bCs/>
          <w:color w:val="auto"/>
          <w:sz w:val="24"/>
          <w:szCs w:val="21"/>
          <w:lang w:val="en-US" w:eastAsia="zh-CN"/>
        </w:rPr>
        <w:t>.</w:t>
      </w:r>
    </w:p>
    <w:p w14:paraId="0D817354">
      <w:pPr>
        <w:spacing w:line="360" w:lineRule="auto"/>
        <w:rPr>
          <w:rFonts w:hint="eastAsia" w:ascii="Times New Roman" w:hAnsi="Times New Roman" w:eastAsia="宋体" w:cs="Times New Roman"/>
          <w:bCs/>
          <w:color w:val="auto"/>
          <w:sz w:val="24"/>
          <w:szCs w:val="21"/>
          <w:highlight w:val="none"/>
          <w:lang w:val="en-US" w:eastAsia="zh-CN"/>
        </w:rPr>
      </w:pPr>
      <w:r>
        <w:rPr>
          <w:rFonts w:ascii="Times New Roman" w:hAnsi="Times New Roman" w:eastAsia="宋体" w:cs="Times New Roman"/>
          <w:b/>
          <w:color w:val="auto"/>
          <w:sz w:val="24"/>
          <w:szCs w:val="21"/>
          <w:highlight w:val="none"/>
        </w:rPr>
        <w:t xml:space="preserve">Supplementary Figure </w:t>
      </w:r>
      <w:r>
        <w:rPr>
          <w:rFonts w:hint="eastAsia" w:ascii="Times New Roman" w:hAnsi="Times New Roman" w:eastAsia="宋体" w:cs="Times New Roman"/>
          <w:b/>
          <w:color w:val="auto"/>
          <w:sz w:val="24"/>
          <w:szCs w:val="21"/>
          <w:highlight w:val="none"/>
        </w:rPr>
        <w:t>5</w:t>
      </w:r>
      <w:r>
        <w:rPr>
          <w:rFonts w:ascii="Times New Roman" w:hAnsi="Times New Roman" w:eastAsia="宋体" w:cs="Times New Roman"/>
          <w:b/>
          <w:color w:val="auto"/>
          <w:sz w:val="24"/>
          <w:szCs w:val="21"/>
          <w:highlight w:val="none"/>
        </w:rPr>
        <w:t xml:space="preserve">. </w:t>
      </w:r>
      <w:bookmarkStart w:id="14" w:name="OLE_LINK55"/>
      <w:bookmarkStart w:id="15" w:name="OLE_LINK56"/>
      <w:r>
        <w:rPr>
          <w:rFonts w:ascii="Times New Roman" w:hAnsi="Times New Roman" w:eastAsia="宋体" w:cs="Times New Roman"/>
          <w:b/>
          <w:color w:val="auto"/>
          <w:sz w:val="24"/>
          <w:szCs w:val="21"/>
          <w:highlight w:val="none"/>
        </w:rPr>
        <w:t>Production and characterization of CD19 EVs and CD19/</w:t>
      </w:r>
      <w:bookmarkEnd w:id="14"/>
      <w:bookmarkEnd w:id="15"/>
      <w:r>
        <w:rPr>
          <w:rFonts w:ascii="Times New Roman" w:hAnsi="Times New Roman" w:eastAsia="宋体" w:cs="Times New Roman"/>
          <w:b/>
          <w:color w:val="auto"/>
          <w:sz w:val="24"/>
          <w:szCs w:val="21"/>
          <w:highlight w:val="none"/>
        </w:rPr>
        <w:t>IL-12 EVs.</w:t>
      </w:r>
      <w:r>
        <w:rPr>
          <w:rFonts w:ascii="Times New Roman" w:hAnsi="Times New Roman" w:eastAsia="宋体" w:cs="Times New Roman"/>
          <w:bCs/>
          <w:color w:val="auto"/>
          <w:sz w:val="24"/>
          <w:szCs w:val="21"/>
          <w:highlight w:val="none"/>
        </w:rPr>
        <w:t xml:space="preserve"> (A) Flow cytometry detection of CD19 and IL-12 p70 expression in EV-derived HEK293T cell lines</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lang w:val="en-US" w:eastAsia="zh-CN"/>
        </w:rPr>
        <w:t>(independent experiments with n = 3)</w:t>
      </w:r>
      <w:r>
        <w:rPr>
          <w:rFonts w:ascii="Times New Roman" w:hAnsi="Times New Roman" w:eastAsia="宋体" w:cs="Times New Roman"/>
          <w:bCs/>
          <w:color w:val="auto"/>
          <w:sz w:val="24"/>
          <w:szCs w:val="21"/>
          <w:highlight w:val="none"/>
        </w:rPr>
        <w:t>. (B, C) NTA was used to examine the Brownian motion and size distribution of CD19 EVs and CD19/IL-12 EVs</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lang w:val="en-US" w:eastAsia="zh-CN"/>
        </w:rPr>
        <w:t>(independent experiments with n = 3)</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rPr>
        <w:t xml:space="preserve"> </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rPr>
        <w:t>D</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rPr>
        <w:t xml:space="preserve"> T</w:t>
      </w:r>
      <w:r>
        <w:rPr>
          <w:rFonts w:ascii="Times New Roman" w:hAnsi="Times New Roman" w:eastAsia="等线" w:cs="Times New Roman"/>
          <w:color w:val="auto"/>
          <w:sz w:val="24"/>
          <w:szCs w:val="24"/>
          <w:highlight w:val="none"/>
        </w:rPr>
        <w:t>he cell viability of CAR-T cells</w:t>
      </w:r>
      <w:r>
        <w:rPr>
          <w:rFonts w:hint="eastAsia" w:ascii="Times New Roman" w:hAnsi="Times New Roman" w:eastAsia="等线" w:cs="Times New Roman"/>
          <w:color w:val="auto"/>
          <w:sz w:val="24"/>
          <w:szCs w:val="24"/>
          <w:highlight w:val="none"/>
        </w:rPr>
        <w:t xml:space="preserve"> and Raji cells </w:t>
      </w:r>
      <w:r>
        <w:rPr>
          <w:rFonts w:hint="eastAsia" w:ascii="Times New Roman" w:hAnsi="Times New Roman" w:eastAsia="宋体" w:cs="Times New Roman"/>
          <w:bCs/>
          <w:color w:val="auto"/>
          <w:sz w:val="24"/>
          <w:szCs w:val="21"/>
          <w:highlight w:val="none"/>
        </w:rPr>
        <w:t>treated by different EVs or recombinant IL-12</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lang w:val="en-US" w:eastAsia="zh-CN"/>
        </w:rPr>
        <w:t>(independent experiments with n = 3)</w:t>
      </w:r>
      <w:r>
        <w:rPr>
          <w:rFonts w:hint="eastAsia" w:ascii="Times New Roman" w:hAnsi="Times New Roman" w:eastAsia="宋体" w:cs="Times New Roman"/>
          <w:bCs/>
          <w:color w:val="auto"/>
          <w:sz w:val="24"/>
          <w:szCs w:val="21"/>
          <w:highlight w:val="none"/>
        </w:rPr>
        <w:t xml:space="preserve">. </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rPr>
        <w:t>E</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rPr>
        <w:t xml:space="preserve"> The degranulation of CAR-T cells stimulated by different EVs without tumor cells.</w:t>
      </w:r>
      <w:r>
        <w:rPr>
          <w:rFonts w:ascii="Times New Roman" w:hAnsi="Times New Roman" w:eastAsia="宋体" w:cs="Times New Roman"/>
          <w:bCs/>
          <w:color w:val="auto"/>
          <w:sz w:val="24"/>
          <w:szCs w:val="21"/>
          <w:highlight w:val="none"/>
        </w:rPr>
        <w:t xml:space="preserve"> </w:t>
      </w:r>
      <w:r>
        <w:rPr>
          <w:rFonts w:ascii="Times New Roman" w:hAnsi="Times New Roman" w:cs="Times New Roman"/>
          <w:bCs/>
          <w:color w:val="auto"/>
          <w:sz w:val="24"/>
          <w:szCs w:val="21"/>
        </w:rPr>
        <w:t xml:space="preserve">Statistical analysis was performed using one-way ANOVA. </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i/>
          <w:iCs/>
          <w:color w:val="auto"/>
          <w:sz w:val="24"/>
          <w:szCs w:val="21"/>
          <w:highlight w:val="none"/>
        </w:rPr>
        <w:t>p</w:t>
      </w:r>
      <w:r>
        <w:rPr>
          <w:rFonts w:ascii="Times New Roman" w:hAnsi="Times New Roman" w:eastAsia="宋体" w:cs="Times New Roman"/>
          <w:bCs/>
          <w:color w:val="auto"/>
          <w:sz w:val="24"/>
          <w:szCs w:val="21"/>
          <w:highlight w:val="none"/>
        </w:rPr>
        <w:t xml:space="preserve"> &lt;0.05</w:t>
      </w:r>
      <w:r>
        <w:rPr>
          <w:rFonts w:hint="eastAsia"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lang w:val="en-US" w:eastAsia="zh-CN"/>
        </w:rPr>
        <w:t>(independent experiments with n = 3). P</w:t>
      </w:r>
      <w:r>
        <w:rPr>
          <w:rFonts w:ascii="Times New Roman" w:hAnsi="Times New Roman" w:eastAsia="宋体" w:cs="Times New Roman"/>
          <w:bCs/>
          <w:color w:val="auto"/>
          <w:sz w:val="24"/>
          <w:szCs w:val="21"/>
        </w:rPr>
        <w:t>rotein concentration</w:t>
      </w:r>
      <w:r>
        <w:rPr>
          <w:rFonts w:hint="eastAsia" w:ascii="Times New Roman" w:hAnsi="Times New Roman" w:eastAsia="宋体" w:cs="Times New Roman"/>
          <w:bCs/>
          <w:color w:val="auto"/>
          <w:sz w:val="24"/>
          <w:szCs w:val="21"/>
          <w:lang w:val="en-US" w:eastAsia="zh-CN"/>
        </w:rPr>
        <w:t xml:space="preserve"> of EVs is </w:t>
      </w:r>
      <w:r>
        <w:rPr>
          <w:rFonts w:ascii="Times New Roman" w:hAnsi="Times New Roman" w:eastAsia="宋体" w:cs="Times New Roman"/>
          <w:bCs/>
          <w:color w:val="auto"/>
          <w:sz w:val="24"/>
          <w:szCs w:val="21"/>
        </w:rPr>
        <w:t>167μg/mL</w:t>
      </w:r>
      <w:r>
        <w:rPr>
          <w:rFonts w:hint="eastAsia" w:ascii="Times New Roman" w:hAnsi="Times New Roman" w:eastAsia="宋体" w:cs="Times New Roman"/>
          <w:bCs/>
          <w:color w:val="auto"/>
          <w:sz w:val="24"/>
          <w:szCs w:val="21"/>
          <w:lang w:val="en-US" w:eastAsia="zh-CN"/>
        </w:rPr>
        <w:t xml:space="preserve">, and </w:t>
      </w:r>
      <w:r>
        <w:rPr>
          <w:rFonts w:ascii="Times New Roman" w:hAnsi="Times New Roman" w:eastAsia="宋体" w:cs="Times New Roman"/>
          <w:bCs/>
          <w:color w:val="auto"/>
          <w:sz w:val="24"/>
          <w:szCs w:val="21"/>
        </w:rPr>
        <w:t>rhIL-12 concentration</w:t>
      </w:r>
      <w:r>
        <w:rPr>
          <w:rFonts w:hint="eastAsia" w:ascii="Times New Roman" w:hAnsi="Times New Roman" w:eastAsia="宋体" w:cs="Times New Roman"/>
          <w:bCs/>
          <w:color w:val="auto"/>
          <w:sz w:val="24"/>
          <w:szCs w:val="21"/>
          <w:lang w:val="en-US" w:eastAsia="zh-CN"/>
        </w:rPr>
        <w:t xml:space="preserve"> is</w:t>
      </w:r>
      <w:r>
        <w:rPr>
          <w:rFonts w:ascii="Times New Roman" w:hAnsi="Times New Roman" w:eastAsia="宋体" w:cs="Times New Roman"/>
          <w:bCs/>
          <w:color w:val="auto"/>
          <w:sz w:val="24"/>
          <w:szCs w:val="21"/>
        </w:rPr>
        <w:t xml:space="preserve"> 667 pg</w:t>
      </w:r>
      <w:r>
        <w:rPr>
          <w:rFonts w:hint="eastAsia" w:ascii="Times New Roman" w:hAnsi="Times New Roman" w:eastAsia="宋体" w:cs="Times New Roman"/>
          <w:bCs/>
          <w:color w:val="auto"/>
          <w:sz w:val="24"/>
          <w:szCs w:val="21"/>
        </w:rPr>
        <w:t>/</w:t>
      </w:r>
      <w:r>
        <w:rPr>
          <w:rFonts w:ascii="Times New Roman" w:hAnsi="Times New Roman" w:eastAsia="宋体" w:cs="Times New Roman"/>
          <w:bCs/>
          <w:color w:val="auto"/>
          <w:sz w:val="24"/>
          <w:szCs w:val="21"/>
        </w:rPr>
        <w:t>mL</w:t>
      </w:r>
      <w:r>
        <w:rPr>
          <w:rFonts w:hint="eastAsia" w:ascii="Times New Roman" w:hAnsi="Times New Roman" w:eastAsia="宋体" w:cs="Times New Roman"/>
          <w:bCs/>
          <w:color w:val="auto"/>
          <w:sz w:val="24"/>
          <w:szCs w:val="21"/>
          <w:lang w:val="en-US" w:eastAsia="zh-CN"/>
        </w:rPr>
        <w:t>.</w:t>
      </w:r>
    </w:p>
    <w:p w14:paraId="31CD9AC3">
      <w:pPr>
        <w:spacing w:line="360" w:lineRule="auto"/>
        <w:rPr>
          <w:rFonts w:ascii="Times New Roman" w:hAnsi="Times New Roman" w:eastAsia="宋体" w:cs="Times New Roman"/>
          <w:bCs/>
          <w:color w:val="auto"/>
          <w:sz w:val="24"/>
          <w:szCs w:val="21"/>
          <w:highlight w:val="none"/>
        </w:rPr>
      </w:pPr>
      <w:r>
        <w:rPr>
          <w:rFonts w:hint="eastAsia" w:ascii="Times New Roman" w:hAnsi="Times New Roman" w:eastAsia="宋体" w:cs="Times New Roman"/>
          <w:b/>
          <w:color w:val="auto"/>
          <w:sz w:val="24"/>
          <w:szCs w:val="21"/>
          <w:highlight w:val="none"/>
        </w:rPr>
        <w:t xml:space="preserve">Supplement </w:t>
      </w:r>
      <w:r>
        <w:rPr>
          <w:rFonts w:ascii="Times New Roman" w:hAnsi="Times New Roman" w:eastAsia="宋体" w:cs="Times New Roman"/>
          <w:b/>
          <w:color w:val="auto"/>
          <w:sz w:val="24"/>
          <w:szCs w:val="21"/>
          <w:highlight w:val="none"/>
        </w:rPr>
        <w:t xml:space="preserve">Figure </w:t>
      </w:r>
      <w:r>
        <w:rPr>
          <w:rFonts w:hint="eastAsia" w:ascii="Times New Roman" w:hAnsi="Times New Roman" w:eastAsia="宋体" w:cs="Times New Roman"/>
          <w:b/>
          <w:color w:val="auto"/>
          <w:sz w:val="24"/>
          <w:szCs w:val="21"/>
          <w:highlight w:val="none"/>
        </w:rPr>
        <w:t>6</w:t>
      </w:r>
      <w:r>
        <w:rPr>
          <w:rFonts w:ascii="Times New Roman" w:hAnsi="Times New Roman" w:eastAsia="宋体" w:cs="Times New Roman"/>
          <w:b/>
          <w:color w:val="auto"/>
          <w:sz w:val="24"/>
          <w:szCs w:val="21"/>
          <w:highlight w:val="none"/>
        </w:rPr>
        <w:t>.</w:t>
      </w:r>
      <w:r>
        <w:rPr>
          <w:rFonts w:hint="eastAsia" w:ascii="Times New Roman" w:hAnsi="Times New Roman" w:eastAsia="宋体" w:cs="Times New Roman"/>
          <w:b/>
          <w:color w:val="auto"/>
          <w:sz w:val="24"/>
          <w:szCs w:val="21"/>
          <w:highlight w:val="none"/>
        </w:rPr>
        <w:t xml:space="preserve"> L</w:t>
      </w:r>
      <w:r>
        <w:rPr>
          <w:rFonts w:ascii="Times New Roman" w:hAnsi="Times New Roman" w:eastAsia="宋体" w:cs="Times New Roman"/>
          <w:b/>
          <w:color w:val="auto"/>
          <w:sz w:val="24"/>
          <w:szCs w:val="21"/>
          <w:highlight w:val="none"/>
        </w:rPr>
        <w:t>ong-term effects of</w:t>
      </w:r>
      <w:r>
        <w:rPr>
          <w:rFonts w:hint="eastAsia" w:ascii="Times New Roman" w:hAnsi="Times New Roman" w:eastAsia="宋体" w:cs="Times New Roman"/>
          <w:b/>
          <w:color w:val="auto"/>
          <w:sz w:val="24"/>
          <w:szCs w:val="21"/>
          <w:highlight w:val="none"/>
        </w:rPr>
        <w:t xml:space="preserve"> </w:t>
      </w:r>
      <w:r>
        <w:rPr>
          <w:rFonts w:ascii="Times New Roman" w:hAnsi="Times New Roman" w:eastAsia="宋体" w:cs="Times New Roman"/>
          <w:b/>
          <w:color w:val="auto"/>
          <w:sz w:val="24"/>
          <w:szCs w:val="21"/>
          <w:highlight w:val="none"/>
        </w:rPr>
        <w:t>EV treatments on CAR-T</w:t>
      </w:r>
      <w:r>
        <w:rPr>
          <w:rFonts w:hint="eastAsia" w:ascii="Times New Roman" w:hAnsi="Times New Roman" w:eastAsia="宋体" w:cs="Times New Roman"/>
          <w:b/>
          <w:color w:val="auto"/>
          <w:sz w:val="24"/>
          <w:szCs w:val="21"/>
          <w:highlight w:val="none"/>
        </w:rPr>
        <w:t xml:space="preserve"> cells</w:t>
      </w:r>
      <w:r>
        <w:rPr>
          <w:rFonts w:hint="eastAsia" w:ascii="Times New Roman" w:hAnsi="Times New Roman" w:eastAsia="宋体" w:cs="Times New Roman"/>
          <w:bCs/>
          <w:color w:val="auto"/>
          <w:sz w:val="24"/>
          <w:szCs w:val="21"/>
          <w:highlight w:val="none"/>
        </w:rPr>
        <w:t>. (A)</w:t>
      </w:r>
      <w:r>
        <w:rPr>
          <w:rFonts w:ascii="Times New Roman" w:hAnsi="Times New Roman" w:eastAsia="宋体" w:cs="Times New Roman"/>
          <w:bCs/>
          <w:color w:val="auto"/>
          <w:sz w:val="24"/>
          <w:szCs w:val="21"/>
          <w:highlight w:val="none"/>
        </w:rPr>
        <w:t xml:space="preserve"> Schematic diagram of repeated EV stimulation. </w:t>
      </w:r>
      <w:r>
        <w:rPr>
          <w:rFonts w:ascii="Times New Roman" w:hAnsi="Times New Roman" w:eastAsia="宋体" w:cs="Times New Roman"/>
          <w:bCs/>
          <w:color w:val="auto"/>
          <w:sz w:val="24"/>
          <w:szCs w:val="21"/>
        </w:rPr>
        <w:t>3 × 10⁵</w:t>
      </w:r>
      <w:r>
        <w:rPr>
          <w:rFonts w:hint="eastAsia" w:ascii="Times New Roman" w:hAnsi="Times New Roman" w:eastAsia="宋体" w:cs="Times New Roman"/>
          <w:bCs/>
          <w:color w:val="auto"/>
          <w:sz w:val="24"/>
          <w:szCs w:val="21"/>
          <w:lang w:val="en-US" w:eastAsia="zh-CN"/>
        </w:rPr>
        <w:t xml:space="preserve"> </w:t>
      </w:r>
      <w:r>
        <w:rPr>
          <w:rFonts w:ascii="Times New Roman" w:hAnsi="Times New Roman" w:eastAsia="宋体" w:cs="Times New Roman"/>
          <w:bCs/>
          <w:color w:val="auto"/>
          <w:sz w:val="24"/>
          <w:szCs w:val="21"/>
          <w:highlight w:val="none"/>
        </w:rPr>
        <w:t>CAR-T cells</w:t>
      </w:r>
      <w:r>
        <w:rPr>
          <w:rFonts w:ascii="Times New Roman" w:hAnsi="Times New Roman" w:eastAsia="宋体" w:cs="Times New Roman"/>
          <w:bCs/>
          <w:color w:val="auto"/>
          <w:sz w:val="24"/>
          <w:szCs w:val="21"/>
        </w:rPr>
        <w:t xml:space="preserve"> </w:t>
      </w:r>
      <w:bookmarkStart w:id="16" w:name="OLE_LINK124"/>
      <w:bookmarkStart w:id="17" w:name="OLE_LINK123"/>
      <w:r>
        <w:rPr>
          <w:rFonts w:ascii="Times New Roman" w:hAnsi="Times New Roman" w:eastAsia="宋体" w:cs="Times New Roman"/>
          <w:bCs/>
          <w:color w:val="auto"/>
          <w:sz w:val="24"/>
          <w:szCs w:val="21"/>
        </w:rPr>
        <w:t>(cell density: 1*10</w:t>
      </w:r>
      <w:r>
        <w:rPr>
          <w:rFonts w:ascii="Times New Roman" w:hAnsi="Times New Roman" w:eastAsia="宋体" w:cs="Times New Roman"/>
          <w:bCs/>
          <w:color w:val="auto"/>
          <w:sz w:val="24"/>
          <w:szCs w:val="21"/>
          <w:vertAlign w:val="superscript"/>
        </w:rPr>
        <w:t>6</w:t>
      </w:r>
      <w:r>
        <w:rPr>
          <w:rFonts w:hint="eastAsia" w:ascii="Times New Roman" w:hAnsi="Times New Roman" w:eastAsia="宋体" w:cs="Times New Roman"/>
          <w:bCs/>
          <w:color w:val="auto"/>
          <w:sz w:val="24"/>
          <w:szCs w:val="21"/>
        </w:rPr>
        <w:t>/</w:t>
      </w:r>
      <w:r>
        <w:rPr>
          <w:rFonts w:ascii="Times New Roman" w:hAnsi="Times New Roman" w:eastAsia="宋体" w:cs="Times New Roman"/>
          <w:bCs/>
          <w:color w:val="auto"/>
          <w:sz w:val="24"/>
          <w:szCs w:val="21"/>
        </w:rPr>
        <w:t>mL)</w:t>
      </w:r>
      <w:bookmarkEnd w:id="16"/>
      <w:bookmarkEnd w:id="17"/>
      <w:r>
        <w:rPr>
          <w:rFonts w:ascii="Times New Roman" w:hAnsi="Times New Roman" w:eastAsia="宋体" w:cs="Times New Roman"/>
          <w:bCs/>
          <w:color w:val="auto"/>
          <w:sz w:val="24"/>
          <w:szCs w:val="21"/>
          <w:highlight w:val="none"/>
        </w:rPr>
        <w:t xml:space="preserve"> were co-cultured with Raji tumor cells at an effector-to-target ratio of </w:t>
      </w:r>
      <w:r>
        <w:rPr>
          <w:rFonts w:hint="eastAsia" w:ascii="Times New Roman" w:hAnsi="Times New Roman" w:eastAsia="宋体" w:cs="Times New Roman"/>
          <w:bCs/>
          <w:color w:val="auto"/>
          <w:sz w:val="24"/>
          <w:szCs w:val="21"/>
          <w:highlight w:val="none"/>
        </w:rPr>
        <w:t>3</w:t>
      </w:r>
      <w:r>
        <w:rPr>
          <w:rFonts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rPr>
        <w:t>1</w:t>
      </w:r>
      <w:r>
        <w:rPr>
          <w:rFonts w:ascii="Times New Roman" w:hAnsi="Times New Roman" w:eastAsia="宋体" w:cs="Times New Roman"/>
          <w:bCs/>
          <w:color w:val="auto"/>
          <w:sz w:val="24"/>
          <w:szCs w:val="21"/>
          <w:highlight w:val="none"/>
        </w:rPr>
        <w:t xml:space="preserve"> and treated with PBS, control EVs , </w:t>
      </w:r>
      <w:r>
        <w:rPr>
          <w:rFonts w:hint="eastAsia" w:ascii="Times New Roman" w:hAnsi="Times New Roman" w:eastAsia="宋体" w:cs="Times New Roman"/>
          <w:bCs/>
          <w:color w:val="auto"/>
          <w:sz w:val="24"/>
          <w:szCs w:val="21"/>
          <w:highlight w:val="none"/>
        </w:rPr>
        <w:t>CD19 EVs</w:t>
      </w:r>
      <w:r>
        <w:rPr>
          <w:rFonts w:ascii="Times New Roman" w:hAnsi="Times New Roman" w:eastAsia="宋体" w:cs="Times New Roman"/>
          <w:bCs/>
          <w:color w:val="auto"/>
          <w:sz w:val="24"/>
          <w:szCs w:val="21"/>
          <w:highlight w:val="none"/>
        </w:rPr>
        <w:t>, or IL-12–loaded EVs as indicated. Fresh medium, EVs, and tumor cells were replenished every 3 days.</w:t>
      </w:r>
      <w:r>
        <w:rPr>
          <w:rFonts w:hint="eastAsia" w:ascii="Times New Roman" w:hAnsi="Times New Roman" w:eastAsia="宋体" w:cs="Times New Roman"/>
          <w:bCs/>
          <w:color w:val="auto"/>
          <w:sz w:val="24"/>
          <w:szCs w:val="21"/>
          <w:highlight w:val="none"/>
        </w:rPr>
        <w:t xml:space="preserve"> (B) Flow cytometric analysis of central memory and effector memory T cell subsets </w:t>
      </w:r>
      <w:r>
        <w:rPr>
          <w:rFonts w:ascii="Times New Roman" w:hAnsi="Times New Roman" w:eastAsia="宋体" w:cs="Times New Roman"/>
          <w:bCs/>
          <w:color w:val="auto"/>
          <w:sz w:val="24"/>
          <w:szCs w:val="21"/>
          <w:highlight w:val="none"/>
        </w:rPr>
        <w:t>in CAR-T cells following each round of stimulation. (</w:t>
      </w:r>
      <w:r>
        <w:rPr>
          <w:rFonts w:hint="eastAsia" w:ascii="Times New Roman" w:hAnsi="Times New Roman" w:eastAsia="宋体" w:cs="Times New Roman"/>
          <w:bCs/>
          <w:color w:val="auto"/>
          <w:sz w:val="24"/>
          <w:szCs w:val="21"/>
          <w:highlight w:val="none"/>
        </w:rPr>
        <w:t>C) Continuous evaluation of</w:t>
      </w:r>
      <w:r>
        <w:rPr>
          <w:rFonts w:ascii="Times New Roman" w:hAnsi="Times New Roman" w:eastAsia="宋体" w:cs="Times New Roman"/>
          <w:bCs/>
          <w:color w:val="auto"/>
          <w:sz w:val="24"/>
          <w:szCs w:val="21"/>
          <w:highlight w:val="none"/>
        </w:rPr>
        <w:t xml:space="preserve"> exhaustion marker expression (TIM-3, LAG-3, PD-1, and TIGIT) in CAR-T cells following each round of stimulation</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lang w:val="en-US" w:eastAsia="zh-CN"/>
        </w:rPr>
        <w:t>(n = 4 donors)</w:t>
      </w:r>
      <w:r>
        <w:rPr>
          <w:rFonts w:hint="eastAsia" w:ascii="Times New Roman" w:hAnsi="Times New Roman" w:eastAsia="宋体" w:cs="Times New Roman"/>
          <w:bCs/>
          <w:color w:val="auto"/>
          <w:sz w:val="24"/>
          <w:szCs w:val="21"/>
          <w:highlight w:val="none"/>
        </w:rPr>
        <w:t>. Mean ±SEM.</w:t>
      </w:r>
      <w:r>
        <w:rPr>
          <w:rFonts w:ascii="Times New Roman" w:hAnsi="Times New Roman" w:eastAsia="宋体" w:cs="Times New Roman"/>
          <w:bCs/>
          <w:color w:val="auto"/>
          <w:sz w:val="24"/>
          <w:szCs w:val="21"/>
          <w:highlight w:val="none"/>
        </w:rPr>
        <w:t xml:space="preserve"> *</w:t>
      </w:r>
      <w:r>
        <w:rPr>
          <w:rFonts w:hint="eastAsia" w:ascii="Times New Roman" w:hAnsi="Times New Roman" w:eastAsia="宋体" w:cs="Times New Roman"/>
          <w:bCs/>
          <w:i/>
          <w:iCs/>
          <w:color w:val="auto"/>
          <w:sz w:val="24"/>
          <w:szCs w:val="21"/>
          <w:highlight w:val="none"/>
        </w:rPr>
        <w:t>p</w:t>
      </w:r>
      <w:r>
        <w:rPr>
          <w:rFonts w:ascii="Times New Roman" w:hAnsi="Times New Roman" w:eastAsia="宋体" w:cs="Times New Roman"/>
          <w:bCs/>
          <w:color w:val="auto"/>
          <w:sz w:val="24"/>
          <w:szCs w:val="21"/>
          <w:highlight w:val="none"/>
        </w:rPr>
        <w:t xml:space="preserve"> &lt;0.05</w:t>
      </w:r>
      <w:r>
        <w:rPr>
          <w:rFonts w:hint="eastAsia"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lang w:val="en-US" w:eastAsia="zh-CN"/>
        </w:rPr>
        <w:t>P</w:t>
      </w:r>
      <w:r>
        <w:rPr>
          <w:rFonts w:ascii="Times New Roman" w:hAnsi="Times New Roman" w:eastAsia="宋体" w:cs="Times New Roman"/>
          <w:bCs/>
          <w:color w:val="auto"/>
          <w:sz w:val="24"/>
          <w:szCs w:val="21"/>
        </w:rPr>
        <w:t>rotein concentration</w:t>
      </w:r>
      <w:r>
        <w:rPr>
          <w:rFonts w:hint="eastAsia" w:ascii="Times New Roman" w:hAnsi="Times New Roman" w:eastAsia="宋体" w:cs="Times New Roman"/>
          <w:bCs/>
          <w:color w:val="auto"/>
          <w:sz w:val="24"/>
          <w:szCs w:val="21"/>
          <w:lang w:val="en-US" w:eastAsia="zh-CN"/>
        </w:rPr>
        <w:t xml:space="preserve"> of EVs is </w:t>
      </w:r>
      <w:r>
        <w:rPr>
          <w:rFonts w:ascii="Times New Roman" w:hAnsi="Times New Roman" w:eastAsia="宋体" w:cs="Times New Roman"/>
          <w:bCs/>
          <w:color w:val="auto"/>
          <w:sz w:val="24"/>
          <w:szCs w:val="21"/>
        </w:rPr>
        <w:t>167μg/mL</w:t>
      </w:r>
      <w:r>
        <w:rPr>
          <w:rFonts w:hint="eastAsia" w:ascii="Times New Roman" w:hAnsi="Times New Roman" w:eastAsia="宋体" w:cs="Times New Roman"/>
          <w:bCs/>
          <w:color w:val="auto"/>
          <w:sz w:val="24"/>
          <w:szCs w:val="21"/>
          <w:lang w:val="en-US" w:eastAsia="zh-CN"/>
        </w:rPr>
        <w:t xml:space="preserve">, and </w:t>
      </w:r>
      <w:r>
        <w:rPr>
          <w:rFonts w:ascii="Times New Roman" w:hAnsi="Times New Roman" w:eastAsia="宋体" w:cs="Times New Roman"/>
          <w:bCs/>
          <w:color w:val="auto"/>
          <w:sz w:val="24"/>
          <w:szCs w:val="21"/>
        </w:rPr>
        <w:t>rhIL-12 concentration</w:t>
      </w:r>
      <w:r>
        <w:rPr>
          <w:rFonts w:hint="eastAsia" w:ascii="Times New Roman" w:hAnsi="Times New Roman" w:eastAsia="宋体" w:cs="Times New Roman"/>
          <w:bCs/>
          <w:color w:val="auto"/>
          <w:sz w:val="24"/>
          <w:szCs w:val="21"/>
          <w:lang w:val="en-US" w:eastAsia="zh-CN"/>
        </w:rPr>
        <w:t xml:space="preserve"> is</w:t>
      </w:r>
      <w:r>
        <w:rPr>
          <w:rFonts w:ascii="Times New Roman" w:hAnsi="Times New Roman" w:eastAsia="宋体" w:cs="Times New Roman"/>
          <w:bCs/>
          <w:color w:val="auto"/>
          <w:sz w:val="24"/>
          <w:szCs w:val="21"/>
        </w:rPr>
        <w:t xml:space="preserve"> 667 pg</w:t>
      </w:r>
      <w:r>
        <w:rPr>
          <w:rFonts w:hint="eastAsia" w:ascii="Times New Roman" w:hAnsi="Times New Roman" w:eastAsia="宋体" w:cs="Times New Roman"/>
          <w:bCs/>
          <w:color w:val="auto"/>
          <w:sz w:val="24"/>
          <w:szCs w:val="21"/>
        </w:rPr>
        <w:t>/</w:t>
      </w:r>
      <w:r>
        <w:rPr>
          <w:rFonts w:ascii="Times New Roman" w:hAnsi="Times New Roman" w:eastAsia="宋体" w:cs="Times New Roman"/>
          <w:bCs/>
          <w:color w:val="auto"/>
          <w:sz w:val="24"/>
          <w:szCs w:val="21"/>
        </w:rPr>
        <w:t>mL</w:t>
      </w:r>
      <w:r>
        <w:rPr>
          <w:rFonts w:hint="eastAsia" w:ascii="Times New Roman" w:hAnsi="Times New Roman" w:eastAsia="宋体" w:cs="Times New Roman"/>
          <w:bCs/>
          <w:color w:val="auto"/>
          <w:sz w:val="24"/>
          <w:szCs w:val="21"/>
          <w:lang w:val="en-US" w:eastAsia="zh-CN"/>
        </w:rPr>
        <w:t>.</w:t>
      </w:r>
    </w:p>
    <w:p w14:paraId="0793B6EA">
      <w:pPr>
        <w:spacing w:line="360" w:lineRule="auto"/>
        <w:rPr>
          <w:rFonts w:ascii="Times New Roman" w:hAnsi="Times New Roman" w:eastAsia="宋体" w:cs="Times New Roman"/>
          <w:bCs/>
          <w:color w:val="auto"/>
          <w:sz w:val="24"/>
          <w:szCs w:val="21"/>
          <w:highlight w:val="none"/>
        </w:rPr>
      </w:pPr>
      <w:r>
        <w:rPr>
          <w:rFonts w:hint="eastAsia" w:ascii="Times New Roman" w:hAnsi="Times New Roman" w:eastAsia="宋体" w:cs="Times New Roman"/>
          <w:b/>
          <w:color w:val="auto"/>
          <w:sz w:val="24"/>
          <w:szCs w:val="21"/>
          <w:highlight w:val="none"/>
        </w:rPr>
        <w:t xml:space="preserve">Supplement </w:t>
      </w:r>
      <w:r>
        <w:rPr>
          <w:rFonts w:ascii="Times New Roman" w:hAnsi="Times New Roman" w:eastAsia="宋体" w:cs="Times New Roman"/>
          <w:b/>
          <w:color w:val="auto"/>
          <w:sz w:val="24"/>
          <w:szCs w:val="21"/>
          <w:highlight w:val="none"/>
        </w:rPr>
        <w:t xml:space="preserve">Figure </w:t>
      </w:r>
      <w:r>
        <w:rPr>
          <w:rFonts w:hint="eastAsia" w:ascii="Times New Roman" w:hAnsi="Times New Roman" w:eastAsia="宋体" w:cs="Times New Roman"/>
          <w:b/>
          <w:color w:val="auto"/>
          <w:sz w:val="24"/>
          <w:szCs w:val="21"/>
          <w:highlight w:val="none"/>
        </w:rPr>
        <w:t>7</w:t>
      </w:r>
      <w:r>
        <w:rPr>
          <w:rFonts w:ascii="Times New Roman" w:hAnsi="Times New Roman" w:eastAsia="宋体" w:cs="Times New Roman"/>
          <w:b/>
          <w:color w:val="auto"/>
          <w:sz w:val="24"/>
          <w:szCs w:val="21"/>
          <w:highlight w:val="none"/>
        </w:rPr>
        <w:t>.</w:t>
      </w:r>
      <w:r>
        <w:rPr>
          <w:rFonts w:hint="eastAsia" w:ascii="Times New Roman" w:hAnsi="Times New Roman" w:eastAsia="宋体" w:cs="Times New Roman"/>
          <w:bCs/>
          <w:color w:val="auto"/>
          <w:sz w:val="24"/>
          <w:szCs w:val="21"/>
          <w:highlight w:val="none"/>
        </w:rPr>
        <w:t xml:space="preserve"> (A)</w:t>
      </w:r>
      <w:r>
        <w:rPr>
          <w:rFonts w:ascii="Times New Roman" w:hAnsi="Times New Roman" w:eastAsia="宋体" w:cs="Times New Roman"/>
          <w:bCs/>
          <w:color w:val="auto"/>
          <w:sz w:val="24"/>
          <w:szCs w:val="21"/>
          <w:highlight w:val="none"/>
        </w:rPr>
        <w:t xml:space="preserve"> Flow cytometry detection of CD</w:t>
      </w:r>
      <w:r>
        <w:rPr>
          <w:rFonts w:hint="eastAsia" w:ascii="Times New Roman" w:hAnsi="Times New Roman" w:eastAsia="宋体" w:cs="Times New Roman"/>
          <w:bCs/>
          <w:color w:val="auto"/>
          <w:sz w:val="24"/>
          <w:szCs w:val="21"/>
          <w:highlight w:val="none"/>
        </w:rPr>
        <w:t>22</w:t>
      </w:r>
      <w:r>
        <w:rPr>
          <w:rFonts w:ascii="Times New Roman" w:hAnsi="Times New Roman" w:eastAsia="宋体" w:cs="Times New Roman"/>
          <w:bCs/>
          <w:color w:val="auto"/>
          <w:sz w:val="24"/>
          <w:szCs w:val="21"/>
          <w:highlight w:val="none"/>
        </w:rPr>
        <w:t xml:space="preserve"> and IL-12 p70 expression in EV-derived HEK293T cell lines</w:t>
      </w:r>
      <w:r>
        <w:rPr>
          <w:rFonts w:hint="eastAsia" w:ascii="Times New Roman" w:hAnsi="Times New Roman" w:eastAsia="宋体" w:cs="Times New Roman"/>
          <w:bCs/>
          <w:color w:val="auto"/>
          <w:sz w:val="24"/>
          <w:szCs w:val="21"/>
          <w:highlight w:val="none"/>
          <w:lang w:val="en-US" w:eastAsia="zh-CN"/>
        </w:rPr>
        <w:t xml:space="preserve">. </w:t>
      </w:r>
      <w:r>
        <w:rPr>
          <w:rFonts w:hint="eastAsia" w:ascii="Times New Roman" w:hAnsi="Times New Roman" w:eastAsia="宋体" w:cs="Times New Roman"/>
          <w:bCs/>
          <w:color w:val="auto"/>
          <w:sz w:val="24"/>
          <w:szCs w:val="21"/>
          <w:highlight w:val="none"/>
        </w:rPr>
        <w:t>(</w:t>
      </w:r>
      <w:r>
        <w:rPr>
          <w:rFonts w:hint="eastAsia" w:ascii="Times New Roman" w:hAnsi="Times New Roman" w:eastAsia="宋体" w:cs="Times New Roman"/>
          <w:bCs/>
          <w:color w:val="auto"/>
          <w:sz w:val="24"/>
          <w:szCs w:val="21"/>
          <w:highlight w:val="none"/>
          <w:lang w:val="en-US" w:eastAsia="zh-CN"/>
        </w:rPr>
        <w:t>B</w:t>
      </w:r>
      <w:r>
        <w:rPr>
          <w:rFonts w:hint="eastAsia" w:ascii="Times New Roman" w:hAnsi="Times New Roman" w:eastAsia="宋体" w:cs="Times New Roman"/>
          <w:bCs/>
          <w:color w:val="auto"/>
          <w:sz w:val="24"/>
          <w:szCs w:val="21"/>
          <w:highlight w:val="none"/>
        </w:rPr>
        <w:t xml:space="preserve">) </w:t>
      </w:r>
      <w:r>
        <w:rPr>
          <w:rFonts w:ascii="Times New Roman" w:hAnsi="Times New Roman" w:eastAsia="宋体" w:cs="Times New Roman"/>
          <w:bCs/>
          <w:color w:val="auto"/>
          <w:sz w:val="24"/>
          <w:szCs w:val="21"/>
          <w:highlight w:val="none"/>
        </w:rPr>
        <w:t>Flow cytometric analysis of membrane-bound IL-2 expression on HEK293T-mIL-2 cells</w:t>
      </w:r>
      <w:r>
        <w:rPr>
          <w:rFonts w:hint="eastAsia" w:ascii="Times New Roman" w:hAnsi="Times New Roman" w:eastAsia="宋体" w:cs="Times New Roman"/>
          <w:bCs/>
          <w:color w:val="auto"/>
          <w:sz w:val="24"/>
          <w:szCs w:val="21"/>
          <w:highlight w:val="none"/>
          <w:lang w:val="en-US" w:eastAsia="zh-CN"/>
        </w:rPr>
        <w:t xml:space="preserve">. </w:t>
      </w:r>
      <w:r>
        <w:rPr>
          <w:rFonts w:ascii="Times New Roman" w:hAnsi="Times New Roman" w:eastAsia="宋体" w:cs="Times New Roman"/>
          <w:bCs/>
          <w:color w:val="auto"/>
          <w:sz w:val="24"/>
          <w:szCs w:val="21"/>
        </w:rPr>
        <w:t>Experiments are representative of 3 independent repeats.</w:t>
      </w:r>
      <w:bookmarkStart w:id="18" w:name="OLE_LINK174"/>
      <w:bookmarkStart w:id="19" w:name="OLE_LINK173"/>
      <w:bookmarkStart w:id="20" w:name="OLE_LINK171"/>
      <w:bookmarkStart w:id="21" w:name="OLE_LINK172"/>
    </w:p>
    <w:p w14:paraId="44FBEA10">
      <w:pPr>
        <w:spacing w:line="360" w:lineRule="auto"/>
        <w:rPr>
          <w:rFonts w:ascii="Times New Roman" w:hAnsi="Times New Roman" w:eastAsia="宋体" w:cs="Times New Roman"/>
          <w:bCs/>
          <w:color w:val="auto"/>
          <w:sz w:val="24"/>
          <w:szCs w:val="21"/>
          <w:highlight w:val="none"/>
        </w:rPr>
      </w:pPr>
      <w:r>
        <w:rPr>
          <w:rFonts w:ascii="Times New Roman" w:hAnsi="Times New Roman" w:eastAsia="宋体" w:cs="Times New Roman"/>
          <w:b/>
          <w:color w:val="auto"/>
          <w:sz w:val="24"/>
          <w:szCs w:val="21"/>
          <w:highlight w:val="none"/>
        </w:rPr>
        <w:t>Supplementary</w:t>
      </w:r>
      <w:bookmarkEnd w:id="18"/>
      <w:bookmarkEnd w:id="19"/>
      <w:r>
        <w:rPr>
          <w:rFonts w:ascii="Times New Roman" w:hAnsi="Times New Roman" w:eastAsia="宋体" w:cs="Times New Roman"/>
          <w:b/>
          <w:color w:val="auto"/>
          <w:sz w:val="24"/>
          <w:szCs w:val="21"/>
          <w:highlight w:val="none"/>
        </w:rPr>
        <w:t xml:space="preserve"> Figure</w:t>
      </w:r>
      <w:bookmarkEnd w:id="20"/>
      <w:bookmarkEnd w:id="21"/>
      <w:r>
        <w:rPr>
          <w:rFonts w:ascii="Times New Roman" w:hAnsi="Times New Roman" w:eastAsia="宋体" w:cs="Times New Roman"/>
          <w:b/>
          <w:color w:val="auto"/>
          <w:sz w:val="24"/>
          <w:szCs w:val="21"/>
          <w:highlight w:val="none"/>
        </w:rPr>
        <w:t xml:space="preserve"> </w:t>
      </w:r>
      <w:r>
        <w:rPr>
          <w:rFonts w:hint="eastAsia" w:ascii="Times New Roman" w:hAnsi="Times New Roman" w:eastAsia="宋体" w:cs="Times New Roman"/>
          <w:b/>
          <w:color w:val="auto"/>
          <w:sz w:val="24"/>
          <w:szCs w:val="21"/>
          <w:highlight w:val="none"/>
          <w:lang w:val="en-US" w:eastAsia="zh-CN"/>
        </w:rPr>
        <w:t>8</w:t>
      </w:r>
      <w:r>
        <w:rPr>
          <w:rFonts w:ascii="Times New Roman" w:hAnsi="Times New Roman" w:eastAsia="宋体" w:cs="Times New Roman"/>
          <w:b/>
          <w:color w:val="auto"/>
          <w:sz w:val="24"/>
          <w:szCs w:val="21"/>
          <w:highlight w:val="none"/>
        </w:rPr>
        <w:t xml:space="preserve">. Safety of </w:t>
      </w:r>
      <w:bookmarkStart w:id="22" w:name="OLE_LINK63"/>
      <w:bookmarkStart w:id="23" w:name="OLE_LINK64"/>
      <w:r>
        <w:rPr>
          <w:rFonts w:ascii="Times New Roman" w:hAnsi="Times New Roman" w:eastAsia="宋体" w:cs="Times New Roman"/>
          <w:b/>
          <w:color w:val="auto"/>
          <w:sz w:val="24"/>
          <w:szCs w:val="21"/>
          <w:highlight w:val="none"/>
        </w:rPr>
        <w:t>intratumoral administration of CD19/IL-12 EV</w:t>
      </w:r>
      <w:r>
        <w:rPr>
          <w:rFonts w:ascii="Times New Roman" w:hAnsi="Times New Roman" w:eastAsia="宋体" w:cs="Times New Roman"/>
          <w:bCs/>
          <w:color w:val="auto"/>
          <w:sz w:val="24"/>
          <w:szCs w:val="21"/>
          <w:highlight w:val="none"/>
        </w:rPr>
        <w:t>s. (A) Body weights of the mice during the time course of the various treatments. (B) Renal function (creatinine</w:t>
      </w:r>
      <w:r>
        <w:rPr>
          <w:rFonts w:hint="eastAsia" w:ascii="Times New Roman" w:hAnsi="Times New Roman" w:eastAsia="宋体" w:cs="Times New Roman"/>
          <w:bCs/>
          <w:color w:val="auto"/>
          <w:sz w:val="24"/>
          <w:szCs w:val="21"/>
          <w:highlight w:val="none"/>
        </w:rPr>
        <w:t>,</w:t>
      </w:r>
      <w:r>
        <w:rPr>
          <w:rFonts w:ascii="Times New Roman" w:hAnsi="Times New Roman" w:eastAsia="宋体" w:cs="Times New Roman"/>
          <w:bCs/>
          <w:color w:val="auto"/>
          <w:sz w:val="24"/>
          <w:szCs w:val="21"/>
          <w:highlight w:val="none"/>
        </w:rPr>
        <w:t xml:space="preserve"> CRE) of the </w:t>
      </w:r>
      <w:bookmarkEnd w:id="22"/>
      <w:bookmarkEnd w:id="23"/>
      <w:r>
        <w:rPr>
          <w:rFonts w:ascii="Times New Roman" w:hAnsi="Times New Roman" w:eastAsia="宋体" w:cs="Times New Roman"/>
          <w:bCs/>
          <w:color w:val="auto"/>
          <w:sz w:val="24"/>
          <w:szCs w:val="21"/>
          <w:highlight w:val="none"/>
        </w:rPr>
        <w:t xml:space="preserve">mice was determined via chemical tests on day 14 after ACT. (C) Cytokine serum levels (TNF-α, IL-2, IL-12 and IL-6) </w:t>
      </w:r>
      <w:bookmarkStart w:id="24" w:name="OLE_LINK72"/>
      <w:bookmarkStart w:id="25" w:name="OLE_LINK76"/>
      <w:bookmarkStart w:id="26" w:name="OLE_LINK75"/>
      <w:bookmarkStart w:id="27" w:name="OLE_LINK71"/>
      <w:r>
        <w:rPr>
          <w:rFonts w:ascii="Times New Roman" w:hAnsi="Times New Roman" w:eastAsia="宋体" w:cs="Times New Roman"/>
          <w:bCs/>
          <w:color w:val="auto"/>
          <w:sz w:val="24"/>
          <w:szCs w:val="21"/>
          <w:highlight w:val="none"/>
        </w:rPr>
        <w:t>in the mice were quantified via a CBA kit on day 9 after ACT</w:t>
      </w:r>
      <w:bookmarkEnd w:id="24"/>
      <w:bookmarkEnd w:id="25"/>
      <w:bookmarkEnd w:id="26"/>
      <w:bookmarkEnd w:id="27"/>
      <w:r>
        <w:rPr>
          <w:rFonts w:ascii="Times New Roman" w:hAnsi="Times New Roman" w:eastAsia="宋体" w:cs="Times New Roman"/>
          <w:bCs/>
          <w:color w:val="auto"/>
          <w:sz w:val="24"/>
          <w:szCs w:val="21"/>
          <w:highlight w:val="none"/>
        </w:rPr>
        <w:t xml:space="preserve">. (D) Representative images of H&amp;E-stained vital organs on day 30 after ACT. Scale bars, 50 μm. </w:t>
      </w:r>
      <w:r>
        <w:rPr>
          <w:rFonts w:hint="eastAsia" w:ascii="Times New Roman" w:hAnsi="Times New Roman" w:eastAsia="宋体" w:cs="Times New Roman"/>
          <w:bCs/>
          <w:color w:val="auto"/>
          <w:sz w:val="24"/>
          <w:szCs w:val="21"/>
          <w:highlight w:val="none"/>
        </w:rPr>
        <w:t xml:space="preserve">A dashed line is indicative of the lower detection limits. </w:t>
      </w:r>
      <w:r>
        <w:rPr>
          <w:rFonts w:ascii="Times New Roman" w:hAnsi="Times New Roman" w:cs="Times New Roman"/>
          <w:bCs/>
          <w:color w:val="auto"/>
          <w:sz w:val="24"/>
          <w:szCs w:val="21"/>
          <w:highlight w:val="none"/>
        </w:rPr>
        <w:t>Data are presented as mean ± SEM. Statistical analysis was performed using one-way ANOVA</w:t>
      </w:r>
      <w:r>
        <w:rPr>
          <w:rFonts w:ascii="Times New Roman" w:hAnsi="Times New Roman" w:eastAsia="宋体" w:cs="Times New Roman"/>
          <w:bCs/>
          <w:color w:val="auto"/>
          <w:sz w:val="24"/>
          <w:szCs w:val="21"/>
        </w:rPr>
        <w:t xml:space="preserve"> (n = 5 mice per group</w:t>
      </w:r>
      <w:r>
        <w:rPr>
          <w:rFonts w:hint="eastAsia" w:ascii="Times New Roman" w:hAnsi="Times New Roman" w:eastAsia="宋体" w:cs="Times New Roman"/>
          <w:bCs/>
          <w:color w:val="auto"/>
          <w:sz w:val="24"/>
          <w:szCs w:val="21"/>
          <w:lang w:val="en-US" w:eastAsia="zh-CN"/>
        </w:rPr>
        <w:t>)</w:t>
      </w:r>
      <w:r>
        <w:rPr>
          <w:rFonts w:ascii="Times New Roman" w:hAnsi="Times New Roman" w:cs="Times New Roman"/>
          <w:bCs/>
          <w:color w:val="auto"/>
          <w:sz w:val="24"/>
          <w:szCs w:val="21"/>
          <w:highlight w:val="none"/>
        </w:rPr>
        <w:t xml:space="preserve">. </w:t>
      </w:r>
    </w:p>
    <w:p w14:paraId="0F4F53A3">
      <w:pPr>
        <w:spacing w:line="360" w:lineRule="auto"/>
        <w:rPr>
          <w:rFonts w:ascii="Times New Roman" w:hAnsi="Times New Roman" w:eastAsia="宋体" w:cs="Times New Roman"/>
          <w:bCs/>
          <w:color w:val="auto"/>
          <w:sz w:val="24"/>
          <w:szCs w:val="21"/>
          <w:highlight w:val="none"/>
        </w:rPr>
      </w:pPr>
      <w:r>
        <w:rPr>
          <w:rFonts w:ascii="Times New Roman" w:hAnsi="Times New Roman" w:eastAsia="宋体" w:cs="Times New Roman"/>
          <w:b/>
          <w:color w:val="auto"/>
          <w:sz w:val="24"/>
          <w:szCs w:val="21"/>
          <w:highlight w:val="none"/>
        </w:rPr>
        <w:t xml:space="preserve">Supplementary Figure </w:t>
      </w:r>
      <w:r>
        <w:rPr>
          <w:rFonts w:hint="eastAsia" w:ascii="Times New Roman" w:hAnsi="Times New Roman" w:eastAsia="宋体" w:cs="Times New Roman"/>
          <w:b/>
          <w:color w:val="auto"/>
          <w:sz w:val="24"/>
          <w:szCs w:val="21"/>
          <w:highlight w:val="none"/>
          <w:lang w:val="en-US" w:eastAsia="zh-CN"/>
        </w:rPr>
        <w:t>9</w:t>
      </w:r>
      <w:r>
        <w:rPr>
          <w:rFonts w:ascii="Times New Roman" w:hAnsi="Times New Roman" w:eastAsia="宋体" w:cs="Times New Roman"/>
          <w:b/>
          <w:color w:val="auto"/>
          <w:sz w:val="24"/>
          <w:szCs w:val="21"/>
          <w:highlight w:val="none"/>
        </w:rPr>
        <w:t>. Effects of CD19 EVs, IL-12 EVs and CD19/IL-12 EVs on the transcriptome of CAR-T cells.</w:t>
      </w:r>
      <w:r>
        <w:rPr>
          <w:rFonts w:ascii="Times New Roman" w:hAnsi="Times New Roman" w:eastAsia="宋体" w:cs="Times New Roman"/>
          <w:bCs/>
          <w:color w:val="auto"/>
          <w:sz w:val="24"/>
          <w:szCs w:val="21"/>
          <w:highlight w:val="none"/>
        </w:rPr>
        <w:t xml:space="preserve"> (A, B) The top 30 most enriched pathways identified by (A) GO pathway analysis and (B) KEGG pathway analysis of DEGs that shared the same expression pattern between the control EVs versus IL-12 EVs and between the CD19 EVs versus CD19/IL-12 EVs. Count: Number of genes related to the enriched GO or KEGG pathway. The color of the bar denotes the -log10 (</w:t>
      </w:r>
      <w:r>
        <w:rPr>
          <w:rFonts w:hint="eastAsia" w:ascii="Times New Roman" w:hAnsi="Times New Roman" w:eastAsia="宋体" w:cs="Times New Roman"/>
          <w:bCs/>
          <w:i/>
          <w:iCs/>
          <w:color w:val="auto"/>
          <w:sz w:val="24"/>
          <w:szCs w:val="21"/>
          <w:highlight w:val="none"/>
        </w:rPr>
        <w:t>p</w:t>
      </w:r>
      <w:r>
        <w:rPr>
          <w:rFonts w:ascii="Times New Roman" w:hAnsi="Times New Roman" w:eastAsia="宋体" w:cs="Times New Roman"/>
          <w:bCs/>
          <w:color w:val="auto"/>
          <w:sz w:val="24"/>
          <w:szCs w:val="21"/>
          <w:highlight w:val="none"/>
        </w:rPr>
        <w:t xml:space="preserve"> value). (C) GSEA plots of the TNF signaling pathway and cytokine-cytokine receptor interaction in control EVs versus CD19/IL-12 EVs. The normalized enrichment score (NES) and statistical significance/false discovery rate (FDR) Q value are indicated.</w:t>
      </w:r>
    </w:p>
    <w:bookmarkEnd w:id="28"/>
    <w:p w14:paraId="45BF76D1"/>
    <w:p w14:paraId="43A9F579">
      <w:pPr>
        <w:pStyle w:val="5"/>
        <w:spacing w:line="360" w:lineRule="auto"/>
        <w:ind w:firstLine="0" w:firstLineChars="0"/>
        <w:jc w:val="both"/>
        <w:rPr>
          <w:rFonts w:hint="eastAsia" w:ascii="Times New Roman" w:hAnsi="Times New Roman" w:eastAsia="宋体"/>
          <w:b/>
          <w:color w:val="auto"/>
          <w:sz w:val="24"/>
          <w:szCs w:val="21"/>
          <w:lang w:val="en-US" w:eastAsia="zh-CN"/>
        </w:rPr>
      </w:pPr>
    </w:p>
    <w:p w14:paraId="3BF71708">
      <w:pPr>
        <w:pStyle w:val="5"/>
        <w:spacing w:line="360" w:lineRule="auto"/>
        <w:ind w:firstLine="0" w:firstLineChars="0"/>
        <w:jc w:val="center"/>
        <w:rPr>
          <w:rFonts w:hint="eastAsia" w:ascii="Times New Roman" w:hAnsi="Times New Roman" w:eastAsia="宋体"/>
          <w:b/>
          <w:color w:val="auto"/>
          <w:sz w:val="24"/>
          <w:szCs w:val="21"/>
          <w:lang w:val="en-US" w:eastAsia="zh-CN"/>
        </w:rPr>
      </w:pPr>
    </w:p>
    <w:p w14:paraId="2B974F3D">
      <w:pPr>
        <w:pStyle w:val="5"/>
        <w:spacing w:line="360" w:lineRule="auto"/>
        <w:ind w:firstLine="0" w:firstLineChars="0"/>
        <w:jc w:val="center"/>
        <w:rPr>
          <w:rFonts w:hint="eastAsia" w:ascii="Times New Roman" w:hAnsi="Times New Roman" w:eastAsia="宋体"/>
          <w:b/>
          <w:color w:val="auto"/>
          <w:sz w:val="24"/>
          <w:szCs w:val="21"/>
          <w:lang w:val="en-US" w:eastAsia="zh-CN"/>
        </w:rPr>
      </w:pPr>
    </w:p>
    <w:p w14:paraId="565FF8AE">
      <w:pPr>
        <w:pStyle w:val="5"/>
        <w:spacing w:line="360" w:lineRule="auto"/>
        <w:ind w:firstLine="0" w:firstLineChars="0"/>
        <w:jc w:val="center"/>
        <w:rPr>
          <w:rFonts w:hint="eastAsia" w:ascii="Times New Roman" w:hAnsi="Times New Roman" w:eastAsia="宋体"/>
          <w:b/>
          <w:color w:val="auto"/>
          <w:sz w:val="24"/>
          <w:szCs w:val="21"/>
          <w:lang w:val="en-US" w:eastAsia="zh-CN"/>
        </w:rPr>
      </w:pPr>
    </w:p>
    <w:p w14:paraId="3340DECD">
      <w:pPr>
        <w:pStyle w:val="5"/>
        <w:spacing w:line="360" w:lineRule="auto"/>
        <w:ind w:firstLine="0" w:firstLineChars="0"/>
        <w:jc w:val="center"/>
        <w:rPr>
          <w:rFonts w:hint="eastAsia" w:ascii="Times New Roman" w:hAnsi="Times New Roman" w:eastAsia="宋体"/>
          <w:b/>
          <w:color w:val="auto"/>
          <w:sz w:val="24"/>
          <w:szCs w:val="21"/>
          <w:lang w:val="en-US" w:eastAsia="zh-CN"/>
        </w:rPr>
      </w:pPr>
    </w:p>
    <w:p w14:paraId="063375C2">
      <w:pPr>
        <w:pStyle w:val="5"/>
        <w:spacing w:line="360" w:lineRule="auto"/>
        <w:ind w:firstLine="0" w:firstLineChars="0"/>
        <w:jc w:val="both"/>
        <w:rPr>
          <w:rFonts w:hint="eastAsia" w:ascii="Times New Roman" w:hAnsi="Times New Roman" w:eastAsia="宋体"/>
          <w:b/>
          <w:color w:val="auto"/>
          <w:sz w:val="24"/>
          <w:szCs w:val="21"/>
          <w:lang w:val="en-US" w:eastAsia="zh-CN"/>
        </w:rPr>
      </w:pPr>
    </w:p>
    <w:p w14:paraId="26A04F60">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31471"/>
    <w:rsid w:val="062449FC"/>
    <w:rsid w:val="07302A71"/>
    <w:rsid w:val="0DA33F09"/>
    <w:rsid w:val="0E297BEF"/>
    <w:rsid w:val="0ED713A0"/>
    <w:rsid w:val="0FF3288D"/>
    <w:rsid w:val="12D3061E"/>
    <w:rsid w:val="14D45114"/>
    <w:rsid w:val="15CE3B81"/>
    <w:rsid w:val="1EB01729"/>
    <w:rsid w:val="211F49BB"/>
    <w:rsid w:val="22AB6736"/>
    <w:rsid w:val="2AA01FD2"/>
    <w:rsid w:val="2DA95DA3"/>
    <w:rsid w:val="316521F1"/>
    <w:rsid w:val="31F57502"/>
    <w:rsid w:val="326440EA"/>
    <w:rsid w:val="34F605A6"/>
    <w:rsid w:val="35C02172"/>
    <w:rsid w:val="36CA0C80"/>
    <w:rsid w:val="37B564F7"/>
    <w:rsid w:val="37B95D33"/>
    <w:rsid w:val="38B90269"/>
    <w:rsid w:val="38E147DC"/>
    <w:rsid w:val="390B11E9"/>
    <w:rsid w:val="4033445D"/>
    <w:rsid w:val="449B0822"/>
    <w:rsid w:val="47A62F65"/>
    <w:rsid w:val="4E113D5D"/>
    <w:rsid w:val="51BF3DA2"/>
    <w:rsid w:val="54D61DED"/>
    <w:rsid w:val="54FE1C5D"/>
    <w:rsid w:val="56F21ED5"/>
    <w:rsid w:val="59FA0533"/>
    <w:rsid w:val="5B4E356A"/>
    <w:rsid w:val="5C2B1AC4"/>
    <w:rsid w:val="5E5373B1"/>
    <w:rsid w:val="66020D73"/>
    <w:rsid w:val="6C230FAB"/>
    <w:rsid w:val="6C986875"/>
    <w:rsid w:val="6CF44DF0"/>
    <w:rsid w:val="70657386"/>
    <w:rsid w:val="74DC717B"/>
    <w:rsid w:val="75A373B3"/>
    <w:rsid w:val="77772567"/>
    <w:rsid w:val="77C62469"/>
    <w:rsid w:val="77DF34B3"/>
    <w:rsid w:val="7AEF4E49"/>
    <w:rsid w:val="7F625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列表段落1"/>
    <w:basedOn w:val="1"/>
    <w:qFormat/>
    <w:uiPriority w:val="34"/>
    <w:pPr>
      <w:ind w:firstLine="420" w:firstLineChars="200"/>
    </w:pPr>
    <w:rPr>
      <w:rFonts w:ascii="等线" w:hAnsi="等线" w:eastAsia="等线"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831</Words>
  <Characters>4456</Characters>
  <Lines>0</Lines>
  <Paragraphs>0</Paragraphs>
  <TotalTime>0</TotalTime>
  <ScaleCrop>false</ScaleCrop>
  <LinksUpToDate>false</LinksUpToDate>
  <CharactersWithSpaces>5267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2025-06-17T15:12:00Z</dcterms:created>
  <dc:creator>Dell</dc:creator>
  <cp:lastModifiedBy>赵磊</cp:lastModifiedBy>
  <dcterms:modified xsi:type="dcterms:W3CDTF">2025-08-13T13:47:43Z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eyJoZGlkIjoiNjYzODNjMGI2OGMwMmM2YzkyODdiNmY1OTY5ZGEzZmEiLCJ1c2VySWQiOiI0MzY5MTkyMjYifQ==</vt:lpwstr>
  </property>
  <property fmtid="{D5CDD505-2E9C-101B-9397-08002B2CF9AE}" pid="4" name="ICV">
    <vt:lpwstr>E29D706E2EA146F58CAF1641925492B0_12</vt:lpwstr>
  </property>
</Properties>
</file>