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E0C" w:rsidRDefault="00AF1196">
      <w:pPr>
        <w:pStyle w:val="Title2"/>
        <w:spacing w:line="360" w:lineRule="auto"/>
        <w:ind w:firstLine="0"/>
        <w:rPr>
          <w:b w:val="0"/>
          <w:sz w:val="32"/>
          <w:szCs w:val="32"/>
        </w:rPr>
      </w:pPr>
      <w:r>
        <w:rPr>
          <w:b w:val="0"/>
          <w:sz w:val="32"/>
          <w:szCs w:val="32"/>
        </w:rPr>
        <w:t xml:space="preserve">Supporting Information </w:t>
      </w:r>
    </w:p>
    <w:p w:rsidR="00900E0C" w:rsidRDefault="00AF1196">
      <w:pPr>
        <w:jc w:val="center"/>
        <w:rPr>
          <w:b/>
          <w:bCs/>
          <w:szCs w:val="24"/>
        </w:rPr>
      </w:pPr>
      <w:r>
        <w:rPr>
          <w:b/>
          <w:bCs/>
          <w:szCs w:val="24"/>
        </w:rPr>
        <w:t>NAT10-Mediated Lipid Metabolic Reprogramming Drives EGFR-TKI Resistance in NSCLC via ac4C-Dependent mRNA Stabilization</w:t>
      </w:r>
    </w:p>
    <w:p w:rsidR="00900E0C" w:rsidRDefault="00900E0C">
      <w:pPr>
        <w:jc w:val="center"/>
        <w:rPr>
          <w:szCs w:val="24"/>
        </w:rPr>
      </w:pPr>
    </w:p>
    <w:p w:rsidR="00900E0C" w:rsidRDefault="00AF1196">
      <w:pPr>
        <w:spacing w:line="360" w:lineRule="auto"/>
        <w:jc w:val="center"/>
        <w:rPr>
          <w:sz w:val="28"/>
          <w:szCs w:val="28"/>
        </w:rPr>
      </w:pPr>
      <w:proofErr w:type="spellStart"/>
      <w:r>
        <w:t>Shuai</w:t>
      </w:r>
      <w:proofErr w:type="spellEnd"/>
      <w:r>
        <w:t xml:space="preserve"> Fang</w:t>
      </w:r>
      <w:r>
        <w:rPr>
          <w:vertAlign w:val="superscript"/>
        </w:rPr>
        <w:t>1</w:t>
      </w:r>
      <w:r>
        <w:rPr>
          <w:rFonts w:eastAsia="黑体"/>
          <w:color w:val="000000" w:themeColor="text1"/>
          <w:szCs w:val="30"/>
          <w:vertAlign w:val="superscript"/>
        </w:rPr>
        <w:t>†</w:t>
      </w:r>
      <w:r>
        <w:t xml:space="preserve">, </w:t>
      </w:r>
      <w:proofErr w:type="spellStart"/>
      <w:r>
        <w:t>Yuchao</w:t>
      </w:r>
      <w:proofErr w:type="spellEnd"/>
      <w:r>
        <w:t xml:space="preserve"> Zhu</w:t>
      </w:r>
      <w:r>
        <w:rPr>
          <w:vertAlign w:val="superscript"/>
        </w:rPr>
        <w:t>2</w:t>
      </w:r>
      <w:r>
        <w:rPr>
          <w:rFonts w:eastAsia="黑体"/>
          <w:color w:val="000000" w:themeColor="text1"/>
          <w:szCs w:val="30"/>
          <w:vertAlign w:val="superscript"/>
        </w:rPr>
        <w:t>†</w:t>
      </w:r>
      <w:r>
        <w:t>, Wei Chen</w:t>
      </w:r>
      <w:r>
        <w:rPr>
          <w:vertAlign w:val="superscript"/>
        </w:rPr>
        <w:t>1</w:t>
      </w:r>
      <w:r>
        <w:rPr>
          <w:rFonts w:hint="eastAsia"/>
          <w:vertAlign w:val="superscript"/>
        </w:rPr>
        <w:t>,3</w:t>
      </w:r>
      <w:r>
        <w:rPr>
          <w:rFonts w:eastAsia="黑体"/>
          <w:color w:val="000000" w:themeColor="text1"/>
          <w:szCs w:val="30"/>
          <w:vertAlign w:val="superscript"/>
        </w:rPr>
        <w:t>†</w:t>
      </w:r>
      <w:r>
        <w:t xml:space="preserve">, </w:t>
      </w:r>
      <w:r>
        <w:rPr>
          <w:rFonts w:hint="eastAsia"/>
        </w:rPr>
        <w:t>W</w:t>
      </w:r>
      <w:r>
        <w:t>ei</w:t>
      </w:r>
      <w:r>
        <w:rPr>
          <w:rFonts w:hint="eastAsia"/>
        </w:rPr>
        <w:t xml:space="preserve"> </w:t>
      </w:r>
      <w:r>
        <w:t>Mao</w:t>
      </w:r>
      <w:r>
        <w:rPr>
          <w:rFonts w:hint="eastAsia"/>
          <w:vertAlign w:val="superscript"/>
        </w:rPr>
        <w:t>7</w:t>
      </w:r>
      <w:r>
        <w:rPr>
          <w:rFonts w:eastAsia="黑体"/>
          <w:color w:val="000000" w:themeColor="text1"/>
          <w:szCs w:val="30"/>
          <w:vertAlign w:val="superscript"/>
        </w:rPr>
        <w:t>†</w:t>
      </w:r>
      <w:r>
        <w:t>,</w:t>
      </w:r>
      <w:r>
        <w:rPr>
          <w:rFonts w:hint="eastAsia"/>
        </w:rPr>
        <w:t xml:space="preserve"> Y</w:t>
      </w:r>
      <w:r>
        <w:t xml:space="preserve">uan </w:t>
      </w:r>
      <w:r>
        <w:rPr>
          <w:rFonts w:hint="eastAsia"/>
        </w:rPr>
        <w:t>Fang</w:t>
      </w:r>
      <w:r>
        <w:rPr>
          <w:rFonts w:hint="eastAsia"/>
          <w:vertAlign w:val="superscript"/>
        </w:rPr>
        <w:t>5</w:t>
      </w:r>
      <w:r>
        <w:t xml:space="preserve">, </w:t>
      </w:r>
      <w:proofErr w:type="spellStart"/>
      <w:r>
        <w:t>Ziyuan</w:t>
      </w:r>
      <w:proofErr w:type="spellEnd"/>
      <w:r>
        <w:t xml:space="preserve"> Chen</w:t>
      </w:r>
      <w:r>
        <w:rPr>
          <w:vertAlign w:val="superscript"/>
        </w:rPr>
        <w:t>1</w:t>
      </w:r>
      <w:r>
        <w:rPr>
          <w:rFonts w:hint="eastAsia"/>
          <w:vertAlign w:val="superscript"/>
        </w:rPr>
        <w:t>,3</w:t>
      </w:r>
      <w:r>
        <w:rPr>
          <w:rFonts w:hint="eastAsia"/>
        </w:rPr>
        <w:t xml:space="preserve">, </w:t>
      </w:r>
      <w:proofErr w:type="spellStart"/>
      <w:r>
        <w:rPr>
          <w:rFonts w:hint="eastAsia"/>
        </w:rPr>
        <w:t>Zhiqi</w:t>
      </w:r>
      <w:proofErr w:type="spellEnd"/>
      <w:r>
        <w:rPr>
          <w:rFonts w:hint="eastAsia"/>
        </w:rPr>
        <w:t xml:space="preserve"> Hong</w:t>
      </w:r>
      <w:r>
        <w:rPr>
          <w:vertAlign w:val="superscript"/>
        </w:rPr>
        <w:t>1</w:t>
      </w:r>
      <w:r>
        <w:rPr>
          <w:rFonts w:hint="eastAsia"/>
          <w:vertAlign w:val="superscript"/>
        </w:rPr>
        <w:t>,3</w:t>
      </w:r>
      <w:r>
        <w:rPr>
          <w:rFonts w:hint="eastAsia"/>
        </w:rPr>
        <w:t xml:space="preserve">, </w:t>
      </w:r>
      <w:proofErr w:type="spellStart"/>
      <w:r>
        <w:rPr>
          <w:rFonts w:hint="eastAsia"/>
        </w:rPr>
        <w:t>Xiaodong</w:t>
      </w:r>
      <w:proofErr w:type="spellEnd"/>
      <w:r>
        <w:rPr>
          <w:rFonts w:hint="eastAsia"/>
        </w:rPr>
        <w:t xml:space="preserve"> Zhao</w:t>
      </w:r>
      <w:r>
        <w:rPr>
          <w:vertAlign w:val="superscript"/>
        </w:rPr>
        <w:t>1</w:t>
      </w:r>
      <w:r>
        <w:rPr>
          <w:rFonts w:hint="eastAsia"/>
        </w:rPr>
        <w:t xml:space="preserve">, </w:t>
      </w:r>
      <w:proofErr w:type="spellStart"/>
      <w:r>
        <w:t>Wenmin</w:t>
      </w:r>
      <w:proofErr w:type="spellEnd"/>
      <w:r>
        <w:t xml:space="preserve"> Su</w:t>
      </w:r>
      <w:r>
        <w:rPr>
          <w:vertAlign w:val="superscript"/>
        </w:rPr>
        <w:t>1</w:t>
      </w:r>
      <w:r>
        <w:t xml:space="preserve">, </w:t>
      </w:r>
      <w:proofErr w:type="spellStart"/>
      <w:r>
        <w:rPr>
          <w:rFonts w:hint="eastAsia"/>
        </w:rPr>
        <w:t>Y</w:t>
      </w:r>
      <w:r>
        <w:t>uning</w:t>
      </w:r>
      <w:proofErr w:type="spellEnd"/>
      <w:r>
        <w:rPr>
          <w:rFonts w:hint="eastAsia"/>
        </w:rPr>
        <w:t xml:space="preserve"> </w:t>
      </w:r>
      <w:r>
        <w:t>Pan</w:t>
      </w:r>
      <w:r>
        <w:rPr>
          <w:vertAlign w:val="superscript"/>
        </w:rPr>
        <w:t>2</w:t>
      </w:r>
      <w:r>
        <w:t xml:space="preserve">, </w:t>
      </w:r>
      <w:r>
        <w:rPr>
          <w:rFonts w:hint="eastAsia"/>
        </w:rPr>
        <w:t xml:space="preserve"> </w:t>
      </w:r>
      <w:proofErr w:type="spellStart"/>
      <w:r>
        <w:t>Guangyu</w:t>
      </w:r>
      <w:proofErr w:type="spellEnd"/>
      <w:r>
        <w:rPr>
          <w:rFonts w:hint="eastAsia"/>
        </w:rPr>
        <w:t xml:space="preserve"> </w:t>
      </w:r>
      <w:r>
        <w:t>Yao</w:t>
      </w:r>
      <w:r>
        <w:rPr>
          <w:rFonts w:hint="eastAsia"/>
          <w:vertAlign w:val="superscript"/>
        </w:rPr>
        <w:t>6</w:t>
      </w:r>
      <w:r>
        <w:rPr>
          <w:vertAlign w:val="superscript"/>
        </w:rPr>
        <w:t>✉</w:t>
      </w:r>
      <w:r>
        <w:rPr>
          <w:rFonts w:hint="eastAsia"/>
        </w:rPr>
        <w:t xml:space="preserve">, </w:t>
      </w:r>
      <w:proofErr w:type="spellStart"/>
      <w:r>
        <w:rPr>
          <w:rFonts w:hint="eastAsia"/>
        </w:rPr>
        <w:t>J</w:t>
      </w:r>
      <w:r>
        <w:t>ianhua</w:t>
      </w:r>
      <w:proofErr w:type="spellEnd"/>
      <w:r>
        <w:t xml:space="preserve"> Wang</w:t>
      </w:r>
      <w:r>
        <w:rPr>
          <w:rFonts w:hint="eastAsia"/>
          <w:vertAlign w:val="superscript"/>
        </w:rPr>
        <w:t>4</w:t>
      </w:r>
      <w:r>
        <w:rPr>
          <w:vertAlign w:val="superscript"/>
        </w:rPr>
        <w:t>✉</w:t>
      </w:r>
      <w:r>
        <w:rPr>
          <w:rFonts w:hint="eastAsia"/>
        </w:rPr>
        <w:t xml:space="preserve">, </w:t>
      </w:r>
      <w:proofErr w:type="spellStart"/>
      <w:r>
        <w:t>Chengwei</w:t>
      </w:r>
      <w:proofErr w:type="spellEnd"/>
      <w:r>
        <w:t xml:space="preserve"> </w:t>
      </w:r>
      <w:r>
        <w:rPr>
          <w:rFonts w:hint="eastAsia"/>
        </w:rPr>
        <w:t>Z</w:t>
      </w:r>
      <w:r>
        <w:t>hou</w:t>
      </w:r>
      <w:r>
        <w:rPr>
          <w:vertAlign w:val="superscript"/>
        </w:rPr>
        <w:t>1</w:t>
      </w:r>
      <w:r>
        <w:rPr>
          <w:rFonts w:hint="eastAsia"/>
          <w:vertAlign w:val="superscript"/>
        </w:rPr>
        <w:t>,3</w:t>
      </w:r>
      <w:r>
        <w:rPr>
          <w:vertAlign w:val="superscript"/>
        </w:rPr>
        <w:t>✉</w:t>
      </w:r>
    </w:p>
    <w:p w:rsidR="00900E0C" w:rsidRDefault="00AF1196">
      <w:pPr>
        <w:pStyle w:val="Maintext"/>
        <w:ind w:firstLine="0"/>
        <w:rPr>
          <w:b/>
        </w:rPr>
      </w:pPr>
      <w:r>
        <w:rPr>
          <w:b/>
        </w:rPr>
        <w:t>Supplementary figures</w:t>
      </w:r>
    </w:p>
    <w:p w:rsidR="00900E0C" w:rsidRDefault="00AF1196">
      <w:pPr>
        <w:spacing w:line="240" w:lineRule="auto"/>
        <w:ind w:firstLine="0"/>
        <w:contextualSpacing/>
        <w:rPr>
          <w:b/>
          <w:bCs/>
          <w:color w:val="227ACB"/>
          <w:sz w:val="28"/>
          <w:szCs w:val="28"/>
        </w:rPr>
      </w:pPr>
      <w:r>
        <w:rPr>
          <w:rFonts w:eastAsia="Times New Roman"/>
          <w:snapToGrid w:val="0"/>
          <w:color w:val="000000"/>
          <w:w w:val="0"/>
          <w:sz w:val="0"/>
          <w:szCs w:val="0"/>
          <w:u w:color="000000"/>
          <w:shd w:val="clear" w:color="000000" w:fill="000000"/>
          <w:lang w:val="zh-CN" w:bidi="zh-CN"/>
        </w:rPr>
        <w:lastRenderedPageBreak/>
        <w:t xml:space="preserve"> </w:t>
      </w:r>
      <w:r>
        <w:rPr>
          <w:b/>
          <w:bCs/>
          <w:noProof/>
          <w:color w:val="227ACB"/>
          <w:sz w:val="28"/>
          <w:szCs w:val="28"/>
        </w:rPr>
        <w:drawing>
          <wp:inline distT="0" distB="0" distL="0" distR="0">
            <wp:extent cx="5274310" cy="6461125"/>
            <wp:effectExtent l="0" t="0" r="2540" b="0"/>
            <wp:docPr id="3" name="图片 3" descr="E:\BaiduSyncdisk\客户\方帅\20230815-NAT10\Fig\Figure_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BaiduSyncdisk\客户\方帅\20230815-NAT10\Fig\Figure_S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6461577"/>
                    </a:xfrm>
                    <a:prstGeom prst="rect">
                      <a:avLst/>
                    </a:prstGeom>
                    <a:noFill/>
                    <a:ln>
                      <a:noFill/>
                    </a:ln>
                  </pic:spPr>
                </pic:pic>
              </a:graphicData>
            </a:graphic>
          </wp:inline>
        </w:drawing>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hint="eastAsia"/>
          <w:b/>
          <w:spacing w:val="0"/>
          <w:kern w:val="2"/>
          <w:sz w:val="22"/>
          <w:szCs w:val="22"/>
          <w14:ligatures w14:val="standardContextual"/>
        </w:rPr>
        <w:t>Figure S1. Remodelin as a sensitizer for NSCLC-TKI therapy</w:t>
      </w:r>
    </w:p>
    <w:p w:rsidR="00900E0C" w:rsidRDefault="00AF1196">
      <w:pPr>
        <w:widowControl w:val="0"/>
        <w:spacing w:line="440" w:lineRule="exact"/>
        <w:ind w:firstLine="0"/>
        <w:jc w:val="both"/>
        <w:rPr>
          <w:rFonts w:eastAsiaTheme="minorEastAsia"/>
          <w:spacing w:val="0"/>
          <w:kern w:val="2"/>
          <w:sz w:val="22"/>
          <w:szCs w:val="22"/>
          <w14:ligatures w14:val="standardContextual"/>
        </w:rPr>
      </w:pPr>
      <w:r>
        <w:rPr>
          <w:rFonts w:eastAsiaTheme="minorEastAsia" w:hint="eastAsia"/>
          <w:spacing w:val="0"/>
          <w:kern w:val="2"/>
          <w:sz w:val="22"/>
          <w:szCs w:val="22"/>
          <w14:ligatures w14:val="standardContextual"/>
        </w:rPr>
        <w:t xml:space="preserve">(A-B) </w:t>
      </w:r>
      <w:proofErr w:type="spellStart"/>
      <w:r>
        <w:rPr>
          <w:rFonts w:eastAsiaTheme="minorEastAsia" w:hint="eastAsia"/>
          <w:spacing w:val="0"/>
          <w:kern w:val="2"/>
          <w:sz w:val="22"/>
          <w:szCs w:val="22"/>
          <w14:ligatures w14:val="standardContextual"/>
        </w:rPr>
        <w:t>Clonogenic</w:t>
      </w:r>
      <w:proofErr w:type="spellEnd"/>
      <w:r>
        <w:rPr>
          <w:rFonts w:eastAsiaTheme="minorEastAsia" w:hint="eastAsia"/>
          <w:spacing w:val="0"/>
          <w:kern w:val="2"/>
          <w:sz w:val="22"/>
          <w:szCs w:val="22"/>
          <w14:ligatures w14:val="standardContextual"/>
        </w:rPr>
        <w:t xml:space="preserve"> assay comparing the effects of gefitinib and </w:t>
      </w:r>
      <w:proofErr w:type="spellStart"/>
      <w:r>
        <w:rPr>
          <w:rFonts w:eastAsiaTheme="minorEastAsia" w:hint="eastAsia"/>
          <w:spacing w:val="0"/>
          <w:kern w:val="2"/>
          <w:sz w:val="22"/>
          <w:szCs w:val="22"/>
          <w14:ligatures w14:val="standardContextual"/>
        </w:rPr>
        <w:t>osimertinib</w:t>
      </w:r>
      <w:proofErr w:type="spellEnd"/>
      <w:r>
        <w:rPr>
          <w:rFonts w:eastAsiaTheme="minorEastAsia" w:hint="eastAsia"/>
          <w:spacing w:val="0"/>
          <w:kern w:val="2"/>
          <w:sz w:val="22"/>
          <w:szCs w:val="22"/>
          <w14:ligatures w14:val="standardContextual"/>
        </w:rPr>
        <w:t xml:space="preserve"> on the colony formation ability of various NSCLC cell lines. (C) CCK-8 assays evaluating the impact of increasing concentrations of </w:t>
      </w:r>
      <w:proofErr w:type="spellStart"/>
      <w:r>
        <w:rPr>
          <w:rFonts w:eastAsiaTheme="minorEastAsia" w:hint="eastAsia"/>
          <w:spacing w:val="0"/>
          <w:kern w:val="2"/>
          <w:sz w:val="22"/>
          <w:szCs w:val="22"/>
          <w14:ligatures w14:val="standardContextual"/>
        </w:rPr>
        <w:t>osimertinib</w:t>
      </w:r>
      <w:proofErr w:type="spellEnd"/>
      <w:r>
        <w:rPr>
          <w:rFonts w:eastAsiaTheme="minorEastAsia" w:hint="eastAsia"/>
          <w:spacing w:val="0"/>
          <w:kern w:val="2"/>
          <w:sz w:val="22"/>
          <w:szCs w:val="22"/>
          <w14:ligatures w14:val="standardContextual"/>
        </w:rPr>
        <w:t xml:space="preserve"> on the viability of various NSCLC cell</w:t>
      </w:r>
      <w:r>
        <w:rPr>
          <w:rFonts w:eastAsiaTheme="minorEastAsia" w:hint="eastAsia"/>
          <w:spacing w:val="0"/>
          <w:kern w:val="2"/>
          <w:sz w:val="22"/>
          <w:szCs w:val="22"/>
          <w14:ligatures w14:val="standardContextual"/>
        </w:rPr>
        <w:t xml:space="preserve"> lines. (D) </w:t>
      </w:r>
      <w:r>
        <w:rPr>
          <w:rFonts w:eastAsiaTheme="minorEastAsia" w:hint="eastAsia"/>
          <w:spacing w:val="0"/>
          <w:kern w:val="2"/>
          <w:sz w:val="22"/>
          <w:szCs w:val="22"/>
          <w14:ligatures w14:val="standardContextual"/>
        </w:rPr>
        <w:t xml:space="preserve">The </w:t>
      </w:r>
      <w:bookmarkStart w:id="0" w:name="_GoBack"/>
      <w:bookmarkEnd w:id="0"/>
      <w:r>
        <w:rPr>
          <w:rFonts w:eastAsiaTheme="minorEastAsia" w:hint="eastAsia"/>
          <w:spacing w:val="0"/>
          <w:kern w:val="2"/>
          <w:sz w:val="22"/>
          <w:szCs w:val="22"/>
          <w14:ligatures w14:val="standardContextual"/>
        </w:rPr>
        <w:t xml:space="preserve">effect of 5 </w:t>
      </w:r>
      <w:r>
        <w:rPr>
          <w:rFonts w:eastAsiaTheme="minorEastAsia" w:hint="eastAsia"/>
          <w:spacing w:val="0"/>
          <w:kern w:val="2"/>
          <w:sz w:val="22"/>
          <w:szCs w:val="22"/>
          <w14:ligatures w14:val="standardContextual"/>
        </w:rPr>
        <w:t>μ</w:t>
      </w:r>
      <w:r>
        <w:rPr>
          <w:rFonts w:eastAsiaTheme="minorEastAsia" w:hint="eastAsia"/>
          <w:spacing w:val="0"/>
          <w:kern w:val="2"/>
          <w:sz w:val="22"/>
          <w:szCs w:val="22"/>
          <w14:ligatures w14:val="standardContextual"/>
        </w:rPr>
        <w:t xml:space="preserve">M </w:t>
      </w:r>
      <w:proofErr w:type="spellStart"/>
      <w:r>
        <w:rPr>
          <w:rFonts w:eastAsiaTheme="minorEastAsia" w:hint="eastAsia"/>
          <w:spacing w:val="0"/>
          <w:kern w:val="2"/>
          <w:sz w:val="22"/>
          <w:szCs w:val="22"/>
          <w14:ligatures w14:val="standardContextual"/>
        </w:rPr>
        <w:t>osimertinib</w:t>
      </w:r>
      <w:proofErr w:type="spellEnd"/>
      <w:r>
        <w:rPr>
          <w:rFonts w:eastAsiaTheme="minorEastAsia" w:hint="eastAsia"/>
          <w:spacing w:val="0"/>
          <w:kern w:val="2"/>
          <w:sz w:val="22"/>
          <w:szCs w:val="22"/>
          <w14:ligatures w14:val="standardContextual"/>
        </w:rPr>
        <w:t xml:space="preserve"> on the growth of NSCLC organoids after 7 days of treatment.</w:t>
      </w:r>
      <w:r>
        <w:rPr>
          <w:rFonts w:eastAsiaTheme="minorEastAsia" w:hint="eastAsia"/>
          <w:spacing w:val="0"/>
          <w:kern w:val="2"/>
          <w:sz w:val="22"/>
          <w:szCs w:val="22"/>
          <w14:ligatures w14:val="standardContextual"/>
        </w:rPr>
        <w:t xml:space="preserve"> (E-F) Evaluation of the combined effect of 5 </w:t>
      </w:r>
      <w:r>
        <w:rPr>
          <w:rFonts w:eastAsiaTheme="minorEastAsia" w:hint="eastAsia"/>
          <w:spacing w:val="0"/>
          <w:kern w:val="2"/>
          <w:sz w:val="22"/>
          <w:szCs w:val="22"/>
          <w14:ligatures w14:val="standardContextual"/>
        </w:rPr>
        <w:t>μ</w:t>
      </w:r>
      <w:r>
        <w:rPr>
          <w:rFonts w:eastAsiaTheme="minorEastAsia" w:hint="eastAsia"/>
          <w:spacing w:val="0"/>
          <w:kern w:val="2"/>
          <w:sz w:val="22"/>
          <w:szCs w:val="22"/>
          <w14:ligatures w14:val="standardContextual"/>
        </w:rPr>
        <w:t xml:space="preserve">M </w:t>
      </w:r>
      <w:proofErr w:type="spellStart"/>
      <w:r>
        <w:rPr>
          <w:rFonts w:eastAsiaTheme="minorEastAsia" w:hint="eastAsia"/>
          <w:spacing w:val="0"/>
          <w:kern w:val="2"/>
          <w:sz w:val="22"/>
          <w:szCs w:val="22"/>
          <w14:ligatures w14:val="standardContextual"/>
        </w:rPr>
        <w:t>osimertinib</w:t>
      </w:r>
      <w:proofErr w:type="spellEnd"/>
      <w:r>
        <w:rPr>
          <w:rFonts w:eastAsiaTheme="minorEastAsia" w:hint="eastAsia"/>
          <w:spacing w:val="0"/>
          <w:kern w:val="2"/>
          <w:sz w:val="22"/>
          <w:szCs w:val="22"/>
          <w14:ligatures w14:val="standardContextual"/>
        </w:rPr>
        <w:t xml:space="preserve"> and IC20 concentrations of various epigenetic inhibitors on the growth of NSCLC-1-1 organoids</w:t>
      </w:r>
      <w:r>
        <w:rPr>
          <w:rFonts w:eastAsiaTheme="minorEastAsia" w:hint="eastAsia"/>
          <w:spacing w:val="0"/>
          <w:kern w:val="2"/>
          <w:sz w:val="22"/>
          <w:szCs w:val="22"/>
          <w14:ligatures w14:val="standardContextual"/>
        </w:rPr>
        <w:t xml:space="preserve"> and NSCLC cell lines. </w:t>
      </w:r>
      <w:r>
        <w:rPr>
          <w:rFonts w:eastAsiaTheme="minorEastAsia" w:hint="eastAsia"/>
          <w:spacing w:val="0"/>
          <w:kern w:val="2"/>
          <w:sz w:val="22"/>
          <w:szCs w:val="22"/>
          <w14:ligatures w14:val="standardContextual"/>
        </w:rPr>
        <w:lastRenderedPageBreak/>
        <w:t xml:space="preserve">(G-H) </w:t>
      </w:r>
      <w:proofErr w:type="spellStart"/>
      <w:r>
        <w:rPr>
          <w:rFonts w:eastAsiaTheme="minorEastAsia" w:hint="eastAsia"/>
          <w:spacing w:val="0"/>
          <w:kern w:val="2"/>
          <w:sz w:val="22"/>
          <w:szCs w:val="22"/>
          <w14:ligatures w14:val="standardContextual"/>
        </w:rPr>
        <w:t>Clonogenic</w:t>
      </w:r>
      <w:proofErr w:type="spellEnd"/>
      <w:r>
        <w:rPr>
          <w:rFonts w:eastAsiaTheme="minorEastAsia" w:hint="eastAsia"/>
          <w:spacing w:val="0"/>
          <w:kern w:val="2"/>
          <w:sz w:val="22"/>
          <w:szCs w:val="22"/>
          <w14:ligatures w14:val="standardContextual"/>
        </w:rPr>
        <w:t xml:space="preserve"> assay results and flow cytometry analysis showing the effects of </w:t>
      </w:r>
      <w:proofErr w:type="spellStart"/>
      <w:r>
        <w:rPr>
          <w:rFonts w:eastAsiaTheme="minorEastAsia" w:hint="eastAsia"/>
          <w:spacing w:val="0"/>
          <w:kern w:val="2"/>
          <w:sz w:val="22"/>
          <w:szCs w:val="22"/>
          <w14:ligatures w14:val="standardContextual"/>
        </w:rPr>
        <w:t>osimertinib</w:t>
      </w:r>
      <w:proofErr w:type="spellEnd"/>
      <w:r>
        <w:rPr>
          <w:rFonts w:eastAsiaTheme="minorEastAsia" w:hint="eastAsia"/>
          <w:spacing w:val="0"/>
          <w:kern w:val="2"/>
          <w:sz w:val="22"/>
          <w:szCs w:val="22"/>
          <w14:ligatures w14:val="standardContextual"/>
        </w:rPr>
        <w:t>, Remodelin, and their combination on the proliferation and apoptosis of resistant cells.</w:t>
      </w:r>
      <w:r>
        <w:rPr>
          <w:szCs w:val="24"/>
        </w:rPr>
        <w:t xml:space="preserve"> Means ± SD of n = 3 independent experiments, two-t</w:t>
      </w:r>
      <w:r>
        <w:rPr>
          <w:szCs w:val="24"/>
        </w:rPr>
        <w:t>ailed unpaired Student’s t-test. **</w:t>
      </w:r>
      <w:r>
        <w:rPr>
          <w:i/>
          <w:szCs w:val="24"/>
        </w:rPr>
        <w:t>*P</w:t>
      </w:r>
      <w:r>
        <w:rPr>
          <w:szCs w:val="24"/>
        </w:rPr>
        <w:t xml:space="preserve"> &lt; 0.001; *</w:t>
      </w:r>
      <w:r>
        <w:rPr>
          <w:i/>
          <w:szCs w:val="24"/>
        </w:rPr>
        <w:t>*P</w:t>
      </w:r>
      <w:r>
        <w:rPr>
          <w:szCs w:val="24"/>
        </w:rPr>
        <w:t xml:space="preserve"> &lt; 0.01; </w:t>
      </w:r>
      <w:r>
        <w:rPr>
          <w:i/>
          <w:szCs w:val="24"/>
        </w:rPr>
        <w:t>*P</w:t>
      </w:r>
      <w:r>
        <w:rPr>
          <w:szCs w:val="24"/>
        </w:rPr>
        <w:t xml:space="preserve"> &lt; 0.05.</w:t>
      </w:r>
    </w:p>
    <w:p w:rsidR="00900E0C" w:rsidRDefault="00900E0C">
      <w:pPr>
        <w:spacing w:line="240" w:lineRule="auto"/>
        <w:ind w:firstLine="0"/>
        <w:contextualSpacing/>
        <w:rPr>
          <w:sz w:val="28"/>
          <w:szCs w:val="28"/>
        </w:rPr>
      </w:pPr>
    </w:p>
    <w:p w:rsidR="00900E0C" w:rsidRDefault="00AF1196">
      <w:pPr>
        <w:spacing w:line="240" w:lineRule="auto"/>
        <w:ind w:firstLine="0"/>
        <w:rPr>
          <w:rFonts w:eastAsiaTheme="minorEastAsia"/>
          <w:b/>
          <w:spacing w:val="0"/>
          <w:kern w:val="2"/>
          <w:sz w:val="22"/>
          <w:szCs w:val="22"/>
          <w14:ligatures w14:val="standardContextual"/>
        </w:rPr>
      </w:pPr>
      <w:r>
        <w:rPr>
          <w:rFonts w:eastAsiaTheme="minorEastAsia"/>
          <w:b/>
          <w:spacing w:val="0"/>
          <w:kern w:val="2"/>
          <w:sz w:val="22"/>
          <w:szCs w:val="22"/>
          <w14:ligatures w14:val="standardContextual"/>
        </w:rPr>
        <w:t>Fig</w:t>
      </w:r>
      <w:r>
        <w:rPr>
          <w:rFonts w:eastAsiaTheme="minorEastAsia" w:hint="eastAsia"/>
          <w:b/>
          <w:spacing w:val="0"/>
          <w:kern w:val="2"/>
          <w:sz w:val="22"/>
          <w:szCs w:val="22"/>
          <w14:ligatures w14:val="standardContextual"/>
        </w:rPr>
        <w:t>ure</w:t>
      </w:r>
      <w:r>
        <w:rPr>
          <w:rFonts w:eastAsiaTheme="minorEastAsia"/>
          <w:b/>
          <w:spacing w:val="0"/>
          <w:kern w:val="2"/>
          <w:sz w:val="22"/>
          <w:szCs w:val="22"/>
          <w14:ligatures w14:val="standardContextual"/>
        </w:rPr>
        <w:t xml:space="preserve"> S2</w:t>
      </w:r>
    </w:p>
    <w:p w:rsidR="00900E0C" w:rsidRDefault="00AF1196">
      <w:pPr>
        <w:spacing w:line="240" w:lineRule="auto"/>
        <w:ind w:firstLine="0"/>
        <w:contextualSpacing/>
        <w:rPr>
          <w:b/>
          <w:bCs/>
          <w:sz w:val="28"/>
          <w:szCs w:val="28"/>
        </w:rPr>
      </w:pPr>
      <w:r>
        <w:rPr>
          <w:b/>
          <w:bCs/>
          <w:noProof/>
          <w:sz w:val="28"/>
          <w:szCs w:val="28"/>
        </w:rPr>
        <w:drawing>
          <wp:inline distT="0" distB="0" distL="0" distR="0" wp14:anchorId="1DD3285E" wp14:editId="48C04D34">
            <wp:extent cx="5274310" cy="3375660"/>
            <wp:effectExtent l="0" t="0" r="2540" b="0"/>
            <wp:docPr id="2" name="图片 2" descr="E:\BaiduSyncdisk\客户\方帅\20230815-NAT10\修回-2025.7.24\Figure_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BaiduSyncdisk\客户\方帅\20230815-NAT10\修回-2025.7.24\Figure_S2.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375777"/>
                    </a:xfrm>
                    <a:prstGeom prst="rect">
                      <a:avLst/>
                    </a:prstGeom>
                    <a:noFill/>
                    <a:ln>
                      <a:noFill/>
                    </a:ln>
                  </pic:spPr>
                </pic:pic>
              </a:graphicData>
            </a:graphic>
          </wp:inline>
        </w:drawing>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hint="eastAsia"/>
          <w:b/>
          <w:spacing w:val="0"/>
          <w:kern w:val="2"/>
          <w:sz w:val="22"/>
          <w:szCs w:val="22"/>
          <w14:ligatures w14:val="standardContextual"/>
        </w:rPr>
        <w:t>Figure S2. Expression levels of NAT10 in NSCLC and its clinical significance</w:t>
      </w:r>
    </w:p>
    <w:p w:rsidR="00900E0C" w:rsidRDefault="00AF1196">
      <w:pPr>
        <w:widowControl w:val="0"/>
        <w:spacing w:line="440" w:lineRule="exact"/>
        <w:ind w:firstLine="0"/>
        <w:jc w:val="both"/>
        <w:rPr>
          <w:rFonts w:eastAsiaTheme="minorEastAsia"/>
          <w:spacing w:val="0"/>
          <w:kern w:val="2"/>
          <w:sz w:val="22"/>
          <w:szCs w:val="22"/>
          <w14:ligatures w14:val="standardContextual"/>
        </w:rPr>
      </w:pPr>
      <w:r>
        <w:rPr>
          <w:rFonts w:eastAsiaTheme="minorEastAsia" w:hint="eastAsia"/>
          <w:spacing w:val="0"/>
          <w:kern w:val="2"/>
          <w:sz w:val="22"/>
          <w:szCs w:val="22"/>
          <w14:ligatures w14:val="standardContextual"/>
        </w:rPr>
        <w:t>(A) Analysis of NAT10 mRNA expression levels across various tumor types based on TCGA data. (B) Assessment of NAT10 expression in a panel of NSCLC cell lines using qRT-PCR analyses. (C) Western blotting analysis of NAT10 protein expression in different cel</w:t>
      </w:r>
      <w:r>
        <w:rPr>
          <w:rFonts w:eastAsiaTheme="minorEastAsia" w:hint="eastAsia"/>
          <w:spacing w:val="0"/>
          <w:kern w:val="2"/>
          <w:sz w:val="22"/>
          <w:szCs w:val="22"/>
          <w14:ligatures w14:val="standardContextual"/>
        </w:rPr>
        <w:t xml:space="preserve">l types. </w:t>
      </w:r>
      <w:r>
        <w:rPr>
          <w:szCs w:val="24"/>
        </w:rPr>
        <w:t>Means ± SD of n = 3 independent experiments, ****p &lt; 0.0001, two-tailed unpaired Student’s t-test. **</w:t>
      </w:r>
      <w:r>
        <w:rPr>
          <w:i/>
          <w:szCs w:val="24"/>
        </w:rPr>
        <w:t>*P</w:t>
      </w:r>
      <w:r>
        <w:rPr>
          <w:szCs w:val="24"/>
        </w:rPr>
        <w:t xml:space="preserve"> &lt; 0.001; *</w:t>
      </w:r>
      <w:r>
        <w:rPr>
          <w:i/>
          <w:szCs w:val="24"/>
        </w:rPr>
        <w:t>*P</w:t>
      </w:r>
      <w:r>
        <w:rPr>
          <w:szCs w:val="24"/>
        </w:rPr>
        <w:t xml:space="preserve"> &lt; 0.01; </w:t>
      </w:r>
      <w:r>
        <w:rPr>
          <w:i/>
          <w:szCs w:val="24"/>
        </w:rPr>
        <w:t>*P</w:t>
      </w:r>
      <w:r>
        <w:rPr>
          <w:szCs w:val="24"/>
        </w:rPr>
        <w:t xml:space="preserve"> &lt; 0.05.</w:t>
      </w:r>
      <w:r>
        <w:rPr>
          <w:rFonts w:eastAsiaTheme="minorEastAsia" w:hint="eastAsia"/>
          <w:spacing w:val="0"/>
          <w:kern w:val="2"/>
          <w:sz w:val="22"/>
          <w:szCs w:val="22"/>
          <w14:ligatures w14:val="standardContextual"/>
        </w:rPr>
        <w:t>*</w:t>
      </w:r>
    </w:p>
    <w:p w:rsidR="00900E0C" w:rsidRDefault="00AF1196">
      <w:pPr>
        <w:spacing w:line="240" w:lineRule="auto"/>
        <w:ind w:firstLine="0"/>
        <w:rPr>
          <w:sz w:val="28"/>
          <w:szCs w:val="28"/>
        </w:rPr>
      </w:pPr>
      <w:r>
        <w:rPr>
          <w:sz w:val="28"/>
          <w:szCs w:val="28"/>
        </w:rPr>
        <w:br w:type="page"/>
      </w:r>
    </w:p>
    <w:p w:rsidR="00900E0C" w:rsidRDefault="00AF1196">
      <w:pPr>
        <w:spacing w:line="240" w:lineRule="auto"/>
        <w:ind w:firstLine="0"/>
        <w:contextualSpacing/>
        <w:rPr>
          <w:b/>
          <w:sz w:val="22"/>
          <w:szCs w:val="22"/>
        </w:rPr>
      </w:pPr>
      <w:r>
        <w:rPr>
          <w:b/>
          <w:sz w:val="22"/>
          <w:szCs w:val="22"/>
        </w:rPr>
        <w:lastRenderedPageBreak/>
        <w:t>Fig</w:t>
      </w:r>
      <w:r>
        <w:rPr>
          <w:rFonts w:hint="eastAsia"/>
          <w:b/>
          <w:sz w:val="22"/>
          <w:szCs w:val="22"/>
        </w:rPr>
        <w:t>ure S3</w:t>
      </w:r>
    </w:p>
    <w:p w:rsidR="00900E0C" w:rsidRDefault="008B7FEC">
      <w:pPr>
        <w:spacing w:line="240" w:lineRule="auto"/>
        <w:ind w:firstLine="0"/>
        <w:contextualSpacing/>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5pt;height:231.05pt">
            <v:imagedata r:id="rId9" o:title="Figure_S3"/>
          </v:shape>
        </w:pict>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b/>
          <w:spacing w:val="0"/>
          <w:kern w:val="2"/>
          <w:sz w:val="22"/>
          <w:szCs w:val="22"/>
          <w14:ligatures w14:val="standardContextual"/>
        </w:rPr>
        <w:t>Figure S3. Knockdown of NAT10 inhibits cell proliferation and enhances sensitivity to TKI therap</w:t>
      </w:r>
      <w:r>
        <w:rPr>
          <w:rFonts w:eastAsiaTheme="minorEastAsia"/>
          <w:b/>
          <w:spacing w:val="0"/>
          <w:kern w:val="2"/>
          <w:sz w:val="22"/>
          <w:szCs w:val="22"/>
          <w14:ligatures w14:val="standardContextual"/>
        </w:rPr>
        <w:t>y</w:t>
      </w:r>
    </w:p>
    <w:p w:rsidR="00900E0C" w:rsidRDefault="00AF1196">
      <w:pPr>
        <w:widowControl w:val="0"/>
        <w:spacing w:line="440" w:lineRule="exact"/>
        <w:ind w:firstLine="0"/>
        <w:jc w:val="both"/>
        <w:rPr>
          <w:sz w:val="28"/>
          <w:szCs w:val="28"/>
        </w:rPr>
      </w:pPr>
      <w:proofErr w:type="gramStart"/>
      <w:r>
        <w:rPr>
          <w:rFonts w:eastAsiaTheme="minorEastAsia" w:hint="eastAsia"/>
          <w:spacing w:val="0"/>
          <w:kern w:val="2"/>
          <w:sz w:val="22"/>
          <w:szCs w:val="22"/>
          <w14:ligatures w14:val="standardContextual"/>
        </w:rPr>
        <w:t>(</w:t>
      </w:r>
      <w:r>
        <w:rPr>
          <w:rFonts w:eastAsiaTheme="minorEastAsia"/>
          <w:spacing w:val="0"/>
          <w:kern w:val="2"/>
          <w:sz w:val="22"/>
          <w:szCs w:val="22"/>
          <w14:ligatures w14:val="standardContextual"/>
        </w:rPr>
        <w:t>A-B</w:t>
      </w:r>
      <w:r>
        <w:rPr>
          <w:rFonts w:eastAsiaTheme="minorEastAsia" w:hint="eastAsia"/>
          <w:spacing w:val="0"/>
          <w:kern w:val="2"/>
          <w:sz w:val="22"/>
          <w:szCs w:val="22"/>
          <w14:ligatures w14:val="standardContextual"/>
        </w:rPr>
        <w:t>)</w:t>
      </w:r>
      <w:r>
        <w:rPr>
          <w:rFonts w:eastAsiaTheme="minorEastAsia"/>
          <w:spacing w:val="0"/>
          <w:kern w:val="2"/>
          <w:sz w:val="22"/>
          <w:szCs w:val="22"/>
          <w14:ligatures w14:val="standardContextual"/>
        </w:rPr>
        <w:t xml:space="preserve"> qRT-PCR and Western blotting analyses of NAT10 expression in H1650 and H1975 cells transfected with shRNA targeting NAT10 (shNAT10) or the non-targeting control.</w:t>
      </w:r>
      <w:proofErr w:type="gramEnd"/>
      <w:r>
        <w:rPr>
          <w:rFonts w:eastAsiaTheme="minorEastAsia" w:hint="eastAsia"/>
          <w:spacing w:val="0"/>
          <w:kern w:val="2"/>
          <w:sz w:val="22"/>
          <w:szCs w:val="22"/>
          <w14:ligatures w14:val="standardContextual"/>
        </w:rPr>
        <w:t xml:space="preserve"> (</w:t>
      </w:r>
      <w:r>
        <w:rPr>
          <w:rFonts w:eastAsiaTheme="minorEastAsia"/>
          <w:spacing w:val="0"/>
          <w:kern w:val="2"/>
          <w:sz w:val="22"/>
          <w:szCs w:val="22"/>
          <w14:ligatures w14:val="standardContextual"/>
        </w:rPr>
        <w:t>C</w:t>
      </w:r>
      <w:r>
        <w:rPr>
          <w:rFonts w:eastAsiaTheme="minorEastAsia" w:hint="eastAsia"/>
          <w:spacing w:val="0"/>
          <w:kern w:val="2"/>
          <w:sz w:val="22"/>
          <w:szCs w:val="22"/>
          <w14:ligatures w14:val="standardContextual"/>
        </w:rPr>
        <w:t>)</w:t>
      </w:r>
      <w:r>
        <w:rPr>
          <w:rFonts w:eastAsiaTheme="minorEastAsia"/>
          <w:spacing w:val="0"/>
          <w:kern w:val="2"/>
          <w:sz w:val="22"/>
          <w:szCs w:val="22"/>
          <w14:ligatures w14:val="standardContextual"/>
        </w:rPr>
        <w:t xml:space="preserve"> CCK-8 assays measured cell viability in H1650 and H1975 cells transfected with shN</w:t>
      </w:r>
      <w:r>
        <w:rPr>
          <w:rFonts w:eastAsiaTheme="minorEastAsia"/>
          <w:spacing w:val="0"/>
          <w:kern w:val="2"/>
          <w:sz w:val="22"/>
          <w:szCs w:val="22"/>
          <w14:ligatures w14:val="standardContextual"/>
        </w:rPr>
        <w:t xml:space="preserve">AT10 or </w:t>
      </w:r>
      <w:proofErr w:type="spellStart"/>
      <w:r>
        <w:rPr>
          <w:rFonts w:eastAsiaTheme="minorEastAsia"/>
          <w:spacing w:val="0"/>
          <w:kern w:val="2"/>
          <w:sz w:val="22"/>
          <w:szCs w:val="22"/>
          <w14:ligatures w14:val="standardContextual"/>
        </w:rPr>
        <w:t>shCtrl</w:t>
      </w:r>
      <w:proofErr w:type="spellEnd"/>
      <w:r>
        <w:rPr>
          <w:rFonts w:eastAsiaTheme="minorEastAsia"/>
          <w:spacing w:val="0"/>
          <w:kern w:val="2"/>
          <w:sz w:val="22"/>
          <w:szCs w:val="22"/>
          <w14:ligatures w14:val="standardContextual"/>
        </w:rPr>
        <w:t xml:space="preserve"> and treated with gefitinib or </w:t>
      </w:r>
      <w:proofErr w:type="spellStart"/>
      <w:r>
        <w:rPr>
          <w:rFonts w:eastAsiaTheme="minorEastAsia"/>
          <w:spacing w:val="0"/>
          <w:kern w:val="2"/>
          <w:sz w:val="22"/>
          <w:szCs w:val="22"/>
          <w14:ligatures w14:val="standardContextual"/>
        </w:rPr>
        <w:t>osimertinib</w:t>
      </w:r>
      <w:proofErr w:type="spellEnd"/>
      <w:r>
        <w:rPr>
          <w:rFonts w:eastAsiaTheme="minorEastAsia"/>
          <w:spacing w:val="0"/>
          <w:kern w:val="2"/>
          <w:sz w:val="22"/>
          <w:szCs w:val="22"/>
          <w14:ligatures w14:val="standardContextual"/>
        </w:rPr>
        <w:t xml:space="preserve">. (D) Assessment of the expression of apoptosis-related proteins, as shown by Western blotting. </w:t>
      </w:r>
      <w:r>
        <w:rPr>
          <w:szCs w:val="24"/>
        </w:rPr>
        <w:t>Means ± SD of n = 3 independent experiments, ****p &lt; 0.0001, two-tailed unpaired Student’s t-test. **</w:t>
      </w:r>
      <w:r>
        <w:rPr>
          <w:i/>
          <w:szCs w:val="24"/>
        </w:rPr>
        <w:t>*P</w:t>
      </w:r>
      <w:r>
        <w:rPr>
          <w:szCs w:val="24"/>
        </w:rPr>
        <w:t xml:space="preserve"> </w:t>
      </w:r>
      <w:r>
        <w:rPr>
          <w:szCs w:val="24"/>
        </w:rPr>
        <w:t>&lt; 0.001; *</w:t>
      </w:r>
      <w:r>
        <w:rPr>
          <w:i/>
          <w:szCs w:val="24"/>
        </w:rPr>
        <w:t>*P</w:t>
      </w:r>
      <w:r>
        <w:rPr>
          <w:szCs w:val="24"/>
        </w:rPr>
        <w:t xml:space="preserve"> &lt; 0.01; </w:t>
      </w:r>
      <w:r>
        <w:rPr>
          <w:i/>
          <w:szCs w:val="24"/>
        </w:rPr>
        <w:t>*P</w:t>
      </w:r>
      <w:r>
        <w:rPr>
          <w:szCs w:val="24"/>
        </w:rPr>
        <w:t xml:space="preserve"> &lt; 0.05.</w:t>
      </w:r>
      <w:r>
        <w:rPr>
          <w:sz w:val="28"/>
          <w:szCs w:val="28"/>
        </w:rPr>
        <w:br w:type="page"/>
      </w:r>
    </w:p>
    <w:p w:rsidR="00900E0C" w:rsidRDefault="00AF1196">
      <w:pPr>
        <w:spacing w:line="240" w:lineRule="auto"/>
        <w:ind w:firstLine="0"/>
        <w:contextualSpacing/>
        <w:rPr>
          <w:b/>
          <w:sz w:val="22"/>
          <w:szCs w:val="22"/>
        </w:rPr>
      </w:pPr>
      <w:r>
        <w:rPr>
          <w:b/>
          <w:sz w:val="22"/>
          <w:szCs w:val="22"/>
        </w:rPr>
        <w:lastRenderedPageBreak/>
        <w:t>Fig</w:t>
      </w:r>
      <w:r>
        <w:rPr>
          <w:rFonts w:hint="eastAsia"/>
          <w:b/>
          <w:sz w:val="22"/>
          <w:szCs w:val="22"/>
        </w:rPr>
        <w:t>ure S4</w:t>
      </w:r>
    </w:p>
    <w:p w:rsidR="00900E0C" w:rsidRDefault="00AF1196">
      <w:pPr>
        <w:spacing w:line="240" w:lineRule="auto"/>
        <w:ind w:firstLine="0"/>
        <w:contextualSpacing/>
        <w:rPr>
          <w:sz w:val="28"/>
          <w:szCs w:val="28"/>
        </w:rPr>
      </w:pPr>
      <w:r>
        <w:rPr>
          <w:sz w:val="28"/>
          <w:szCs w:val="28"/>
        </w:rPr>
        <w:pict>
          <v:shape id="_x0000_i1026" type="#_x0000_t75" style="width:415.15pt;height:360.9pt">
            <v:imagedata r:id="rId10" o:title="Figure_S4"/>
          </v:shape>
        </w:pict>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b/>
          <w:spacing w:val="0"/>
          <w:kern w:val="2"/>
          <w:sz w:val="22"/>
          <w:szCs w:val="22"/>
          <w14:ligatures w14:val="standardContextual"/>
        </w:rPr>
        <w:t>Figure S4. NAT10 regulates lipid metabolism reprogramming in NSCLC</w:t>
      </w:r>
    </w:p>
    <w:p w:rsidR="00900E0C" w:rsidRDefault="00AF1196">
      <w:pPr>
        <w:widowControl w:val="0"/>
        <w:spacing w:line="440" w:lineRule="exact"/>
        <w:ind w:firstLine="0"/>
        <w:jc w:val="both"/>
        <w:rPr>
          <w:szCs w:val="24"/>
        </w:rPr>
      </w:pPr>
      <w:r>
        <w:rPr>
          <w:rFonts w:eastAsiaTheme="minorEastAsia"/>
          <w:spacing w:val="0"/>
          <w:kern w:val="2"/>
          <w:sz w:val="22"/>
          <w:szCs w:val="22"/>
          <w14:ligatures w14:val="standardContextual"/>
        </w:rPr>
        <w:t xml:space="preserve">(A) Lipid droplet staining was performed to evaluate lipid uptake after NAT10 knockdown in H1650 and H1975 cells. (B) Measurement of free fatty </w:t>
      </w:r>
      <w:r>
        <w:rPr>
          <w:rFonts w:eastAsiaTheme="minorEastAsia"/>
          <w:spacing w:val="0"/>
          <w:kern w:val="2"/>
          <w:sz w:val="22"/>
          <w:szCs w:val="22"/>
          <w14:ligatures w14:val="standardContextual"/>
        </w:rPr>
        <w:t>acid levels in NAT10-knockdown cells. (C-D) Effect of NAT10 knockdown on the mitochondrial respiratory parameters OCR, basal respiration, maximal respiration, ATP production, and spare respiratory capacity in H1975 cells, as measured by a cell flux analyze</w:t>
      </w:r>
      <w:r>
        <w:rPr>
          <w:rFonts w:eastAsiaTheme="minorEastAsia"/>
          <w:spacing w:val="0"/>
          <w:kern w:val="2"/>
          <w:sz w:val="22"/>
          <w:szCs w:val="22"/>
          <w14:ligatures w14:val="standardContextual"/>
        </w:rPr>
        <w:t xml:space="preserve">r. </w:t>
      </w:r>
      <w:r>
        <w:rPr>
          <w:szCs w:val="24"/>
        </w:rPr>
        <w:t>Means ± SD of n = 3 independent experiments, ****p &lt; 0.0001, two-tailed unpaired Student’s t-test. **</w:t>
      </w:r>
      <w:r>
        <w:rPr>
          <w:i/>
          <w:szCs w:val="24"/>
        </w:rPr>
        <w:t>*P</w:t>
      </w:r>
      <w:r>
        <w:rPr>
          <w:szCs w:val="24"/>
        </w:rPr>
        <w:t xml:space="preserve"> &lt; 0.001; *</w:t>
      </w:r>
      <w:r>
        <w:rPr>
          <w:i/>
          <w:szCs w:val="24"/>
        </w:rPr>
        <w:t>*P</w:t>
      </w:r>
      <w:r>
        <w:rPr>
          <w:szCs w:val="24"/>
        </w:rPr>
        <w:t xml:space="preserve"> &lt; 0.01; </w:t>
      </w:r>
      <w:r>
        <w:rPr>
          <w:i/>
          <w:szCs w:val="24"/>
        </w:rPr>
        <w:t>*P</w:t>
      </w:r>
      <w:r>
        <w:rPr>
          <w:szCs w:val="24"/>
        </w:rPr>
        <w:t xml:space="preserve"> &lt; 0.05.</w:t>
      </w:r>
    </w:p>
    <w:p w:rsidR="00900E0C" w:rsidRDefault="00900E0C">
      <w:pPr>
        <w:widowControl w:val="0"/>
        <w:spacing w:line="440" w:lineRule="exact"/>
        <w:ind w:firstLine="0"/>
        <w:jc w:val="both"/>
        <w:rPr>
          <w:b/>
          <w:sz w:val="22"/>
          <w:szCs w:val="22"/>
        </w:rPr>
      </w:pPr>
    </w:p>
    <w:p w:rsidR="00900E0C" w:rsidRDefault="00AF1196">
      <w:pPr>
        <w:widowControl w:val="0"/>
        <w:spacing w:line="440" w:lineRule="exact"/>
        <w:ind w:firstLine="0"/>
        <w:jc w:val="both"/>
        <w:rPr>
          <w:b/>
          <w:sz w:val="22"/>
          <w:szCs w:val="22"/>
        </w:rPr>
      </w:pPr>
      <w:r>
        <w:rPr>
          <w:b/>
          <w:sz w:val="22"/>
          <w:szCs w:val="22"/>
        </w:rPr>
        <w:t>Fig</w:t>
      </w:r>
      <w:r>
        <w:rPr>
          <w:rFonts w:hint="eastAsia"/>
          <w:b/>
          <w:sz w:val="22"/>
          <w:szCs w:val="22"/>
        </w:rPr>
        <w:t>ure S5</w:t>
      </w:r>
    </w:p>
    <w:p w:rsidR="00900E0C" w:rsidRDefault="00AF1196">
      <w:pPr>
        <w:spacing w:line="240" w:lineRule="auto"/>
        <w:ind w:firstLine="0"/>
        <w:contextualSpacing/>
        <w:rPr>
          <w:sz w:val="28"/>
          <w:szCs w:val="28"/>
        </w:rPr>
      </w:pPr>
      <w:r>
        <w:rPr>
          <w:noProof/>
          <w:sz w:val="28"/>
          <w:szCs w:val="28"/>
        </w:rPr>
        <w:lastRenderedPageBreak/>
        <w:drawing>
          <wp:inline distT="0" distB="0" distL="0" distR="0" wp14:anchorId="145EA06E" wp14:editId="0D3D5BF4">
            <wp:extent cx="5274310" cy="5925185"/>
            <wp:effectExtent l="0" t="0" r="2540" b="0"/>
            <wp:docPr id="1" name="图片 1" descr="E:\BaiduSyncdisk\客户\方帅\20230815-NAT10\修回-2025.7.24\Figure_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BaiduSyncdisk\客户\方帅\20230815-NAT10\修回-2025.7.24\Figure_S5.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5925392"/>
                    </a:xfrm>
                    <a:prstGeom prst="rect">
                      <a:avLst/>
                    </a:prstGeom>
                    <a:noFill/>
                    <a:ln>
                      <a:noFill/>
                    </a:ln>
                  </pic:spPr>
                </pic:pic>
              </a:graphicData>
            </a:graphic>
          </wp:inline>
        </w:drawing>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b/>
          <w:spacing w:val="0"/>
          <w:kern w:val="2"/>
          <w:sz w:val="22"/>
          <w:szCs w:val="22"/>
          <w14:ligatures w14:val="standardContextual"/>
        </w:rPr>
        <w:t>Figure S5. NAT10 regulates the stability of FATP4 and CPT1A mRNAs via ac4C modification.</w:t>
      </w:r>
    </w:p>
    <w:p w:rsidR="00900E0C" w:rsidRDefault="00AF1196">
      <w:pPr>
        <w:widowControl w:val="0"/>
        <w:spacing w:line="440" w:lineRule="exact"/>
        <w:ind w:firstLine="0"/>
        <w:jc w:val="both"/>
        <w:rPr>
          <w:rFonts w:eastAsiaTheme="minorEastAsia"/>
          <w:spacing w:val="0"/>
          <w:kern w:val="2"/>
          <w:sz w:val="22"/>
          <w:szCs w:val="22"/>
          <w14:ligatures w14:val="standardContextual"/>
        </w:rPr>
      </w:pPr>
      <w:r>
        <w:rPr>
          <w:rFonts w:eastAsiaTheme="minorEastAsia"/>
          <w:spacing w:val="0"/>
          <w:kern w:val="2"/>
          <w:sz w:val="22"/>
          <w:szCs w:val="22"/>
          <w14:ligatures w14:val="standardContextual"/>
        </w:rPr>
        <w:t xml:space="preserve">(A) Genomic </w:t>
      </w:r>
      <w:r>
        <w:rPr>
          <w:rFonts w:eastAsiaTheme="minorEastAsia"/>
          <w:spacing w:val="0"/>
          <w:kern w:val="2"/>
          <w:sz w:val="22"/>
          <w:szCs w:val="22"/>
          <w14:ligatures w14:val="standardContextual"/>
        </w:rPr>
        <w:t>distribution of ac4C peaks in RNA transcripts. (B) Expression of common differentially expressed genes after NAT10 overexpression. (C) FATP4 and CPT1A expression in paired NSCLC and normal tissues. (D) Correlation of NAT10 expression with FATP4 and CPT1A e</w:t>
      </w:r>
      <w:r>
        <w:rPr>
          <w:rFonts w:eastAsiaTheme="minorEastAsia"/>
          <w:spacing w:val="0"/>
          <w:kern w:val="2"/>
          <w:sz w:val="22"/>
          <w:szCs w:val="22"/>
          <w14:ligatures w14:val="standardContextual"/>
        </w:rPr>
        <w:t>xpression in clinical samples. (</w:t>
      </w:r>
      <w:r>
        <w:rPr>
          <w:rFonts w:eastAsiaTheme="minorEastAsia" w:hint="eastAsia"/>
          <w:spacing w:val="0"/>
          <w:kern w:val="2"/>
          <w:sz w:val="22"/>
          <w:szCs w:val="22"/>
          <w14:ligatures w14:val="standardContextual"/>
        </w:rPr>
        <w:t>E</w:t>
      </w:r>
      <w:r>
        <w:rPr>
          <w:rFonts w:eastAsiaTheme="minorEastAsia"/>
          <w:spacing w:val="0"/>
          <w:kern w:val="2"/>
          <w:sz w:val="22"/>
          <w:szCs w:val="22"/>
          <w14:ligatures w14:val="standardContextual"/>
        </w:rPr>
        <w:t xml:space="preserve">). Analysis of the correlation between NAT10 expression and FATP4 and CPT1A expression in the TCGA database. (F) FATP4 and CPT1A expression levels at different time points following </w:t>
      </w:r>
      <w:proofErr w:type="spellStart"/>
      <w:r>
        <w:rPr>
          <w:rFonts w:eastAsiaTheme="minorEastAsia"/>
          <w:spacing w:val="0"/>
          <w:kern w:val="2"/>
          <w:sz w:val="22"/>
          <w:szCs w:val="22"/>
          <w14:ligatures w14:val="standardContextual"/>
        </w:rPr>
        <w:t>actinomycin</w:t>
      </w:r>
      <w:proofErr w:type="spellEnd"/>
      <w:r>
        <w:rPr>
          <w:rFonts w:eastAsiaTheme="minorEastAsia"/>
          <w:spacing w:val="0"/>
          <w:kern w:val="2"/>
          <w:sz w:val="22"/>
          <w:szCs w:val="22"/>
          <w14:ligatures w14:val="standardContextual"/>
        </w:rPr>
        <w:t xml:space="preserve"> D treatment. (G) Luciferase r</w:t>
      </w:r>
      <w:r>
        <w:rPr>
          <w:rFonts w:eastAsiaTheme="minorEastAsia"/>
          <w:spacing w:val="0"/>
          <w:kern w:val="2"/>
          <w:sz w:val="22"/>
          <w:szCs w:val="22"/>
          <w14:ligatures w14:val="standardContextual"/>
        </w:rPr>
        <w:t xml:space="preserve">eporter assay results showing the activity of reporter genes containing NAT10-binding regions or mutant sequences after NAT10 overexpression. (H) </w:t>
      </w:r>
      <w:proofErr w:type="gramStart"/>
      <w:r>
        <w:rPr>
          <w:rFonts w:eastAsiaTheme="minorEastAsia"/>
          <w:spacing w:val="0"/>
          <w:kern w:val="2"/>
          <w:sz w:val="22"/>
          <w:szCs w:val="22"/>
          <w14:ligatures w14:val="standardContextual"/>
        </w:rPr>
        <w:t>qPCR</w:t>
      </w:r>
      <w:proofErr w:type="gramEnd"/>
      <w:r>
        <w:rPr>
          <w:rFonts w:eastAsiaTheme="minorEastAsia"/>
          <w:spacing w:val="0"/>
          <w:kern w:val="2"/>
          <w:sz w:val="22"/>
          <w:szCs w:val="22"/>
          <w14:ligatures w14:val="standardContextual"/>
        </w:rPr>
        <w:t xml:space="preserve"> analysis </w:t>
      </w:r>
      <w:r>
        <w:rPr>
          <w:rFonts w:eastAsiaTheme="minorEastAsia"/>
          <w:spacing w:val="0"/>
          <w:kern w:val="2"/>
          <w:sz w:val="22"/>
          <w:szCs w:val="22"/>
          <w14:ligatures w14:val="standardContextual"/>
        </w:rPr>
        <w:lastRenderedPageBreak/>
        <w:t xml:space="preserve">of FATP4 and CPT1A expression levels following NAT10 or NAT10 G641E overexpression after </w:t>
      </w:r>
      <w:proofErr w:type="spellStart"/>
      <w:r>
        <w:rPr>
          <w:rFonts w:eastAsiaTheme="minorEastAsia"/>
          <w:spacing w:val="0"/>
          <w:kern w:val="2"/>
          <w:sz w:val="22"/>
          <w:szCs w:val="22"/>
          <w14:ligatures w14:val="standardContextual"/>
        </w:rPr>
        <w:t>actinom</w:t>
      </w:r>
      <w:r>
        <w:rPr>
          <w:rFonts w:eastAsiaTheme="minorEastAsia"/>
          <w:spacing w:val="0"/>
          <w:kern w:val="2"/>
          <w:sz w:val="22"/>
          <w:szCs w:val="22"/>
          <w14:ligatures w14:val="standardContextual"/>
        </w:rPr>
        <w:t>ycin</w:t>
      </w:r>
      <w:proofErr w:type="spellEnd"/>
      <w:r>
        <w:rPr>
          <w:rFonts w:eastAsiaTheme="minorEastAsia"/>
          <w:spacing w:val="0"/>
          <w:kern w:val="2"/>
          <w:sz w:val="22"/>
          <w:szCs w:val="22"/>
          <w14:ligatures w14:val="standardContextual"/>
        </w:rPr>
        <w:t xml:space="preserve"> D treatment. </w:t>
      </w:r>
      <w:r>
        <w:rPr>
          <w:szCs w:val="24"/>
        </w:rPr>
        <w:t>Means ± SD of n = 3 independent experiments, ****p &lt; 0.0001, two-tailed unpaired Student’s t-test. **</w:t>
      </w:r>
      <w:r>
        <w:rPr>
          <w:i/>
          <w:szCs w:val="24"/>
        </w:rPr>
        <w:t>*P</w:t>
      </w:r>
      <w:r>
        <w:rPr>
          <w:szCs w:val="24"/>
        </w:rPr>
        <w:t xml:space="preserve"> &lt; 0.001; *</w:t>
      </w:r>
      <w:r>
        <w:rPr>
          <w:i/>
          <w:szCs w:val="24"/>
        </w:rPr>
        <w:t>*P</w:t>
      </w:r>
      <w:r>
        <w:rPr>
          <w:szCs w:val="24"/>
        </w:rPr>
        <w:t xml:space="preserve"> &lt; 0.01; </w:t>
      </w:r>
      <w:r>
        <w:rPr>
          <w:i/>
          <w:szCs w:val="24"/>
        </w:rPr>
        <w:t>*P</w:t>
      </w:r>
      <w:r>
        <w:rPr>
          <w:szCs w:val="24"/>
        </w:rPr>
        <w:t xml:space="preserve"> &lt; 0.05.</w:t>
      </w:r>
    </w:p>
    <w:p w:rsidR="00900E0C" w:rsidRDefault="00900E0C">
      <w:pPr>
        <w:widowControl w:val="0"/>
        <w:spacing w:line="440" w:lineRule="exact"/>
        <w:ind w:firstLine="0"/>
        <w:jc w:val="both"/>
        <w:rPr>
          <w:sz w:val="28"/>
          <w:szCs w:val="28"/>
        </w:rPr>
      </w:pPr>
    </w:p>
    <w:p w:rsidR="00900E0C" w:rsidRDefault="00AF1196">
      <w:pPr>
        <w:widowControl w:val="0"/>
        <w:spacing w:line="440" w:lineRule="exact"/>
        <w:ind w:firstLine="0"/>
        <w:jc w:val="both"/>
        <w:rPr>
          <w:b/>
          <w:sz w:val="22"/>
          <w:szCs w:val="22"/>
        </w:rPr>
      </w:pPr>
      <w:r>
        <w:rPr>
          <w:b/>
          <w:sz w:val="22"/>
          <w:szCs w:val="22"/>
        </w:rPr>
        <w:t>Fig</w:t>
      </w:r>
      <w:r>
        <w:rPr>
          <w:rFonts w:hint="eastAsia"/>
          <w:b/>
          <w:sz w:val="22"/>
          <w:szCs w:val="22"/>
        </w:rPr>
        <w:t>ure S6</w:t>
      </w:r>
    </w:p>
    <w:p w:rsidR="00900E0C" w:rsidRDefault="008B7FEC">
      <w:pPr>
        <w:spacing w:line="240" w:lineRule="auto"/>
        <w:ind w:firstLine="0"/>
        <w:contextualSpacing/>
        <w:rPr>
          <w:sz w:val="28"/>
          <w:szCs w:val="28"/>
        </w:rPr>
      </w:pPr>
      <w:r>
        <w:rPr>
          <w:sz w:val="28"/>
          <w:szCs w:val="28"/>
        </w:rPr>
        <w:pict>
          <v:shape id="_x0000_i1027" type="#_x0000_t75" style="width:415.15pt;height:403.75pt">
            <v:imagedata r:id="rId12" o:title="Figure_S6"/>
          </v:shape>
        </w:pict>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b/>
          <w:spacing w:val="0"/>
          <w:kern w:val="2"/>
          <w:sz w:val="22"/>
          <w:szCs w:val="22"/>
          <w14:ligatures w14:val="standardContextual"/>
        </w:rPr>
        <w:t>Figure S6. NAT10 promotes TKI resistance in NSCLC cells by regulating FATP4 and CPT1A</w:t>
      </w:r>
    </w:p>
    <w:p w:rsidR="00900E0C" w:rsidRDefault="00AF1196">
      <w:pPr>
        <w:widowControl w:val="0"/>
        <w:spacing w:line="440" w:lineRule="exact"/>
        <w:ind w:firstLine="0"/>
        <w:jc w:val="both"/>
        <w:rPr>
          <w:rFonts w:eastAsiaTheme="minorEastAsia"/>
          <w:spacing w:val="0"/>
          <w:kern w:val="2"/>
          <w:sz w:val="22"/>
          <w:szCs w:val="22"/>
          <w14:ligatures w14:val="standardContextual"/>
        </w:rPr>
      </w:pPr>
      <w:r>
        <w:rPr>
          <w:rFonts w:eastAsiaTheme="minorEastAsia"/>
          <w:spacing w:val="0"/>
          <w:kern w:val="2"/>
          <w:sz w:val="22"/>
          <w:szCs w:val="22"/>
          <w14:ligatures w14:val="standardContextual"/>
        </w:rPr>
        <w:t>(A) Western blots showing NAT10, FATP4, and CPT1A protein expression in NAT10-knockdown cells with concurrent overexpression of FATP4 or CPT1A. (B) Western blotting shows the expression of NAT10, FATP4, and CPT1A proteins in NAT10-overexpressing cells with</w:t>
      </w:r>
      <w:r>
        <w:rPr>
          <w:rFonts w:eastAsiaTheme="minorEastAsia"/>
          <w:spacing w:val="0"/>
          <w:kern w:val="2"/>
          <w:sz w:val="22"/>
          <w:szCs w:val="22"/>
          <w14:ligatures w14:val="standardContextual"/>
        </w:rPr>
        <w:t xml:space="preserve"> simultaneous knockdown of FATP4 or CPT1A. (C) Flow cytometry analysis of apoptosis in </w:t>
      </w:r>
      <w:r>
        <w:rPr>
          <w:rFonts w:eastAsiaTheme="minorEastAsia" w:hint="eastAsia"/>
          <w:spacing w:val="0"/>
          <w:kern w:val="2"/>
          <w:sz w:val="22"/>
          <w:szCs w:val="22"/>
          <w14:ligatures w14:val="standardContextual"/>
        </w:rPr>
        <w:t>H1650</w:t>
      </w:r>
      <w:r>
        <w:rPr>
          <w:rFonts w:eastAsiaTheme="minorEastAsia"/>
          <w:spacing w:val="0"/>
          <w:kern w:val="2"/>
          <w:sz w:val="22"/>
          <w:szCs w:val="22"/>
          <w14:ligatures w14:val="standardContextual"/>
        </w:rPr>
        <w:t xml:space="preserve"> and PC-9 cells. (D) </w:t>
      </w:r>
      <w:r>
        <w:rPr>
          <w:rFonts w:eastAsiaTheme="minorEastAsia" w:hint="eastAsia"/>
          <w:spacing w:val="0"/>
          <w:kern w:val="2"/>
          <w:sz w:val="22"/>
          <w:szCs w:val="22"/>
          <w14:ligatures w14:val="standardContextual"/>
        </w:rPr>
        <w:t xml:space="preserve">Subcutaneous xenograft model </w:t>
      </w:r>
      <w:r>
        <w:rPr>
          <w:rFonts w:eastAsiaTheme="minorEastAsia"/>
          <w:spacing w:val="0"/>
          <w:kern w:val="2"/>
          <w:sz w:val="22"/>
          <w:szCs w:val="22"/>
          <w14:ligatures w14:val="standardContextual"/>
        </w:rPr>
        <w:t xml:space="preserve">assessing the impact of the CPT1A inhibitor </w:t>
      </w:r>
      <w:proofErr w:type="spellStart"/>
      <w:r>
        <w:rPr>
          <w:rFonts w:eastAsiaTheme="minorEastAsia"/>
          <w:spacing w:val="0"/>
          <w:kern w:val="2"/>
          <w:sz w:val="22"/>
          <w:szCs w:val="22"/>
          <w14:ligatures w14:val="standardContextual"/>
        </w:rPr>
        <w:t>Etomoxir</w:t>
      </w:r>
      <w:proofErr w:type="spellEnd"/>
      <w:r>
        <w:rPr>
          <w:rFonts w:eastAsiaTheme="minorEastAsia"/>
          <w:spacing w:val="0"/>
          <w:kern w:val="2"/>
          <w:sz w:val="22"/>
          <w:szCs w:val="22"/>
          <w14:ligatures w14:val="standardContextual"/>
        </w:rPr>
        <w:t xml:space="preserve"> on tumor growth. (E-F) </w:t>
      </w:r>
      <w:proofErr w:type="gramStart"/>
      <w:r>
        <w:rPr>
          <w:rFonts w:eastAsiaTheme="minorEastAsia"/>
          <w:spacing w:val="0"/>
          <w:kern w:val="2"/>
          <w:sz w:val="22"/>
          <w:szCs w:val="22"/>
          <w14:ligatures w14:val="standardContextual"/>
        </w:rPr>
        <w:t xml:space="preserve">Tumor growth </w:t>
      </w:r>
      <w:r>
        <w:rPr>
          <w:rFonts w:eastAsiaTheme="minorEastAsia"/>
          <w:spacing w:val="0"/>
          <w:kern w:val="2"/>
          <w:sz w:val="22"/>
          <w:szCs w:val="22"/>
          <w14:ligatures w14:val="standardContextual"/>
        </w:rPr>
        <w:lastRenderedPageBreak/>
        <w:t>assessment in a su</w:t>
      </w:r>
      <w:r>
        <w:rPr>
          <w:rFonts w:eastAsiaTheme="minorEastAsia"/>
          <w:spacing w:val="0"/>
          <w:kern w:val="2"/>
          <w:sz w:val="22"/>
          <w:szCs w:val="22"/>
          <w14:ligatures w14:val="standardContextual"/>
        </w:rPr>
        <w:t>bcutaneous xenograft model.</w:t>
      </w:r>
      <w:proofErr w:type="gramEnd"/>
      <w:r>
        <w:rPr>
          <w:rFonts w:eastAsiaTheme="minorEastAsia"/>
          <w:spacing w:val="0"/>
          <w:kern w:val="2"/>
          <w:sz w:val="22"/>
          <w:szCs w:val="22"/>
          <w14:ligatures w14:val="standardContextual"/>
        </w:rPr>
        <w:t xml:space="preserve"> </w:t>
      </w:r>
      <w:r>
        <w:rPr>
          <w:szCs w:val="24"/>
        </w:rPr>
        <w:t>Means ± SD of n = 3 independent experiments, ****p &lt; 0.0001, two-tailed unpaired Student’s t-test. **</w:t>
      </w:r>
      <w:r>
        <w:rPr>
          <w:i/>
          <w:szCs w:val="24"/>
        </w:rPr>
        <w:t>*P</w:t>
      </w:r>
      <w:r>
        <w:rPr>
          <w:szCs w:val="24"/>
        </w:rPr>
        <w:t xml:space="preserve"> &lt; 0.001; *</w:t>
      </w:r>
      <w:r>
        <w:rPr>
          <w:i/>
          <w:szCs w:val="24"/>
        </w:rPr>
        <w:t>*P</w:t>
      </w:r>
      <w:r>
        <w:rPr>
          <w:szCs w:val="24"/>
        </w:rPr>
        <w:t xml:space="preserve"> &lt; 0.01; </w:t>
      </w:r>
      <w:r>
        <w:rPr>
          <w:i/>
          <w:szCs w:val="24"/>
        </w:rPr>
        <w:t>*P</w:t>
      </w:r>
      <w:r>
        <w:rPr>
          <w:szCs w:val="24"/>
        </w:rPr>
        <w:t xml:space="preserve"> &lt; 0.05.</w:t>
      </w:r>
    </w:p>
    <w:p w:rsidR="00900E0C" w:rsidRDefault="00900E0C">
      <w:pPr>
        <w:spacing w:line="240" w:lineRule="auto"/>
        <w:ind w:firstLine="0"/>
        <w:contextualSpacing/>
        <w:rPr>
          <w:sz w:val="28"/>
          <w:szCs w:val="28"/>
        </w:rPr>
      </w:pPr>
    </w:p>
    <w:p w:rsidR="00900E0C" w:rsidRDefault="00AF1196">
      <w:pPr>
        <w:spacing w:line="240" w:lineRule="auto"/>
        <w:ind w:firstLine="0"/>
        <w:contextualSpacing/>
        <w:rPr>
          <w:sz w:val="22"/>
          <w:szCs w:val="22"/>
        </w:rPr>
      </w:pPr>
      <w:r>
        <w:rPr>
          <w:sz w:val="22"/>
          <w:szCs w:val="22"/>
        </w:rPr>
        <w:t>Fig</w:t>
      </w:r>
      <w:r>
        <w:rPr>
          <w:rFonts w:hint="eastAsia"/>
          <w:sz w:val="22"/>
          <w:szCs w:val="22"/>
        </w:rPr>
        <w:t>ure S7</w:t>
      </w:r>
    </w:p>
    <w:p w:rsidR="00900E0C" w:rsidRDefault="00AF1196">
      <w:pPr>
        <w:spacing w:line="240" w:lineRule="auto"/>
        <w:ind w:firstLine="0"/>
        <w:contextualSpacing/>
        <w:rPr>
          <w:sz w:val="28"/>
          <w:szCs w:val="28"/>
        </w:rPr>
      </w:pPr>
      <w:r>
        <w:rPr>
          <w:rFonts w:eastAsia="Times New Roman"/>
          <w:snapToGrid w:val="0"/>
          <w:color w:val="000000"/>
          <w:w w:val="0"/>
          <w:sz w:val="0"/>
          <w:szCs w:val="0"/>
          <w:u w:color="000000"/>
          <w:shd w:val="clear" w:color="000000" w:fill="000000"/>
          <w:lang w:val="zh-CN" w:bidi="zh-CN"/>
        </w:rPr>
        <w:t xml:space="preserve"> </w:t>
      </w:r>
      <w:r>
        <w:rPr>
          <w:noProof/>
          <w:sz w:val="28"/>
          <w:szCs w:val="28"/>
        </w:rPr>
        <w:drawing>
          <wp:inline distT="0" distB="0" distL="0" distR="0" wp14:anchorId="0F2A221A" wp14:editId="5E6B01C1">
            <wp:extent cx="5274310" cy="1711960"/>
            <wp:effectExtent l="0" t="0" r="2540" b="2540"/>
            <wp:docPr id="5" name="图片 5" descr="E:\BaiduSyncdisk\客户\方帅\20230815-NAT10\修回-2025.7.24\Figure_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BaiduSyncdisk\客户\方帅\20230815-NAT10\修回-2025.7.24\Figure_S7.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1712509"/>
                    </a:xfrm>
                    <a:prstGeom prst="rect">
                      <a:avLst/>
                    </a:prstGeom>
                    <a:noFill/>
                    <a:ln>
                      <a:noFill/>
                    </a:ln>
                  </pic:spPr>
                </pic:pic>
              </a:graphicData>
            </a:graphic>
          </wp:inline>
        </w:drawing>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b/>
          <w:spacing w:val="0"/>
          <w:kern w:val="2"/>
          <w:sz w:val="22"/>
          <w:szCs w:val="22"/>
          <w14:ligatures w14:val="standardContextual"/>
        </w:rPr>
        <w:t xml:space="preserve">Figure S7. </w:t>
      </w:r>
      <w:proofErr w:type="gramStart"/>
      <w:r>
        <w:rPr>
          <w:rFonts w:eastAsiaTheme="minorEastAsia"/>
          <w:b/>
          <w:spacing w:val="0"/>
          <w:kern w:val="2"/>
          <w:sz w:val="22"/>
          <w:szCs w:val="22"/>
          <w14:ligatures w14:val="standardContextual"/>
        </w:rPr>
        <w:t>p300-mediated</w:t>
      </w:r>
      <w:proofErr w:type="gramEnd"/>
      <w:r>
        <w:rPr>
          <w:rFonts w:eastAsiaTheme="minorEastAsia"/>
          <w:b/>
          <w:spacing w:val="0"/>
          <w:kern w:val="2"/>
          <w:sz w:val="22"/>
          <w:szCs w:val="22"/>
          <w14:ligatures w14:val="standardContextual"/>
        </w:rPr>
        <w:t xml:space="preserve"> H3K27ac activates NAT10 transcription in NSCLC</w:t>
      </w:r>
    </w:p>
    <w:p w:rsidR="00900E0C" w:rsidRDefault="00AF1196">
      <w:pPr>
        <w:widowControl w:val="0"/>
        <w:spacing w:line="440" w:lineRule="exact"/>
        <w:ind w:firstLine="0"/>
        <w:jc w:val="both"/>
        <w:rPr>
          <w:rFonts w:eastAsiaTheme="minorEastAsia"/>
          <w:spacing w:val="0"/>
          <w:kern w:val="2"/>
          <w:sz w:val="22"/>
          <w:szCs w:val="22"/>
          <w14:ligatures w14:val="standardContextual"/>
        </w:rPr>
      </w:pPr>
      <w:r>
        <w:rPr>
          <w:rFonts w:eastAsiaTheme="minorEastAsia"/>
          <w:spacing w:val="0"/>
          <w:kern w:val="2"/>
          <w:sz w:val="22"/>
          <w:szCs w:val="22"/>
          <w14:ligatures w14:val="standardContextual"/>
        </w:rPr>
        <w:t xml:space="preserve">(A) Verification of p300 expression in </w:t>
      </w:r>
      <w:r>
        <w:rPr>
          <w:rFonts w:eastAsiaTheme="minorEastAsia" w:hint="eastAsia"/>
          <w:spacing w:val="0"/>
          <w:kern w:val="2"/>
          <w:sz w:val="22"/>
          <w:szCs w:val="22"/>
          <w14:ligatures w14:val="standardContextual"/>
        </w:rPr>
        <w:t>138</w:t>
      </w:r>
      <w:r>
        <w:rPr>
          <w:rFonts w:eastAsiaTheme="minorEastAsia"/>
          <w:spacing w:val="0"/>
          <w:kern w:val="2"/>
          <w:sz w:val="22"/>
          <w:szCs w:val="22"/>
          <w14:ligatures w14:val="standardContextual"/>
        </w:rPr>
        <w:t xml:space="preserve"> tissue samples. (B) qRT-PCR analysis of NAT10 mRNA levels in H1975 cells treated with C646 (20 µM) at specified time points. (C) qRT-PCR analysis of NAT10 mRNA levels in H1975 cells treated with various concentr</w:t>
      </w:r>
      <w:r>
        <w:rPr>
          <w:rFonts w:eastAsiaTheme="minorEastAsia"/>
          <w:spacing w:val="0"/>
          <w:kern w:val="2"/>
          <w:sz w:val="22"/>
          <w:szCs w:val="22"/>
          <w14:ligatures w14:val="standardContextual"/>
        </w:rPr>
        <w:t xml:space="preserve">ations of C646. (D) Correlations between NAT10 and p300 expression in NSCLC tissues. </w:t>
      </w:r>
      <w:r>
        <w:rPr>
          <w:szCs w:val="24"/>
        </w:rPr>
        <w:t>Means ± SD of n = 3 independent experiments, ****p &lt; 0.0001, two-tailed unpaired Student’s t-test. **</w:t>
      </w:r>
      <w:r>
        <w:rPr>
          <w:i/>
          <w:szCs w:val="24"/>
        </w:rPr>
        <w:t>*P</w:t>
      </w:r>
      <w:r>
        <w:rPr>
          <w:szCs w:val="24"/>
        </w:rPr>
        <w:t xml:space="preserve"> &lt; 0.001; *</w:t>
      </w:r>
      <w:r>
        <w:rPr>
          <w:i/>
          <w:szCs w:val="24"/>
        </w:rPr>
        <w:t>*P</w:t>
      </w:r>
      <w:r>
        <w:rPr>
          <w:szCs w:val="24"/>
        </w:rPr>
        <w:t xml:space="preserve"> &lt; 0.01; </w:t>
      </w:r>
      <w:r>
        <w:rPr>
          <w:i/>
          <w:szCs w:val="24"/>
        </w:rPr>
        <w:t>*P</w:t>
      </w:r>
      <w:r>
        <w:rPr>
          <w:szCs w:val="24"/>
        </w:rPr>
        <w:t xml:space="preserve"> &lt; 0.05.</w:t>
      </w:r>
    </w:p>
    <w:p w:rsidR="00900E0C" w:rsidRDefault="00AF1196">
      <w:pPr>
        <w:widowControl w:val="0"/>
        <w:spacing w:line="440" w:lineRule="exact"/>
        <w:ind w:firstLine="0"/>
        <w:jc w:val="both"/>
        <w:rPr>
          <w:rFonts w:eastAsiaTheme="minorEastAsia"/>
          <w:spacing w:val="0"/>
          <w:kern w:val="2"/>
          <w:sz w:val="22"/>
          <w:szCs w:val="22"/>
          <w14:ligatures w14:val="standardContextual"/>
        </w:rPr>
      </w:pPr>
      <w:r>
        <w:rPr>
          <w:rFonts w:eastAsiaTheme="minorEastAsia"/>
          <w:spacing w:val="0"/>
          <w:kern w:val="2"/>
          <w:sz w:val="22"/>
          <w:szCs w:val="22"/>
          <w14:ligatures w14:val="standardContextual"/>
        </w:rPr>
        <w:br w:type="page"/>
      </w:r>
    </w:p>
    <w:p w:rsidR="00900E0C" w:rsidRDefault="00AF1196">
      <w:pPr>
        <w:spacing w:line="240" w:lineRule="auto"/>
        <w:ind w:firstLine="0"/>
        <w:contextualSpacing/>
        <w:rPr>
          <w:b/>
          <w:sz w:val="22"/>
          <w:szCs w:val="22"/>
        </w:rPr>
      </w:pPr>
      <w:r>
        <w:rPr>
          <w:b/>
          <w:sz w:val="22"/>
          <w:szCs w:val="22"/>
        </w:rPr>
        <w:lastRenderedPageBreak/>
        <w:t>Fig</w:t>
      </w:r>
      <w:r>
        <w:rPr>
          <w:rFonts w:hint="eastAsia"/>
          <w:b/>
          <w:sz w:val="22"/>
          <w:szCs w:val="22"/>
        </w:rPr>
        <w:t>ure S8</w:t>
      </w:r>
    </w:p>
    <w:p w:rsidR="00900E0C" w:rsidRDefault="008B7FEC">
      <w:pPr>
        <w:spacing w:line="240" w:lineRule="auto"/>
        <w:ind w:firstLine="0"/>
        <w:contextualSpacing/>
        <w:rPr>
          <w:sz w:val="28"/>
          <w:szCs w:val="28"/>
        </w:rPr>
      </w:pPr>
      <w:r>
        <w:rPr>
          <w:sz w:val="28"/>
          <w:szCs w:val="28"/>
        </w:rPr>
        <w:pict>
          <v:shape id="_x0000_i1028" type="#_x0000_t75" style="width:415.15pt;height:326.75pt">
            <v:imagedata r:id="rId14" o:title="Figure_S8"/>
          </v:shape>
        </w:pict>
      </w:r>
    </w:p>
    <w:p w:rsidR="00900E0C" w:rsidRDefault="00AF1196">
      <w:pPr>
        <w:widowControl w:val="0"/>
        <w:spacing w:line="440" w:lineRule="exact"/>
        <w:ind w:firstLine="0"/>
        <w:jc w:val="both"/>
        <w:rPr>
          <w:rFonts w:eastAsiaTheme="minorEastAsia"/>
          <w:b/>
          <w:spacing w:val="0"/>
          <w:kern w:val="2"/>
          <w:sz w:val="22"/>
          <w:szCs w:val="22"/>
          <w14:ligatures w14:val="standardContextual"/>
        </w:rPr>
      </w:pPr>
      <w:r>
        <w:rPr>
          <w:rFonts w:eastAsiaTheme="minorEastAsia"/>
          <w:b/>
          <w:spacing w:val="0"/>
          <w:kern w:val="2"/>
          <w:sz w:val="22"/>
          <w:szCs w:val="22"/>
          <w14:ligatures w14:val="standardContextual"/>
        </w:rPr>
        <w:t xml:space="preserve">Figure S8. Remodelin </w:t>
      </w:r>
      <w:r>
        <w:rPr>
          <w:rFonts w:eastAsiaTheme="minorEastAsia"/>
          <w:b/>
          <w:spacing w:val="0"/>
          <w:kern w:val="2"/>
          <w:sz w:val="22"/>
          <w:szCs w:val="22"/>
          <w14:ligatures w14:val="standardContextual"/>
        </w:rPr>
        <w:t>enhances NSCLC sensitivity to gefitinib in vitro and in vivo</w:t>
      </w:r>
    </w:p>
    <w:p w:rsidR="00900E0C" w:rsidRDefault="00AF1196">
      <w:pPr>
        <w:widowControl w:val="0"/>
        <w:spacing w:line="440" w:lineRule="exact"/>
        <w:ind w:firstLine="0"/>
        <w:jc w:val="both"/>
        <w:rPr>
          <w:rFonts w:eastAsiaTheme="minorEastAsia"/>
          <w:spacing w:val="0"/>
          <w:kern w:val="2"/>
          <w:sz w:val="22"/>
          <w:szCs w:val="22"/>
          <w14:ligatures w14:val="standardContextual"/>
        </w:rPr>
      </w:pPr>
      <w:r>
        <w:rPr>
          <w:rFonts w:eastAsiaTheme="minorEastAsia"/>
          <w:spacing w:val="0"/>
          <w:kern w:val="2"/>
          <w:sz w:val="22"/>
          <w:szCs w:val="22"/>
          <w14:ligatures w14:val="standardContextual"/>
        </w:rPr>
        <w:t>(A) Using EDU assays to determine cell proliferation after treatment with Remodelin, gefitinib, or their combination. (B) Lipid droplet staining for assessment of lipid metabolism levels. (C-D) M</w:t>
      </w:r>
      <w:r>
        <w:rPr>
          <w:rFonts w:eastAsiaTheme="minorEastAsia"/>
          <w:spacing w:val="0"/>
          <w:kern w:val="2"/>
          <w:sz w:val="22"/>
          <w:szCs w:val="22"/>
          <w14:ligatures w14:val="standardContextual"/>
        </w:rPr>
        <w:t>easurement of OCR in H1650 cells treated with Remodelin, gefitinib, or their combination to evaluate oxygen consumption rate, basal respiration, maximal respiration, ATP production, and spare respiratory capacity. (E-F) Measurement of the OCR in H1975 cell</w:t>
      </w:r>
      <w:r>
        <w:rPr>
          <w:rFonts w:eastAsiaTheme="minorEastAsia"/>
          <w:spacing w:val="0"/>
          <w:kern w:val="2"/>
          <w:sz w:val="22"/>
          <w:szCs w:val="22"/>
          <w14:ligatures w14:val="standardContextual"/>
        </w:rPr>
        <w:t>s treated with Remodelin, gefitinib, or their combination to evaluate oxygen consumption rate, basal respiration, maximal respiration, ATP production, and spare respiratory capacity. * P &lt; 0.05, ** P &lt; 0.01, *** P &lt; 0.001.</w:t>
      </w:r>
    </w:p>
    <w:p w:rsidR="00900E0C" w:rsidRDefault="00900E0C">
      <w:pPr>
        <w:spacing w:line="240" w:lineRule="auto"/>
        <w:ind w:firstLine="0"/>
        <w:contextualSpacing/>
        <w:rPr>
          <w:b/>
          <w:sz w:val="28"/>
          <w:szCs w:val="28"/>
        </w:rPr>
      </w:pPr>
    </w:p>
    <w:p w:rsidR="00900E0C" w:rsidRDefault="00900E0C">
      <w:pPr>
        <w:spacing w:line="240" w:lineRule="auto"/>
        <w:ind w:firstLine="0"/>
        <w:contextualSpacing/>
        <w:rPr>
          <w:b/>
          <w:sz w:val="28"/>
          <w:szCs w:val="28"/>
        </w:rPr>
      </w:pPr>
    </w:p>
    <w:p w:rsidR="00900E0C" w:rsidRDefault="00AF1196">
      <w:pPr>
        <w:spacing w:line="240" w:lineRule="auto"/>
        <w:ind w:firstLine="0"/>
        <w:rPr>
          <w:b/>
          <w:sz w:val="28"/>
          <w:szCs w:val="28"/>
        </w:rPr>
      </w:pPr>
      <w:r>
        <w:rPr>
          <w:b/>
          <w:sz w:val="28"/>
          <w:szCs w:val="28"/>
        </w:rPr>
        <w:br w:type="page"/>
      </w:r>
    </w:p>
    <w:p w:rsidR="00900E0C" w:rsidRDefault="00AF1196">
      <w:pPr>
        <w:spacing w:line="240" w:lineRule="auto"/>
        <w:ind w:firstLine="0"/>
        <w:contextualSpacing/>
        <w:rPr>
          <w:b/>
          <w:sz w:val="22"/>
          <w:szCs w:val="22"/>
        </w:rPr>
      </w:pPr>
      <w:proofErr w:type="gramStart"/>
      <w:r>
        <w:rPr>
          <w:b/>
          <w:sz w:val="22"/>
          <w:szCs w:val="22"/>
        </w:rPr>
        <w:lastRenderedPageBreak/>
        <w:t>Table S1 Primer sequences.</w:t>
      </w:r>
      <w:proofErr w:type="gramEnd"/>
    </w:p>
    <w:tbl>
      <w:tblPr>
        <w:tblStyle w:val="a6"/>
        <w:tblW w:w="9322" w:type="dxa"/>
        <w:tblInd w:w="-50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4110"/>
        <w:gridCol w:w="4111"/>
      </w:tblGrid>
      <w:tr w:rsidR="00900E0C">
        <w:tc>
          <w:tcPr>
            <w:tcW w:w="1101" w:type="dxa"/>
            <w:tcBorders>
              <w:bottom w:val="single" w:sz="12" w:space="0" w:color="auto"/>
            </w:tcBorders>
          </w:tcPr>
          <w:p w:rsidR="00900E0C" w:rsidRDefault="00AF1196">
            <w:pPr>
              <w:widowControl/>
              <w:spacing w:line="240" w:lineRule="auto"/>
              <w:ind w:firstLine="0"/>
              <w:contextualSpacing/>
              <w:jc w:val="left"/>
              <w:rPr>
                <w:sz w:val="22"/>
                <w:szCs w:val="22"/>
              </w:rPr>
            </w:pPr>
            <w:r>
              <w:rPr>
                <w:b/>
                <w:bCs/>
                <w:color w:val="000000"/>
                <w:sz w:val="22"/>
                <w:szCs w:val="22"/>
                <w:lang w:bidi="ar"/>
              </w:rPr>
              <w:t>Name</w:t>
            </w:r>
          </w:p>
        </w:tc>
        <w:tc>
          <w:tcPr>
            <w:tcW w:w="4110" w:type="dxa"/>
            <w:tcBorders>
              <w:bottom w:val="single" w:sz="12" w:space="0" w:color="auto"/>
            </w:tcBorders>
          </w:tcPr>
          <w:p w:rsidR="00900E0C" w:rsidRDefault="00AF1196">
            <w:pPr>
              <w:spacing w:line="240" w:lineRule="auto"/>
              <w:ind w:firstLine="0"/>
              <w:contextualSpacing/>
              <w:jc w:val="left"/>
              <w:rPr>
                <w:b/>
                <w:sz w:val="22"/>
                <w:szCs w:val="22"/>
              </w:rPr>
            </w:pPr>
            <w:r>
              <w:rPr>
                <w:b/>
                <w:sz w:val="22"/>
                <w:szCs w:val="22"/>
              </w:rPr>
              <w:t>Forward primer (5’ to 3’)</w:t>
            </w:r>
          </w:p>
        </w:tc>
        <w:tc>
          <w:tcPr>
            <w:tcW w:w="4111" w:type="dxa"/>
            <w:tcBorders>
              <w:bottom w:val="single" w:sz="12" w:space="0" w:color="auto"/>
            </w:tcBorders>
          </w:tcPr>
          <w:p w:rsidR="00900E0C" w:rsidRDefault="00AF1196">
            <w:pPr>
              <w:spacing w:line="240" w:lineRule="auto"/>
              <w:ind w:firstLine="0"/>
              <w:contextualSpacing/>
              <w:jc w:val="left"/>
              <w:rPr>
                <w:b/>
                <w:sz w:val="22"/>
                <w:szCs w:val="22"/>
              </w:rPr>
            </w:pPr>
            <w:r>
              <w:rPr>
                <w:b/>
                <w:sz w:val="22"/>
                <w:szCs w:val="22"/>
              </w:rPr>
              <w:t>Reverse primer (5’ to 3’)</w:t>
            </w:r>
          </w:p>
        </w:tc>
      </w:tr>
      <w:tr w:rsidR="00900E0C">
        <w:tc>
          <w:tcPr>
            <w:tcW w:w="1101" w:type="dxa"/>
            <w:tcBorders>
              <w:top w:val="single" w:sz="12" w:space="0" w:color="auto"/>
              <w:tl2br w:val="nil"/>
              <w:tr2bl w:val="nil"/>
            </w:tcBorders>
          </w:tcPr>
          <w:p w:rsidR="00900E0C" w:rsidRDefault="00AF1196">
            <w:pPr>
              <w:spacing w:line="240" w:lineRule="auto"/>
              <w:ind w:firstLine="0"/>
              <w:contextualSpacing/>
              <w:jc w:val="left"/>
              <w:rPr>
                <w:sz w:val="22"/>
                <w:szCs w:val="22"/>
              </w:rPr>
            </w:pPr>
            <w:r>
              <w:rPr>
                <w:sz w:val="22"/>
                <w:szCs w:val="22"/>
              </w:rPr>
              <w:t>NAT10</w:t>
            </w:r>
          </w:p>
        </w:tc>
        <w:tc>
          <w:tcPr>
            <w:tcW w:w="4110" w:type="dxa"/>
            <w:tcBorders>
              <w:top w:val="single" w:sz="12" w:space="0" w:color="auto"/>
              <w:tl2br w:val="nil"/>
              <w:tr2bl w:val="nil"/>
            </w:tcBorders>
          </w:tcPr>
          <w:p w:rsidR="00900E0C" w:rsidRDefault="00AF1196">
            <w:pPr>
              <w:spacing w:line="240" w:lineRule="auto"/>
              <w:ind w:firstLine="0"/>
              <w:contextualSpacing/>
              <w:jc w:val="left"/>
              <w:rPr>
                <w:sz w:val="22"/>
                <w:szCs w:val="22"/>
              </w:rPr>
            </w:pPr>
            <w:r>
              <w:rPr>
                <w:sz w:val="22"/>
                <w:szCs w:val="22"/>
              </w:rPr>
              <w:t>GCCTCTTGTAAGAAGTGTCTCG</w:t>
            </w:r>
          </w:p>
        </w:tc>
        <w:tc>
          <w:tcPr>
            <w:tcW w:w="4111" w:type="dxa"/>
            <w:tcBorders>
              <w:top w:val="single" w:sz="12" w:space="0" w:color="auto"/>
              <w:tl2br w:val="nil"/>
              <w:tr2bl w:val="nil"/>
            </w:tcBorders>
          </w:tcPr>
          <w:p w:rsidR="00900E0C" w:rsidRDefault="00AF1196">
            <w:pPr>
              <w:spacing w:line="240" w:lineRule="auto"/>
              <w:ind w:firstLine="0"/>
              <w:contextualSpacing/>
              <w:jc w:val="left"/>
              <w:rPr>
                <w:sz w:val="22"/>
                <w:szCs w:val="22"/>
              </w:rPr>
            </w:pPr>
            <w:r>
              <w:rPr>
                <w:sz w:val="22"/>
                <w:szCs w:val="22"/>
              </w:rPr>
              <w:t>TCTTTTCAGAGATGCCCTCGAT</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CD36</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GGGAAAGTCACTGCGACATG</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TGCAATACCTGGCTTTTCTCA</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FABP1</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GGAGGAATGTGAGCTGGAGACA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TATGTCGCCGTTGAGTTCGGTC</w:t>
            </w:r>
          </w:p>
        </w:tc>
      </w:tr>
      <w:tr w:rsidR="00900E0C">
        <w:trPr>
          <w:trHeight w:val="312"/>
        </w:trPr>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FATP4</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TGGCGCTTCATCCGGGTCTT</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CGAACGGTAGAGGCAAACAA</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FABP5</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TGAAGGAGCTAGGAGTGGGAA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TGCACCATCTGTAAAGTTGCAG</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ATGL</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CCATCACAGTGTCCCCCTTC</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AACTGGATGCTGGTGTTGGT</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MGL</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AGGTGCCTACCATGTTCTCC</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GTGGCTGTCCTTTGAGAGACC</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HSL</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AGGAGTCTGGGCCATAGCTTA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AGCACGCTAAAGCAGCAAAC</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ACSL1</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GGGGGTATTCTTGCCTTCGT</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TCAGCTGTGCGTGTTAGAGG</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CPT1A</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ATCAATCGGACTCTGGAAACGG</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 xml:space="preserve"> TCAGGGAGTAGCGCATGGT</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CPT2</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CTGTAGCACTGCCGCATTCA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AGAGCAAACAAGTGTCGGTCAA</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ACADL</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TTGGCAAAACAGTTGCTCAC</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ACATGTATCCCCAACCTCCA</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ECHS1</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CTGTTACTCCAGCAAGTTCT</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TCACACATCATGGCAAGCTCA</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HADHA</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AGTAGAAGCGGTGATTCCAGA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CCACGGGAGAGAAGTAGTGC</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ACAA2</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CCATGGCAATGACTGCAGAG</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GTAGCCAGCATCATTAGCAGC</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MPRIP</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AAAGCAACCCTGACTTCTTGA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CTCAACTTGGATGGGACACA</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THOC3</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GTTGGCATCCAAGTAATCCTGA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TCTCCCCTTTAGTGTTCACAGT</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DHCR24</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CCCACCCCAGCTGTAGTTAA</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CAGCTTCCCTTACATGACGC</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CBX4</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GCTGCTGATCGCCTTCCAGAAC</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TTGGAACGACGGGCAAAGGTAG</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PPM1G</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CTGCTTCAGACTACCAAACTGG</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CTCTGTAGAAATGGCAAACCACA</w:t>
            </w:r>
          </w:p>
        </w:tc>
      </w:tr>
      <w:tr w:rsidR="00900E0C">
        <w:tc>
          <w:tcPr>
            <w:tcW w:w="1101" w:type="dxa"/>
            <w:tcBorders>
              <w:tl2br w:val="nil"/>
              <w:tr2bl w:val="nil"/>
            </w:tcBorders>
          </w:tcPr>
          <w:p w:rsidR="00900E0C" w:rsidRDefault="00AF1196">
            <w:pPr>
              <w:spacing w:line="240" w:lineRule="auto"/>
              <w:ind w:firstLine="0"/>
              <w:contextualSpacing/>
              <w:jc w:val="left"/>
              <w:rPr>
                <w:sz w:val="22"/>
                <w:szCs w:val="22"/>
              </w:rPr>
            </w:pPr>
            <w:r>
              <w:rPr>
                <w:sz w:val="22"/>
                <w:szCs w:val="22"/>
              </w:rPr>
              <w:t>GAPDH</w:t>
            </w:r>
          </w:p>
        </w:tc>
        <w:tc>
          <w:tcPr>
            <w:tcW w:w="4110" w:type="dxa"/>
            <w:tcBorders>
              <w:tl2br w:val="nil"/>
              <w:tr2bl w:val="nil"/>
            </w:tcBorders>
          </w:tcPr>
          <w:p w:rsidR="00900E0C" w:rsidRDefault="00AF1196">
            <w:pPr>
              <w:spacing w:line="240" w:lineRule="auto"/>
              <w:ind w:firstLine="0"/>
              <w:contextualSpacing/>
              <w:jc w:val="left"/>
              <w:rPr>
                <w:sz w:val="22"/>
                <w:szCs w:val="22"/>
              </w:rPr>
            </w:pPr>
            <w:r>
              <w:rPr>
                <w:sz w:val="22"/>
                <w:szCs w:val="22"/>
              </w:rPr>
              <w:t>CGGAGTCAACGGATTTGGTCGTAT</w:t>
            </w:r>
          </w:p>
        </w:tc>
        <w:tc>
          <w:tcPr>
            <w:tcW w:w="4111" w:type="dxa"/>
            <w:tcBorders>
              <w:tl2br w:val="nil"/>
              <w:tr2bl w:val="nil"/>
            </w:tcBorders>
          </w:tcPr>
          <w:p w:rsidR="00900E0C" w:rsidRDefault="00AF1196">
            <w:pPr>
              <w:spacing w:line="240" w:lineRule="auto"/>
              <w:ind w:firstLine="0"/>
              <w:contextualSpacing/>
              <w:jc w:val="left"/>
              <w:rPr>
                <w:sz w:val="22"/>
                <w:szCs w:val="22"/>
              </w:rPr>
            </w:pPr>
            <w:r>
              <w:rPr>
                <w:sz w:val="22"/>
                <w:szCs w:val="22"/>
              </w:rPr>
              <w:t>AGCCTTCTCCATGGTGGTGAAGAC</w:t>
            </w:r>
          </w:p>
        </w:tc>
      </w:tr>
    </w:tbl>
    <w:p w:rsidR="00900E0C" w:rsidRDefault="00900E0C">
      <w:pPr>
        <w:spacing w:line="240" w:lineRule="auto"/>
        <w:ind w:firstLine="0"/>
        <w:contextualSpacing/>
        <w:rPr>
          <w:sz w:val="22"/>
          <w:szCs w:val="22"/>
        </w:rPr>
      </w:pPr>
    </w:p>
    <w:p w:rsidR="00900E0C" w:rsidRDefault="00AF1196">
      <w:pPr>
        <w:spacing w:line="240" w:lineRule="auto"/>
        <w:ind w:firstLine="0"/>
        <w:rPr>
          <w:b/>
          <w:sz w:val="22"/>
          <w:szCs w:val="22"/>
        </w:rPr>
      </w:pPr>
      <w:proofErr w:type="gramStart"/>
      <w:r>
        <w:rPr>
          <w:b/>
          <w:sz w:val="22"/>
          <w:szCs w:val="22"/>
        </w:rPr>
        <w:t>Table S2 RNA oligonucleotide sequences.</w:t>
      </w:r>
      <w:proofErr w:type="gramEnd"/>
    </w:p>
    <w:tbl>
      <w:tblPr>
        <w:tblW w:w="5000" w:type="pct"/>
        <w:tblBorders>
          <w:top w:val="single" w:sz="4" w:space="0" w:color="auto"/>
          <w:bottom w:val="single" w:sz="4" w:space="0" w:color="auto"/>
        </w:tblBorders>
        <w:tblLook w:val="04A0" w:firstRow="1" w:lastRow="0" w:firstColumn="1" w:lastColumn="0" w:noHBand="0" w:noVBand="1"/>
      </w:tblPr>
      <w:tblGrid>
        <w:gridCol w:w="1841"/>
        <w:gridCol w:w="6681"/>
      </w:tblGrid>
      <w:tr w:rsidR="00900E0C">
        <w:trPr>
          <w:trHeight w:val="364"/>
        </w:trPr>
        <w:tc>
          <w:tcPr>
            <w:tcW w:w="1080" w:type="pct"/>
            <w:tcBorders>
              <w:top w:val="single" w:sz="4" w:space="0" w:color="auto"/>
              <w:bottom w:val="single" w:sz="4" w:space="0" w:color="auto"/>
            </w:tcBorders>
            <w:shd w:val="clear" w:color="auto" w:fill="auto"/>
          </w:tcPr>
          <w:p w:rsidR="00900E0C" w:rsidRDefault="00AF1196">
            <w:pPr>
              <w:spacing w:line="240" w:lineRule="auto"/>
              <w:ind w:firstLine="0"/>
              <w:contextualSpacing/>
              <w:rPr>
                <w:b/>
                <w:sz w:val="22"/>
                <w:szCs w:val="22"/>
              </w:rPr>
            </w:pPr>
            <w:r>
              <w:rPr>
                <w:b/>
                <w:sz w:val="22"/>
                <w:szCs w:val="22"/>
              </w:rPr>
              <w:t xml:space="preserve">RNA </w:t>
            </w:r>
            <w:proofErr w:type="spellStart"/>
            <w:r>
              <w:rPr>
                <w:b/>
                <w:sz w:val="22"/>
                <w:szCs w:val="22"/>
              </w:rPr>
              <w:t>oligos</w:t>
            </w:r>
            <w:proofErr w:type="spellEnd"/>
          </w:p>
        </w:tc>
        <w:tc>
          <w:tcPr>
            <w:tcW w:w="3919" w:type="pct"/>
            <w:tcBorders>
              <w:top w:val="single" w:sz="4" w:space="0" w:color="auto"/>
              <w:bottom w:val="single" w:sz="4" w:space="0" w:color="auto"/>
            </w:tcBorders>
            <w:shd w:val="clear" w:color="auto" w:fill="auto"/>
          </w:tcPr>
          <w:p w:rsidR="00900E0C" w:rsidRDefault="00AF1196">
            <w:pPr>
              <w:spacing w:line="240" w:lineRule="auto"/>
              <w:ind w:firstLine="0"/>
              <w:contextualSpacing/>
              <w:rPr>
                <w:b/>
                <w:sz w:val="22"/>
                <w:szCs w:val="22"/>
              </w:rPr>
            </w:pPr>
            <w:r>
              <w:rPr>
                <w:b/>
                <w:sz w:val="22"/>
                <w:szCs w:val="22"/>
              </w:rPr>
              <w:t>Sequences</w:t>
            </w:r>
          </w:p>
        </w:tc>
      </w:tr>
      <w:tr w:rsidR="00900E0C">
        <w:trPr>
          <w:trHeight w:val="364"/>
        </w:trPr>
        <w:tc>
          <w:tcPr>
            <w:tcW w:w="1080" w:type="pct"/>
            <w:tcBorders>
              <w:top w:val="single" w:sz="4" w:space="0" w:color="auto"/>
            </w:tcBorders>
            <w:shd w:val="clear" w:color="auto" w:fill="auto"/>
          </w:tcPr>
          <w:p w:rsidR="00900E0C" w:rsidRDefault="00AF1196">
            <w:pPr>
              <w:spacing w:line="240" w:lineRule="auto"/>
              <w:ind w:firstLine="0"/>
              <w:contextualSpacing/>
              <w:rPr>
                <w:sz w:val="22"/>
                <w:szCs w:val="22"/>
              </w:rPr>
            </w:pPr>
            <w:proofErr w:type="spellStart"/>
            <w:r>
              <w:rPr>
                <w:spacing w:val="0"/>
                <w:kern w:val="2"/>
                <w:sz w:val="22"/>
                <w:szCs w:val="22"/>
              </w:rPr>
              <w:t>sh</w:t>
            </w:r>
            <w:proofErr w:type="spellEnd"/>
            <w:r>
              <w:rPr>
                <w:spacing w:val="0"/>
                <w:kern w:val="2"/>
                <w:sz w:val="22"/>
                <w:szCs w:val="22"/>
              </w:rPr>
              <w:t>-NC</w:t>
            </w:r>
          </w:p>
        </w:tc>
        <w:tc>
          <w:tcPr>
            <w:tcW w:w="3919" w:type="pct"/>
            <w:tcBorders>
              <w:top w:val="single" w:sz="4" w:space="0" w:color="auto"/>
            </w:tcBorders>
            <w:shd w:val="clear" w:color="auto" w:fill="auto"/>
          </w:tcPr>
          <w:p w:rsidR="00900E0C" w:rsidRDefault="00AF1196">
            <w:pPr>
              <w:spacing w:line="240" w:lineRule="auto"/>
              <w:ind w:firstLine="0"/>
              <w:contextualSpacing/>
              <w:rPr>
                <w:sz w:val="22"/>
                <w:szCs w:val="22"/>
              </w:rPr>
            </w:pPr>
            <w:r>
              <w:rPr>
                <w:spacing w:val="0"/>
                <w:kern w:val="2"/>
                <w:sz w:val="22"/>
                <w:szCs w:val="22"/>
              </w:rPr>
              <w:t>Sense: 5’- CAACAAGATGAAGAGCACCAA -3’</w:t>
            </w:r>
          </w:p>
        </w:tc>
      </w:tr>
      <w:tr w:rsidR="00900E0C">
        <w:trPr>
          <w:trHeight w:val="364"/>
        </w:trPr>
        <w:tc>
          <w:tcPr>
            <w:tcW w:w="1080" w:type="pct"/>
            <w:shd w:val="clear" w:color="auto" w:fill="auto"/>
          </w:tcPr>
          <w:p w:rsidR="00900E0C" w:rsidRDefault="00AF1196">
            <w:pPr>
              <w:spacing w:line="240" w:lineRule="auto"/>
              <w:ind w:firstLine="0"/>
              <w:contextualSpacing/>
              <w:rPr>
                <w:sz w:val="22"/>
                <w:szCs w:val="22"/>
              </w:rPr>
            </w:pPr>
            <w:r>
              <w:rPr>
                <w:spacing w:val="0"/>
                <w:kern w:val="2"/>
                <w:sz w:val="22"/>
                <w:szCs w:val="22"/>
              </w:rPr>
              <w:t>shNAT10#1</w:t>
            </w:r>
          </w:p>
        </w:tc>
        <w:tc>
          <w:tcPr>
            <w:tcW w:w="3919" w:type="pct"/>
            <w:shd w:val="clear" w:color="auto" w:fill="auto"/>
          </w:tcPr>
          <w:p w:rsidR="00900E0C" w:rsidRDefault="00AF1196">
            <w:pPr>
              <w:spacing w:line="240" w:lineRule="auto"/>
              <w:ind w:firstLine="0"/>
              <w:contextualSpacing/>
              <w:rPr>
                <w:spacing w:val="0"/>
                <w:kern w:val="2"/>
                <w:sz w:val="22"/>
                <w:szCs w:val="22"/>
              </w:rPr>
            </w:pPr>
            <w:r>
              <w:rPr>
                <w:spacing w:val="0"/>
                <w:kern w:val="2"/>
                <w:sz w:val="22"/>
                <w:szCs w:val="22"/>
              </w:rPr>
              <w:t>Sense: 5’-CCTGTAATCTGTAGTTTAACA-3’</w:t>
            </w:r>
          </w:p>
        </w:tc>
      </w:tr>
      <w:tr w:rsidR="00900E0C">
        <w:trPr>
          <w:trHeight w:val="364"/>
        </w:trPr>
        <w:tc>
          <w:tcPr>
            <w:tcW w:w="1080" w:type="pct"/>
            <w:shd w:val="clear" w:color="auto" w:fill="auto"/>
          </w:tcPr>
          <w:p w:rsidR="00900E0C" w:rsidRDefault="00AF1196">
            <w:pPr>
              <w:spacing w:line="240" w:lineRule="auto"/>
              <w:ind w:firstLine="0"/>
              <w:contextualSpacing/>
              <w:rPr>
                <w:rFonts w:eastAsia="仿宋"/>
                <w:spacing w:val="10"/>
                <w:sz w:val="22"/>
                <w:szCs w:val="22"/>
              </w:rPr>
            </w:pPr>
            <w:r>
              <w:rPr>
                <w:spacing w:val="0"/>
                <w:kern w:val="2"/>
                <w:sz w:val="22"/>
                <w:szCs w:val="22"/>
              </w:rPr>
              <w:t>shNAT10#2</w:t>
            </w:r>
          </w:p>
        </w:tc>
        <w:tc>
          <w:tcPr>
            <w:tcW w:w="3919" w:type="pct"/>
            <w:shd w:val="clear" w:color="auto" w:fill="auto"/>
          </w:tcPr>
          <w:p w:rsidR="00900E0C" w:rsidRDefault="00AF1196">
            <w:pPr>
              <w:spacing w:line="240" w:lineRule="auto"/>
              <w:ind w:firstLine="0"/>
              <w:contextualSpacing/>
              <w:rPr>
                <w:sz w:val="22"/>
                <w:szCs w:val="22"/>
              </w:rPr>
            </w:pPr>
            <w:r>
              <w:rPr>
                <w:spacing w:val="0"/>
                <w:kern w:val="2"/>
                <w:sz w:val="22"/>
                <w:szCs w:val="22"/>
              </w:rPr>
              <w:t>Sense: 5’-</w:t>
            </w:r>
            <w:r>
              <w:rPr>
                <w:rFonts w:hint="eastAsia"/>
                <w:spacing w:val="0"/>
                <w:kern w:val="2"/>
                <w:sz w:val="22"/>
                <w:szCs w:val="22"/>
              </w:rPr>
              <w:t>GAAATGTTATCATACTTTATT</w:t>
            </w:r>
            <w:r>
              <w:rPr>
                <w:spacing w:val="0"/>
                <w:kern w:val="2"/>
                <w:sz w:val="22"/>
                <w:szCs w:val="22"/>
              </w:rPr>
              <w:t>-3’</w:t>
            </w:r>
          </w:p>
        </w:tc>
      </w:tr>
      <w:tr w:rsidR="00900E0C">
        <w:trPr>
          <w:trHeight w:val="364"/>
        </w:trPr>
        <w:tc>
          <w:tcPr>
            <w:tcW w:w="1080" w:type="pct"/>
            <w:shd w:val="clear" w:color="auto" w:fill="auto"/>
          </w:tcPr>
          <w:p w:rsidR="00900E0C" w:rsidRDefault="00AF1196">
            <w:pPr>
              <w:spacing w:line="240" w:lineRule="auto"/>
              <w:ind w:firstLine="0"/>
              <w:contextualSpacing/>
              <w:rPr>
                <w:spacing w:val="10"/>
                <w:sz w:val="22"/>
                <w:szCs w:val="22"/>
              </w:rPr>
            </w:pPr>
            <w:r>
              <w:rPr>
                <w:spacing w:val="0"/>
                <w:kern w:val="2"/>
                <w:sz w:val="22"/>
                <w:szCs w:val="22"/>
              </w:rPr>
              <w:t>shNAT10#</w:t>
            </w:r>
            <w:r>
              <w:rPr>
                <w:rFonts w:hint="eastAsia"/>
                <w:spacing w:val="0"/>
                <w:kern w:val="2"/>
                <w:sz w:val="22"/>
                <w:szCs w:val="22"/>
              </w:rPr>
              <w:t>3</w:t>
            </w:r>
          </w:p>
        </w:tc>
        <w:tc>
          <w:tcPr>
            <w:tcW w:w="3919" w:type="pct"/>
            <w:shd w:val="clear" w:color="auto" w:fill="auto"/>
          </w:tcPr>
          <w:p w:rsidR="00900E0C" w:rsidRDefault="00AF1196">
            <w:pPr>
              <w:spacing w:line="240" w:lineRule="auto"/>
              <w:ind w:firstLine="0"/>
              <w:contextualSpacing/>
              <w:rPr>
                <w:sz w:val="22"/>
                <w:szCs w:val="22"/>
              </w:rPr>
            </w:pPr>
            <w:r>
              <w:rPr>
                <w:spacing w:val="0"/>
                <w:kern w:val="2"/>
                <w:sz w:val="22"/>
                <w:szCs w:val="22"/>
              </w:rPr>
              <w:t>Sense: 5’</w:t>
            </w:r>
            <w:r>
              <w:rPr>
                <w:rFonts w:hint="eastAsia"/>
                <w:spacing w:val="0"/>
                <w:kern w:val="2"/>
                <w:sz w:val="22"/>
                <w:szCs w:val="22"/>
              </w:rPr>
              <w:t>AATTCAGGATTTAGAGACTGG</w:t>
            </w:r>
            <w:r>
              <w:rPr>
                <w:spacing w:val="0"/>
                <w:kern w:val="2"/>
                <w:sz w:val="22"/>
                <w:szCs w:val="22"/>
              </w:rPr>
              <w:t>--3’</w:t>
            </w:r>
          </w:p>
        </w:tc>
      </w:tr>
      <w:tr w:rsidR="00900E0C">
        <w:trPr>
          <w:trHeight w:val="364"/>
        </w:trPr>
        <w:tc>
          <w:tcPr>
            <w:tcW w:w="1080" w:type="pct"/>
            <w:shd w:val="clear" w:color="auto" w:fill="auto"/>
          </w:tcPr>
          <w:p w:rsidR="00900E0C" w:rsidRDefault="00AF1196">
            <w:pPr>
              <w:spacing w:line="240" w:lineRule="auto"/>
              <w:ind w:firstLine="0"/>
              <w:contextualSpacing/>
              <w:rPr>
                <w:spacing w:val="10"/>
                <w:sz w:val="22"/>
                <w:szCs w:val="22"/>
              </w:rPr>
            </w:pPr>
            <w:r>
              <w:rPr>
                <w:spacing w:val="0"/>
                <w:kern w:val="2"/>
                <w:sz w:val="22"/>
                <w:szCs w:val="22"/>
              </w:rPr>
              <w:t>shFATP4#1</w:t>
            </w:r>
          </w:p>
        </w:tc>
        <w:tc>
          <w:tcPr>
            <w:tcW w:w="3919" w:type="pct"/>
            <w:shd w:val="clear" w:color="auto" w:fill="auto"/>
          </w:tcPr>
          <w:p w:rsidR="00900E0C" w:rsidRDefault="00AF1196">
            <w:pPr>
              <w:spacing w:line="240" w:lineRule="auto"/>
              <w:ind w:firstLine="0"/>
              <w:contextualSpacing/>
              <w:rPr>
                <w:sz w:val="22"/>
                <w:szCs w:val="22"/>
              </w:rPr>
            </w:pPr>
            <w:r>
              <w:rPr>
                <w:spacing w:val="0"/>
                <w:kern w:val="2"/>
                <w:sz w:val="22"/>
                <w:szCs w:val="22"/>
              </w:rPr>
              <w:t>Sense: 5’-AGGAGATAGAAGTGTTGTAGG-3’</w:t>
            </w:r>
          </w:p>
        </w:tc>
      </w:tr>
      <w:tr w:rsidR="00900E0C">
        <w:trPr>
          <w:trHeight w:val="364"/>
        </w:trPr>
        <w:tc>
          <w:tcPr>
            <w:tcW w:w="1080" w:type="pct"/>
            <w:shd w:val="clear" w:color="auto" w:fill="auto"/>
          </w:tcPr>
          <w:p w:rsidR="00900E0C" w:rsidRDefault="00AF1196">
            <w:pPr>
              <w:spacing w:line="240" w:lineRule="auto"/>
              <w:ind w:firstLine="0"/>
              <w:contextualSpacing/>
              <w:rPr>
                <w:sz w:val="22"/>
                <w:szCs w:val="22"/>
              </w:rPr>
            </w:pPr>
            <w:r>
              <w:rPr>
                <w:spacing w:val="0"/>
                <w:kern w:val="2"/>
                <w:sz w:val="22"/>
                <w:szCs w:val="22"/>
              </w:rPr>
              <w:t>shFATP4#2</w:t>
            </w:r>
          </w:p>
        </w:tc>
        <w:tc>
          <w:tcPr>
            <w:tcW w:w="3919" w:type="pct"/>
            <w:shd w:val="clear" w:color="auto" w:fill="auto"/>
          </w:tcPr>
          <w:p w:rsidR="00900E0C" w:rsidRDefault="00AF1196">
            <w:pPr>
              <w:spacing w:line="240" w:lineRule="auto"/>
              <w:ind w:firstLine="0"/>
              <w:contextualSpacing/>
              <w:rPr>
                <w:sz w:val="22"/>
                <w:szCs w:val="22"/>
              </w:rPr>
            </w:pPr>
            <w:r>
              <w:rPr>
                <w:spacing w:val="0"/>
                <w:kern w:val="2"/>
                <w:sz w:val="22"/>
                <w:szCs w:val="22"/>
              </w:rPr>
              <w:t>Sense: 5’-AGTGTGATTTGTTGAACAAGC-3’</w:t>
            </w:r>
          </w:p>
        </w:tc>
      </w:tr>
      <w:tr w:rsidR="00900E0C">
        <w:trPr>
          <w:trHeight w:val="364"/>
        </w:trPr>
        <w:tc>
          <w:tcPr>
            <w:tcW w:w="1080" w:type="pct"/>
            <w:shd w:val="clear" w:color="auto" w:fill="auto"/>
          </w:tcPr>
          <w:p w:rsidR="00900E0C" w:rsidRDefault="00AF1196">
            <w:pPr>
              <w:spacing w:line="240" w:lineRule="auto"/>
              <w:ind w:firstLine="0"/>
              <w:contextualSpacing/>
              <w:rPr>
                <w:sz w:val="22"/>
                <w:szCs w:val="22"/>
              </w:rPr>
            </w:pPr>
            <w:r>
              <w:rPr>
                <w:spacing w:val="0"/>
                <w:kern w:val="2"/>
                <w:sz w:val="22"/>
                <w:szCs w:val="22"/>
              </w:rPr>
              <w:t>shCPT1A#1</w:t>
            </w:r>
          </w:p>
        </w:tc>
        <w:tc>
          <w:tcPr>
            <w:tcW w:w="3919" w:type="pct"/>
            <w:shd w:val="clear" w:color="auto" w:fill="auto"/>
          </w:tcPr>
          <w:p w:rsidR="00900E0C" w:rsidRDefault="00AF1196">
            <w:pPr>
              <w:spacing w:line="240" w:lineRule="auto"/>
              <w:ind w:firstLine="0"/>
              <w:contextualSpacing/>
              <w:rPr>
                <w:sz w:val="22"/>
                <w:szCs w:val="22"/>
              </w:rPr>
            </w:pPr>
            <w:r>
              <w:rPr>
                <w:spacing w:val="0"/>
                <w:kern w:val="2"/>
                <w:sz w:val="22"/>
                <w:szCs w:val="22"/>
              </w:rPr>
              <w:t xml:space="preserve">Sense: </w:t>
            </w:r>
            <w:r>
              <w:rPr>
                <w:spacing w:val="0"/>
                <w:kern w:val="2"/>
                <w:sz w:val="22"/>
                <w:szCs w:val="22"/>
              </w:rPr>
              <w:t>5’-GCATGTTTATTTCATTCTAAG-3’</w:t>
            </w:r>
          </w:p>
        </w:tc>
      </w:tr>
      <w:tr w:rsidR="00900E0C">
        <w:trPr>
          <w:trHeight w:val="364"/>
        </w:trPr>
        <w:tc>
          <w:tcPr>
            <w:tcW w:w="1080" w:type="pct"/>
            <w:shd w:val="clear" w:color="auto" w:fill="auto"/>
          </w:tcPr>
          <w:p w:rsidR="00900E0C" w:rsidRDefault="00AF1196">
            <w:pPr>
              <w:spacing w:line="240" w:lineRule="auto"/>
              <w:ind w:firstLine="0"/>
              <w:contextualSpacing/>
              <w:rPr>
                <w:sz w:val="22"/>
                <w:szCs w:val="22"/>
              </w:rPr>
            </w:pPr>
            <w:r>
              <w:rPr>
                <w:spacing w:val="0"/>
                <w:kern w:val="2"/>
                <w:sz w:val="22"/>
                <w:szCs w:val="22"/>
              </w:rPr>
              <w:t>shCPT1A#2</w:t>
            </w:r>
          </w:p>
        </w:tc>
        <w:tc>
          <w:tcPr>
            <w:tcW w:w="3919" w:type="pct"/>
            <w:shd w:val="clear" w:color="auto" w:fill="auto"/>
          </w:tcPr>
          <w:p w:rsidR="00900E0C" w:rsidRDefault="00AF1196">
            <w:pPr>
              <w:spacing w:line="240" w:lineRule="auto"/>
              <w:ind w:firstLine="0"/>
              <w:contextualSpacing/>
              <w:rPr>
                <w:spacing w:val="0"/>
                <w:kern w:val="2"/>
                <w:sz w:val="22"/>
                <w:szCs w:val="22"/>
              </w:rPr>
            </w:pPr>
            <w:r>
              <w:rPr>
                <w:spacing w:val="0"/>
                <w:kern w:val="2"/>
                <w:sz w:val="22"/>
                <w:szCs w:val="22"/>
              </w:rPr>
              <w:t>Sense: 5’-AGTCCTTTATGTTAAGAAAGG-3’</w:t>
            </w:r>
          </w:p>
        </w:tc>
      </w:tr>
      <w:tr w:rsidR="00900E0C">
        <w:trPr>
          <w:trHeight w:val="364"/>
        </w:trPr>
        <w:tc>
          <w:tcPr>
            <w:tcW w:w="1080" w:type="pct"/>
            <w:shd w:val="clear" w:color="auto" w:fill="auto"/>
          </w:tcPr>
          <w:p w:rsidR="00900E0C" w:rsidRDefault="00AF1196">
            <w:pPr>
              <w:spacing w:line="240" w:lineRule="auto"/>
              <w:ind w:firstLine="0"/>
              <w:contextualSpacing/>
              <w:rPr>
                <w:sz w:val="22"/>
                <w:szCs w:val="22"/>
              </w:rPr>
            </w:pPr>
            <w:r>
              <w:rPr>
                <w:spacing w:val="0"/>
                <w:kern w:val="2"/>
                <w:sz w:val="22"/>
                <w:szCs w:val="22"/>
              </w:rPr>
              <w:t>shP300#1</w:t>
            </w:r>
          </w:p>
        </w:tc>
        <w:tc>
          <w:tcPr>
            <w:tcW w:w="3919" w:type="pct"/>
            <w:shd w:val="clear" w:color="auto" w:fill="auto"/>
          </w:tcPr>
          <w:p w:rsidR="00900E0C" w:rsidRDefault="00AF1196">
            <w:pPr>
              <w:spacing w:line="240" w:lineRule="auto"/>
              <w:ind w:firstLine="0"/>
              <w:contextualSpacing/>
              <w:rPr>
                <w:spacing w:val="0"/>
                <w:kern w:val="2"/>
                <w:sz w:val="22"/>
                <w:szCs w:val="22"/>
              </w:rPr>
            </w:pPr>
            <w:r>
              <w:rPr>
                <w:spacing w:val="0"/>
                <w:kern w:val="2"/>
                <w:sz w:val="22"/>
                <w:szCs w:val="22"/>
              </w:rPr>
              <w:t>Sense: 5’-GGTTGATTCAAATAACTTAGG-3’</w:t>
            </w:r>
          </w:p>
        </w:tc>
      </w:tr>
      <w:tr w:rsidR="00900E0C">
        <w:trPr>
          <w:trHeight w:val="364"/>
        </w:trPr>
        <w:tc>
          <w:tcPr>
            <w:tcW w:w="1080" w:type="pct"/>
            <w:shd w:val="clear" w:color="auto" w:fill="auto"/>
          </w:tcPr>
          <w:p w:rsidR="00900E0C" w:rsidRDefault="00AF1196">
            <w:pPr>
              <w:spacing w:line="240" w:lineRule="auto"/>
              <w:ind w:firstLine="0"/>
              <w:contextualSpacing/>
              <w:rPr>
                <w:sz w:val="22"/>
                <w:szCs w:val="22"/>
              </w:rPr>
            </w:pPr>
            <w:r>
              <w:rPr>
                <w:spacing w:val="0"/>
                <w:kern w:val="2"/>
                <w:sz w:val="22"/>
                <w:szCs w:val="22"/>
              </w:rPr>
              <w:t>shP300#2</w:t>
            </w:r>
          </w:p>
        </w:tc>
        <w:tc>
          <w:tcPr>
            <w:tcW w:w="3919" w:type="pct"/>
            <w:shd w:val="clear" w:color="auto" w:fill="auto"/>
          </w:tcPr>
          <w:p w:rsidR="00900E0C" w:rsidRDefault="00AF1196">
            <w:pPr>
              <w:spacing w:line="240" w:lineRule="auto"/>
              <w:ind w:firstLine="0"/>
              <w:contextualSpacing/>
              <w:rPr>
                <w:spacing w:val="0"/>
                <w:kern w:val="2"/>
                <w:sz w:val="22"/>
                <w:szCs w:val="22"/>
              </w:rPr>
            </w:pPr>
            <w:r>
              <w:rPr>
                <w:spacing w:val="0"/>
                <w:kern w:val="2"/>
                <w:sz w:val="22"/>
                <w:szCs w:val="22"/>
              </w:rPr>
              <w:t>Sense: 5’-GCTGTTTAATACTCAGATATT-3’</w:t>
            </w:r>
          </w:p>
        </w:tc>
      </w:tr>
    </w:tbl>
    <w:p w:rsidR="00900E0C" w:rsidRDefault="00900E0C">
      <w:pPr>
        <w:spacing w:line="240" w:lineRule="auto"/>
        <w:ind w:firstLine="0"/>
        <w:contextualSpacing/>
        <w:rPr>
          <w:sz w:val="22"/>
          <w:szCs w:val="22"/>
        </w:rPr>
      </w:pPr>
    </w:p>
    <w:p w:rsidR="00900E0C" w:rsidRDefault="00900E0C">
      <w:pPr>
        <w:spacing w:line="240" w:lineRule="auto"/>
        <w:ind w:firstLine="0"/>
        <w:contextualSpacing/>
        <w:rPr>
          <w:sz w:val="22"/>
          <w:szCs w:val="22"/>
        </w:rPr>
      </w:pPr>
    </w:p>
    <w:p w:rsidR="00900E0C" w:rsidRDefault="00900E0C">
      <w:pPr>
        <w:spacing w:line="240" w:lineRule="auto"/>
        <w:ind w:firstLine="0"/>
        <w:contextualSpacing/>
        <w:rPr>
          <w:sz w:val="22"/>
          <w:szCs w:val="22"/>
        </w:rPr>
      </w:pPr>
    </w:p>
    <w:p w:rsidR="00900E0C" w:rsidRDefault="00900E0C">
      <w:pPr>
        <w:spacing w:line="240" w:lineRule="auto"/>
        <w:ind w:firstLine="0"/>
        <w:contextualSpacing/>
        <w:rPr>
          <w:sz w:val="22"/>
          <w:szCs w:val="22"/>
        </w:rPr>
      </w:pPr>
    </w:p>
    <w:p w:rsidR="00900E0C" w:rsidRDefault="00900E0C">
      <w:pPr>
        <w:spacing w:line="240" w:lineRule="auto"/>
        <w:ind w:firstLine="0"/>
        <w:contextualSpacing/>
        <w:rPr>
          <w:sz w:val="22"/>
          <w:szCs w:val="22"/>
        </w:rPr>
      </w:pPr>
    </w:p>
    <w:p w:rsidR="00900E0C" w:rsidRDefault="00900E0C">
      <w:pPr>
        <w:spacing w:line="240" w:lineRule="auto"/>
        <w:ind w:firstLine="0"/>
        <w:contextualSpacing/>
        <w:rPr>
          <w:sz w:val="22"/>
          <w:szCs w:val="22"/>
        </w:rPr>
      </w:pPr>
    </w:p>
    <w:p w:rsidR="00900E0C" w:rsidRDefault="00AF1196">
      <w:pPr>
        <w:spacing w:line="240" w:lineRule="auto"/>
        <w:ind w:firstLine="0"/>
        <w:contextualSpacing/>
        <w:rPr>
          <w:rFonts w:eastAsiaTheme="minorEastAsia"/>
          <w:color w:val="222222"/>
          <w:spacing w:val="1"/>
          <w:szCs w:val="24"/>
        </w:rPr>
      </w:pPr>
      <w:r>
        <w:rPr>
          <w:rFonts w:hint="eastAsia"/>
          <w:szCs w:val="24"/>
        </w:rPr>
        <w:lastRenderedPageBreak/>
        <w:t xml:space="preserve">Table S3 </w:t>
      </w:r>
      <w:r>
        <w:rPr>
          <w:rFonts w:eastAsia="Helvetica"/>
          <w:color w:val="222222"/>
          <w:spacing w:val="1"/>
          <w:szCs w:val="24"/>
        </w:rPr>
        <w:t>antibody</w:t>
      </w:r>
      <w:r>
        <w:rPr>
          <w:rFonts w:eastAsiaTheme="minorEastAsia" w:hint="eastAsia"/>
          <w:color w:val="222222"/>
          <w:spacing w:val="1"/>
          <w:szCs w:val="24"/>
        </w:rPr>
        <w:t xml:space="preserve"> information</w:t>
      </w: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268"/>
        <w:gridCol w:w="2035"/>
      </w:tblGrid>
      <w:tr w:rsidR="00900E0C">
        <w:tc>
          <w:tcPr>
            <w:tcW w:w="4219" w:type="dxa"/>
            <w:tcBorders>
              <w:bottom w:val="single" w:sz="4" w:space="0" w:color="auto"/>
            </w:tcBorders>
          </w:tcPr>
          <w:p w:rsidR="00900E0C" w:rsidRDefault="00AF1196">
            <w:pPr>
              <w:spacing w:line="240" w:lineRule="auto"/>
              <w:ind w:firstLine="0"/>
              <w:contextualSpacing/>
              <w:jc w:val="left"/>
              <w:rPr>
                <w:rFonts w:eastAsiaTheme="minorEastAsia"/>
                <w:szCs w:val="24"/>
              </w:rPr>
            </w:pPr>
            <w:r>
              <w:rPr>
                <w:rFonts w:eastAsiaTheme="minorEastAsia" w:hint="eastAsia"/>
                <w:szCs w:val="24"/>
              </w:rPr>
              <w:t>Name</w:t>
            </w:r>
          </w:p>
        </w:tc>
        <w:tc>
          <w:tcPr>
            <w:tcW w:w="2268" w:type="dxa"/>
            <w:tcBorders>
              <w:bottom w:val="single" w:sz="4" w:space="0" w:color="auto"/>
            </w:tcBorders>
          </w:tcPr>
          <w:p w:rsidR="00900E0C" w:rsidRDefault="00AF1196">
            <w:pPr>
              <w:spacing w:line="240" w:lineRule="auto"/>
              <w:ind w:firstLine="0"/>
              <w:contextualSpacing/>
              <w:jc w:val="left"/>
              <w:rPr>
                <w:rFonts w:eastAsiaTheme="minorEastAsia"/>
                <w:szCs w:val="24"/>
              </w:rPr>
            </w:pPr>
            <w:r>
              <w:rPr>
                <w:rFonts w:eastAsiaTheme="minorEastAsia" w:hint="eastAsia"/>
                <w:szCs w:val="24"/>
              </w:rPr>
              <w:t>Cat NO.</w:t>
            </w:r>
          </w:p>
        </w:tc>
        <w:tc>
          <w:tcPr>
            <w:tcW w:w="2035" w:type="dxa"/>
            <w:tcBorders>
              <w:bottom w:val="single" w:sz="4" w:space="0" w:color="auto"/>
            </w:tcBorders>
          </w:tcPr>
          <w:p w:rsidR="00900E0C" w:rsidRDefault="00900E0C">
            <w:pPr>
              <w:spacing w:line="240" w:lineRule="auto"/>
              <w:ind w:firstLine="0"/>
              <w:contextualSpacing/>
              <w:jc w:val="left"/>
              <w:rPr>
                <w:rFonts w:eastAsiaTheme="minorEastAsia"/>
                <w:szCs w:val="24"/>
              </w:rPr>
            </w:pPr>
          </w:p>
        </w:tc>
      </w:tr>
      <w:tr w:rsidR="00900E0C">
        <w:tc>
          <w:tcPr>
            <w:tcW w:w="4219" w:type="dxa"/>
            <w:tcBorders>
              <w:top w:val="single" w:sz="4" w:space="0" w:color="auto"/>
              <w:bottom w:val="nil"/>
            </w:tcBorders>
          </w:tcPr>
          <w:p w:rsidR="00900E0C" w:rsidRDefault="00AF1196">
            <w:pPr>
              <w:spacing w:line="240" w:lineRule="auto"/>
              <w:ind w:firstLine="0"/>
              <w:contextualSpacing/>
              <w:jc w:val="left"/>
              <w:rPr>
                <w:rFonts w:eastAsiaTheme="minorEastAsia"/>
                <w:szCs w:val="24"/>
              </w:rPr>
            </w:pPr>
            <w:r>
              <w:rPr>
                <w:rFonts w:eastAsiaTheme="minorEastAsia"/>
                <w:szCs w:val="24"/>
              </w:rPr>
              <w:t>CPT1A Polyclonal antibody</w:t>
            </w:r>
          </w:p>
        </w:tc>
        <w:tc>
          <w:tcPr>
            <w:tcW w:w="2268" w:type="dxa"/>
            <w:tcBorders>
              <w:top w:val="single" w:sz="4" w:space="0" w:color="auto"/>
              <w:bottom w:val="nil"/>
            </w:tcBorders>
          </w:tcPr>
          <w:p w:rsidR="00900E0C" w:rsidRDefault="00AF1196">
            <w:pPr>
              <w:spacing w:line="240" w:lineRule="auto"/>
              <w:ind w:firstLine="0"/>
              <w:contextualSpacing/>
              <w:jc w:val="left"/>
              <w:rPr>
                <w:rFonts w:eastAsiaTheme="minorEastAsia"/>
                <w:szCs w:val="24"/>
              </w:rPr>
            </w:pPr>
            <w:r>
              <w:rPr>
                <w:rFonts w:eastAsiaTheme="minorEastAsia"/>
                <w:szCs w:val="24"/>
              </w:rPr>
              <w:t>15184-1-AP</w:t>
            </w:r>
          </w:p>
        </w:tc>
        <w:tc>
          <w:tcPr>
            <w:tcW w:w="2035" w:type="dxa"/>
            <w:tcBorders>
              <w:top w:val="single" w:sz="4" w:space="0" w:color="auto"/>
              <w:bottom w:val="nil"/>
            </w:tcBorders>
            <w:vAlign w:val="center"/>
          </w:tcPr>
          <w:p w:rsidR="00900E0C" w:rsidRDefault="00AF1196">
            <w:pPr>
              <w:spacing w:line="240" w:lineRule="auto"/>
              <w:ind w:firstLine="0"/>
              <w:contextualSpacing/>
              <w:rPr>
                <w:rFonts w:eastAsiaTheme="minorEastAsia"/>
                <w:szCs w:val="24"/>
              </w:rPr>
            </w:pPr>
            <w:proofErr w:type="spellStart"/>
            <w:r>
              <w:rPr>
                <w:rFonts w:eastAsiaTheme="minorEastAsia" w:hint="eastAsia"/>
                <w:szCs w:val="24"/>
              </w:rPr>
              <w:t>Proteintech</w:t>
            </w:r>
            <w:proofErr w:type="spellEnd"/>
          </w:p>
        </w:tc>
      </w:tr>
      <w:tr w:rsidR="00900E0C">
        <w:tc>
          <w:tcPr>
            <w:tcW w:w="4219" w:type="dxa"/>
            <w:tcBorders>
              <w:top w:val="nil"/>
            </w:tcBorders>
          </w:tcPr>
          <w:p w:rsidR="00900E0C" w:rsidRDefault="00AF1196">
            <w:pPr>
              <w:spacing w:line="240" w:lineRule="auto"/>
              <w:ind w:firstLine="0"/>
              <w:contextualSpacing/>
              <w:jc w:val="left"/>
              <w:rPr>
                <w:rFonts w:eastAsiaTheme="minorEastAsia"/>
                <w:szCs w:val="24"/>
              </w:rPr>
            </w:pPr>
            <w:r>
              <w:rPr>
                <w:rFonts w:eastAsiaTheme="minorEastAsia"/>
                <w:szCs w:val="24"/>
              </w:rPr>
              <w:t>SLC27A4/FATP4 Polyclonal antibody</w:t>
            </w:r>
          </w:p>
        </w:tc>
        <w:tc>
          <w:tcPr>
            <w:tcW w:w="2268" w:type="dxa"/>
            <w:tcBorders>
              <w:top w:val="nil"/>
            </w:tcBorders>
          </w:tcPr>
          <w:p w:rsidR="00900E0C" w:rsidRDefault="00AF1196">
            <w:pPr>
              <w:spacing w:line="240" w:lineRule="auto"/>
              <w:ind w:firstLine="0"/>
              <w:contextualSpacing/>
              <w:jc w:val="left"/>
              <w:rPr>
                <w:rFonts w:eastAsiaTheme="minorEastAsia"/>
                <w:szCs w:val="24"/>
              </w:rPr>
            </w:pPr>
            <w:r>
              <w:rPr>
                <w:rFonts w:eastAsiaTheme="minorEastAsia"/>
                <w:szCs w:val="24"/>
              </w:rPr>
              <w:t>11013-1-AP</w:t>
            </w:r>
          </w:p>
        </w:tc>
        <w:tc>
          <w:tcPr>
            <w:tcW w:w="2035" w:type="dxa"/>
            <w:tcBorders>
              <w:top w:val="nil"/>
            </w:tcBorders>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NAT10 Polyclonal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13365-1-AP</w:t>
            </w:r>
          </w:p>
        </w:tc>
        <w:tc>
          <w:tcPr>
            <w:tcW w:w="2035" w:type="dxa"/>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Histone H3 Polyclonal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17168-1-AP</w:t>
            </w:r>
          </w:p>
        </w:tc>
        <w:tc>
          <w:tcPr>
            <w:tcW w:w="2035" w:type="dxa"/>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Histone H3K27ac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39685</w:t>
            </w:r>
          </w:p>
        </w:tc>
        <w:tc>
          <w:tcPr>
            <w:tcW w:w="2035" w:type="dxa"/>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p300 Polyclonal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20695-1-AP</w:t>
            </w:r>
          </w:p>
        </w:tc>
        <w:tc>
          <w:tcPr>
            <w:tcW w:w="2035" w:type="dxa"/>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PARP1 Polyclonal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13371-1-AP</w:t>
            </w:r>
          </w:p>
        </w:tc>
        <w:tc>
          <w:tcPr>
            <w:tcW w:w="2035" w:type="dxa"/>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Caspase 3/P17/P19 Polyclonal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19677-1-AP</w:t>
            </w:r>
          </w:p>
        </w:tc>
        <w:tc>
          <w:tcPr>
            <w:tcW w:w="2035" w:type="dxa"/>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Caspase 7 Polyclonal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27155-1-AP</w:t>
            </w:r>
          </w:p>
        </w:tc>
        <w:tc>
          <w:tcPr>
            <w:tcW w:w="2035" w:type="dxa"/>
            <w:vAlign w:val="center"/>
          </w:tcPr>
          <w:p w:rsidR="00900E0C" w:rsidRDefault="00AF1196">
            <w:pPr>
              <w:ind w:firstLine="0"/>
              <w:rPr>
                <w:szCs w:val="24"/>
              </w:rPr>
            </w:pPr>
            <w:proofErr w:type="spellStart"/>
            <w:r>
              <w:rPr>
                <w:szCs w:val="24"/>
              </w:rPr>
              <w:t>Proteintech</w:t>
            </w:r>
            <w:proofErr w:type="spellEnd"/>
          </w:p>
        </w:tc>
      </w:tr>
      <w:tr w:rsidR="00900E0C">
        <w:tc>
          <w:tcPr>
            <w:tcW w:w="4219" w:type="dxa"/>
          </w:tcPr>
          <w:p w:rsidR="00900E0C" w:rsidRDefault="00AF1196">
            <w:pPr>
              <w:spacing w:line="240" w:lineRule="auto"/>
              <w:ind w:firstLine="0"/>
              <w:contextualSpacing/>
              <w:jc w:val="left"/>
              <w:rPr>
                <w:rFonts w:eastAsiaTheme="minorEastAsia"/>
                <w:szCs w:val="24"/>
              </w:rPr>
            </w:pPr>
            <w:r>
              <w:rPr>
                <w:rFonts w:eastAsiaTheme="minorEastAsia"/>
                <w:szCs w:val="24"/>
              </w:rPr>
              <w:t>Beta Actin Polyclonal antibody</w:t>
            </w:r>
          </w:p>
        </w:tc>
        <w:tc>
          <w:tcPr>
            <w:tcW w:w="2268" w:type="dxa"/>
          </w:tcPr>
          <w:p w:rsidR="00900E0C" w:rsidRDefault="00AF1196">
            <w:pPr>
              <w:spacing w:line="240" w:lineRule="auto"/>
              <w:ind w:firstLine="0"/>
              <w:contextualSpacing/>
              <w:jc w:val="left"/>
              <w:rPr>
                <w:rFonts w:eastAsiaTheme="minorEastAsia"/>
                <w:szCs w:val="24"/>
              </w:rPr>
            </w:pPr>
            <w:r>
              <w:rPr>
                <w:rFonts w:eastAsiaTheme="minorEastAsia"/>
                <w:szCs w:val="24"/>
              </w:rPr>
              <w:t>20536-1-AP</w:t>
            </w:r>
          </w:p>
        </w:tc>
        <w:tc>
          <w:tcPr>
            <w:tcW w:w="2035" w:type="dxa"/>
            <w:vAlign w:val="center"/>
          </w:tcPr>
          <w:p w:rsidR="00900E0C" w:rsidRDefault="00AF1196">
            <w:pPr>
              <w:ind w:firstLine="0"/>
              <w:rPr>
                <w:szCs w:val="24"/>
              </w:rPr>
            </w:pPr>
            <w:proofErr w:type="spellStart"/>
            <w:r>
              <w:rPr>
                <w:szCs w:val="24"/>
              </w:rPr>
              <w:t>Proteintech</w:t>
            </w:r>
            <w:proofErr w:type="spellEnd"/>
          </w:p>
        </w:tc>
      </w:tr>
    </w:tbl>
    <w:p w:rsidR="00900E0C" w:rsidRDefault="00900E0C">
      <w:pPr>
        <w:spacing w:line="240" w:lineRule="auto"/>
        <w:ind w:firstLine="0"/>
        <w:contextualSpacing/>
        <w:rPr>
          <w:rFonts w:eastAsiaTheme="minorEastAsia"/>
          <w:szCs w:val="24"/>
        </w:rPr>
      </w:pPr>
    </w:p>
    <w:sectPr w:rsidR="00900E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196" w:rsidRDefault="00AF1196">
      <w:pPr>
        <w:spacing w:line="240" w:lineRule="auto"/>
      </w:pPr>
      <w:r>
        <w:separator/>
      </w:r>
    </w:p>
  </w:endnote>
  <w:endnote w:type="continuationSeparator" w:id="0">
    <w:p w:rsidR="00AF1196" w:rsidRDefault="00AF1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196" w:rsidRDefault="00AF1196">
      <w:r>
        <w:separator/>
      </w:r>
    </w:p>
  </w:footnote>
  <w:footnote w:type="continuationSeparator" w:id="0">
    <w:p w:rsidR="00AF1196" w:rsidRDefault="00AF119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WPS Office" w15:userId="3632468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 w:name="KSO_WPS_MARK_KEY" w:val="37034994-6a33-46cc-8e9c-2a8034acf826"/>
  </w:docVars>
  <w:rsids>
    <w:rsidRoot w:val="00BE27A8"/>
    <w:rsid w:val="0007502B"/>
    <w:rsid w:val="001D2894"/>
    <w:rsid w:val="0020223D"/>
    <w:rsid w:val="00221DC0"/>
    <w:rsid w:val="00292F54"/>
    <w:rsid w:val="002D54B4"/>
    <w:rsid w:val="0036500D"/>
    <w:rsid w:val="00366A99"/>
    <w:rsid w:val="00376ACE"/>
    <w:rsid w:val="003F1D6D"/>
    <w:rsid w:val="00513FDB"/>
    <w:rsid w:val="0055010D"/>
    <w:rsid w:val="00633DA8"/>
    <w:rsid w:val="00684AC6"/>
    <w:rsid w:val="00752B68"/>
    <w:rsid w:val="007C3DC3"/>
    <w:rsid w:val="0087761B"/>
    <w:rsid w:val="008B7FEC"/>
    <w:rsid w:val="00900E0C"/>
    <w:rsid w:val="009452C2"/>
    <w:rsid w:val="00A53F2E"/>
    <w:rsid w:val="00AD722F"/>
    <w:rsid w:val="00AE6378"/>
    <w:rsid w:val="00AF1196"/>
    <w:rsid w:val="00B20989"/>
    <w:rsid w:val="00B813D6"/>
    <w:rsid w:val="00BE27A8"/>
    <w:rsid w:val="00D565BD"/>
    <w:rsid w:val="00E81369"/>
    <w:rsid w:val="00EC0E6E"/>
    <w:rsid w:val="00F4086B"/>
    <w:rsid w:val="00F44BA6"/>
    <w:rsid w:val="00F90E49"/>
    <w:rsid w:val="175F517E"/>
    <w:rsid w:val="251142EA"/>
    <w:rsid w:val="38F51139"/>
    <w:rsid w:val="3BAF3DEB"/>
    <w:rsid w:val="5125545D"/>
    <w:rsid w:val="61EB473F"/>
    <w:rsid w:val="757E4F05"/>
    <w:rsid w:val="796B7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12" w:lineRule="auto"/>
      <w:ind w:firstLine="476"/>
    </w:pPr>
    <w:rPr>
      <w:spacing w:val="-5"/>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pPr>
      <w:spacing w:line="240" w:lineRule="auto"/>
    </w:pPr>
    <w:rPr>
      <w:sz w:val="18"/>
      <w:szCs w:val="18"/>
    </w:rPr>
  </w:style>
  <w:style w:type="paragraph" w:styleId="a4">
    <w:name w:val="footer"/>
    <w:basedOn w:val="a"/>
    <w:link w:val="Char0"/>
    <w:pPr>
      <w:tabs>
        <w:tab w:val="center" w:pos="4153"/>
        <w:tab w:val="right" w:pos="8306"/>
      </w:tabs>
      <w:snapToGrid w:val="0"/>
      <w:spacing w:line="240" w:lineRule="auto"/>
    </w:pPr>
    <w:rPr>
      <w:sz w:val="18"/>
      <w:szCs w:val="18"/>
    </w:rPr>
  </w:style>
  <w:style w:type="paragraph" w:styleId="a5">
    <w:name w:val="header"/>
    <w:basedOn w:val="a"/>
    <w:link w:val="Char1"/>
    <w:qFormat/>
    <w:pPr>
      <w:pBdr>
        <w:bottom w:val="single" w:sz="6" w:space="1" w:color="auto"/>
      </w:pBdr>
      <w:tabs>
        <w:tab w:val="center" w:pos="4153"/>
        <w:tab w:val="right" w:pos="8306"/>
      </w:tabs>
      <w:snapToGrid w:val="0"/>
      <w:spacing w:line="240" w:lineRule="auto"/>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qFormat/>
    <w:rPr>
      <w:spacing w:val="-5"/>
      <w:sz w:val="18"/>
      <w:szCs w:val="18"/>
    </w:rPr>
  </w:style>
  <w:style w:type="paragraph" w:customStyle="1" w:styleId="Title2">
    <w:name w:val="Title2"/>
    <w:basedOn w:val="a"/>
    <w:qFormat/>
    <w:rPr>
      <w:b/>
    </w:rPr>
  </w:style>
  <w:style w:type="paragraph" w:customStyle="1" w:styleId="Maintext">
    <w:name w:val="Main text"/>
    <w:basedOn w:val="a"/>
    <w:qFormat/>
    <w:pPr>
      <w:spacing w:line="360" w:lineRule="auto"/>
      <w:jc w:val="both"/>
    </w:pPr>
  </w:style>
  <w:style w:type="character" w:customStyle="1" w:styleId="Char1">
    <w:name w:val="页眉 Char"/>
    <w:basedOn w:val="a0"/>
    <w:link w:val="a5"/>
    <w:rPr>
      <w:spacing w:val="-5"/>
      <w:sz w:val="18"/>
      <w:szCs w:val="18"/>
    </w:rPr>
  </w:style>
  <w:style w:type="character" w:customStyle="1" w:styleId="Char0">
    <w:name w:val="页脚 Char"/>
    <w:basedOn w:val="a0"/>
    <w:link w:val="a4"/>
    <w:qFormat/>
    <w:rPr>
      <w:spacing w:val="-5"/>
      <w:sz w:val="18"/>
      <w:szCs w:val="18"/>
    </w:rPr>
  </w:style>
  <w:style w:type="paragraph" w:styleId="a7">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12" w:lineRule="auto"/>
      <w:ind w:firstLine="476"/>
    </w:pPr>
    <w:rPr>
      <w:spacing w:val="-5"/>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pPr>
      <w:spacing w:line="240" w:lineRule="auto"/>
    </w:pPr>
    <w:rPr>
      <w:sz w:val="18"/>
      <w:szCs w:val="18"/>
    </w:rPr>
  </w:style>
  <w:style w:type="paragraph" w:styleId="a4">
    <w:name w:val="footer"/>
    <w:basedOn w:val="a"/>
    <w:link w:val="Char0"/>
    <w:pPr>
      <w:tabs>
        <w:tab w:val="center" w:pos="4153"/>
        <w:tab w:val="right" w:pos="8306"/>
      </w:tabs>
      <w:snapToGrid w:val="0"/>
      <w:spacing w:line="240" w:lineRule="auto"/>
    </w:pPr>
    <w:rPr>
      <w:sz w:val="18"/>
      <w:szCs w:val="18"/>
    </w:rPr>
  </w:style>
  <w:style w:type="paragraph" w:styleId="a5">
    <w:name w:val="header"/>
    <w:basedOn w:val="a"/>
    <w:link w:val="Char1"/>
    <w:qFormat/>
    <w:pPr>
      <w:pBdr>
        <w:bottom w:val="single" w:sz="6" w:space="1" w:color="auto"/>
      </w:pBdr>
      <w:tabs>
        <w:tab w:val="center" w:pos="4153"/>
        <w:tab w:val="right" w:pos="8306"/>
      </w:tabs>
      <w:snapToGrid w:val="0"/>
      <w:spacing w:line="240" w:lineRule="auto"/>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qFormat/>
    <w:rPr>
      <w:spacing w:val="-5"/>
      <w:sz w:val="18"/>
      <w:szCs w:val="18"/>
    </w:rPr>
  </w:style>
  <w:style w:type="paragraph" w:customStyle="1" w:styleId="Title2">
    <w:name w:val="Title2"/>
    <w:basedOn w:val="a"/>
    <w:qFormat/>
    <w:rPr>
      <w:b/>
    </w:rPr>
  </w:style>
  <w:style w:type="paragraph" w:customStyle="1" w:styleId="Maintext">
    <w:name w:val="Main text"/>
    <w:basedOn w:val="a"/>
    <w:qFormat/>
    <w:pPr>
      <w:spacing w:line="360" w:lineRule="auto"/>
      <w:jc w:val="both"/>
    </w:pPr>
  </w:style>
  <w:style w:type="character" w:customStyle="1" w:styleId="Char1">
    <w:name w:val="页眉 Char"/>
    <w:basedOn w:val="a0"/>
    <w:link w:val="a5"/>
    <w:rPr>
      <w:spacing w:val="-5"/>
      <w:sz w:val="18"/>
      <w:szCs w:val="18"/>
    </w:rPr>
  </w:style>
  <w:style w:type="character" w:customStyle="1" w:styleId="Char0">
    <w:name w:val="页脚 Char"/>
    <w:basedOn w:val="a0"/>
    <w:link w:val="a4"/>
    <w:qFormat/>
    <w:rPr>
      <w:spacing w:val="-5"/>
      <w:sz w:val="18"/>
      <w:szCs w:val="18"/>
    </w:rPr>
  </w:style>
  <w:style w:type="paragraph" w:styleId="a7">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17" Type="http://schemas.microsoft.com/office/2011/relationships/people" Target="people.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1254</Words>
  <Characters>7151</Characters>
  <Application>Microsoft Office Word</Application>
  <DocSecurity>0</DocSecurity>
  <Lines>59</Lines>
  <Paragraphs>16</Paragraphs>
  <ScaleCrop>false</ScaleCrop>
  <Company>微软中国</Company>
  <LinksUpToDate>false</LinksUpToDate>
  <CharactersWithSpaces>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14167</dc:creator>
  <cp:lastModifiedBy>微软用户</cp:lastModifiedBy>
  <cp:revision>14</cp:revision>
  <dcterms:created xsi:type="dcterms:W3CDTF">2024-10-21T01:31:00Z</dcterms:created>
  <dcterms:modified xsi:type="dcterms:W3CDTF">2025-10-20T11:38:00Z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ED058590433A44D284622E484B718D1D_13</vt:lpwstr>
  </property>
  <property fmtid="{D5CDD505-2E9C-101B-9397-08002B2CF9AE}" pid="4" name="KSOTemplateDocerSaveRecord">
    <vt:lpwstr>eyJoZGlkIjoiODA3ZDMxMDIyOGE3ZWJiMDNiZTJhMzk1YzNlNjg0M2MiLCJ1c2VySWQiOiI1NzM2NDc5NDUifQ==</vt:lpwstr>
  </property>
</Properties>
</file>