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903A" w14:textId="77777777" w:rsidR="001B25C2" w:rsidRDefault="00B91A47">
      <w:pPr>
        <w:spacing w:after="0" w:line="48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Figure Legends</w:t>
      </w:r>
    </w:p>
    <w:p w14:paraId="669FB8BD" w14:textId="77777777" w:rsidR="001B25C2" w:rsidRDefault="00B91A47">
      <w:pPr>
        <w:spacing w:after="0" w:line="480" w:lineRule="auto"/>
        <w:jc w:val="both"/>
        <w:rPr>
          <w:rFonts w:eastAsia="Calibri" w:cstheme="minorHAnsi"/>
          <w:b/>
          <w:bCs/>
        </w:rPr>
      </w:pPr>
      <w:bookmarkStart w:id="0" w:name="_Hlk212645173"/>
      <w:r>
        <w:rPr>
          <w:rFonts w:cstheme="minorHAnsi"/>
          <w:u w:val="single"/>
        </w:rPr>
        <w:t xml:space="preserve">Supplementary Figure 1 </w:t>
      </w:r>
      <w:r>
        <w:rPr>
          <w:rStyle w:val="docdata"/>
          <w:rFonts w:eastAsia="Calibri" w:cstheme="minorHAnsi"/>
          <w:color w:val="000000"/>
          <w:u w:val="single"/>
        </w:rPr>
        <w:t>|</w:t>
      </w:r>
      <w:r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  <w:lang w:val="en-GB"/>
        </w:rPr>
        <w:t>Expression of CD86 protein and anti-CD86 CAR</w:t>
      </w:r>
      <w:bookmarkEnd w:id="0"/>
      <w:r>
        <w:rPr>
          <w:rFonts w:cstheme="minorHAnsi"/>
          <w:u w:val="single"/>
          <w:lang w:val="en-GB"/>
        </w:rPr>
        <w:t>.</w:t>
      </w:r>
      <w:r>
        <w:rPr>
          <w:rFonts w:eastAsia="Calibri" w:cstheme="minorHAnsi"/>
          <w:b/>
          <w:bCs/>
          <w:lang w:val="en-GB"/>
        </w:rPr>
        <w:t xml:space="preserve"> </w:t>
      </w:r>
      <w:r>
        <w:rPr>
          <w:rFonts w:eastAsia="Calibri" w:cstheme="minorHAnsi"/>
          <w:lang w:val="en-GB"/>
        </w:rPr>
        <w:t>(</w:t>
      </w:r>
      <w:r>
        <w:rPr>
          <w:rFonts w:eastAsia="Calibri" w:cstheme="minorHAnsi"/>
          <w:b/>
          <w:bCs/>
          <w:lang w:val="en-GB"/>
        </w:rPr>
        <w:t>a</w:t>
      </w:r>
      <w:r>
        <w:rPr>
          <w:rFonts w:eastAsia="Calibri" w:cstheme="minorHAnsi"/>
          <w:lang w:val="en-GB"/>
        </w:rPr>
        <w:t>)</w:t>
      </w:r>
      <w:r>
        <w:rPr>
          <w:rFonts w:eastAsia="Calibri" w:cstheme="minorHAnsi"/>
          <w:b/>
          <w:bCs/>
          <w:lang w:val="en-GB"/>
        </w:rPr>
        <w:t xml:space="preserve"> </w:t>
      </w:r>
      <w:r>
        <w:rPr>
          <w:rFonts w:eastAsia="Calibri" w:cstheme="minorHAnsi"/>
          <w:color w:val="000000"/>
        </w:rPr>
        <w:t>Representative optical field section of lymph node derived from healthy donor and DLBCL patient (GCB-DLBCL) lymph node. Slides were stained (DAB staining) to show upregulated CD86-expression in tumor tissue (</w:t>
      </w:r>
      <w:r>
        <w:rPr>
          <w:rFonts w:eastAsia="Calibri" w:cstheme="minorHAnsi"/>
        </w:rPr>
        <w:t xml:space="preserve">20x and 60x magnification was used). </w:t>
      </w:r>
      <w:r>
        <w:rPr>
          <w:rFonts w:eastAsia="Calibri" w:cstheme="minorHAnsi"/>
          <w:color w:val="000000"/>
        </w:rPr>
        <w:t>(</w:t>
      </w:r>
      <w:r>
        <w:rPr>
          <w:rFonts w:eastAsia="Calibri" w:cstheme="minorHAnsi"/>
          <w:b/>
          <w:bCs/>
          <w:color w:val="000000"/>
        </w:rPr>
        <w:t>b</w:t>
      </w:r>
      <w:r>
        <w:rPr>
          <w:rFonts w:eastAsia="Calibri" w:cstheme="minorHAnsi"/>
          <w:color w:val="000000"/>
        </w:rPr>
        <w:t>) CD86 cell surface expression (blue) of CD19+ B cell lymphoma lines SU-DHL-10 (DLBCL) and MEC-1 (B-CLL) was analyzed via flow cytometry (BD FACSCanto™ II). Matching isotype control antibodies served as control (red).</w:t>
      </w:r>
      <w:r>
        <w:rPr>
          <w:rFonts w:eastAsia="Calibri" w:cstheme="minorHAnsi"/>
        </w:rPr>
        <w:t xml:space="preserve"> (</w:t>
      </w:r>
      <w:r>
        <w:rPr>
          <w:rFonts w:eastAsia="Calibri" w:cstheme="minorHAnsi"/>
          <w:b/>
          <w:bCs/>
        </w:rPr>
        <w:t>c</w:t>
      </w:r>
      <w:r>
        <w:rPr>
          <w:rFonts w:eastAsia="Calibri" w:cstheme="minorHAnsi"/>
        </w:rPr>
        <w:t>) Schematic depiction of retroviral CAR expression cassettes of 2nd-gen CD86 targeting CAR and its expression on healthy human T cells. CD86 targeting CAR was detected via CD152/CTLA-4 antibody. T cells were detected via</w:t>
      </w:r>
      <w:r>
        <w:rPr>
          <w:rFonts w:eastAsia="Calibri" w:cstheme="minorHAnsi"/>
          <w:color w:val="000000" w:themeColor="text1"/>
        </w:rPr>
        <w:t xml:space="preserve"> CD3 antibody</w:t>
      </w:r>
      <w:r>
        <w:rPr>
          <w:rFonts w:eastAsia="Calibri" w:cstheme="minorHAnsi"/>
        </w:rPr>
        <w:t>. Gating strategy is depicted above FACS plots.</w:t>
      </w:r>
    </w:p>
    <w:p w14:paraId="187F294B" w14:textId="77777777" w:rsidR="001B25C2" w:rsidRDefault="001B25C2">
      <w:pPr>
        <w:spacing w:after="0" w:line="480" w:lineRule="auto"/>
        <w:jc w:val="both"/>
        <w:rPr>
          <w:rFonts w:cstheme="minorHAnsi"/>
          <w:lang w:val="en-GB"/>
        </w:rPr>
      </w:pPr>
    </w:p>
    <w:p w14:paraId="615FEBAD" w14:textId="7507AAF7" w:rsidR="001B25C2" w:rsidRDefault="00B91A47">
      <w:pPr>
        <w:spacing w:after="0" w:line="480" w:lineRule="auto"/>
        <w:jc w:val="both"/>
        <w:rPr>
          <w:rFonts w:eastAsia="Calibri" w:cstheme="minorHAnsi"/>
        </w:rPr>
      </w:pPr>
      <w:r>
        <w:rPr>
          <w:rFonts w:eastAsia="Calibri" w:cstheme="minorHAnsi"/>
          <w:u w:val="single"/>
        </w:rPr>
        <w:t xml:space="preserve">Supplementary Figure 2 </w:t>
      </w:r>
      <w:r>
        <w:rPr>
          <w:rStyle w:val="docdata"/>
          <w:rFonts w:eastAsia="Calibri" w:cstheme="minorHAnsi"/>
          <w:color w:val="000000"/>
          <w:u w:val="single"/>
        </w:rPr>
        <w:t>|</w:t>
      </w:r>
      <w:r>
        <w:rPr>
          <w:rFonts w:eastAsia="Calibri" w:cstheme="minorHAnsi"/>
          <w:u w:val="single"/>
        </w:rPr>
        <w:t xml:space="preserve"> Functional characterization of CD19/CD86 CAR variants.</w:t>
      </w:r>
      <w:r>
        <w:rPr>
          <w:rFonts w:eastAsia="Calibri" w:cstheme="minorHAnsi"/>
        </w:rPr>
        <w:t xml:space="preserve"> (</w:t>
      </w:r>
      <w:r>
        <w:rPr>
          <w:rFonts w:eastAsia="Calibri" w:cstheme="minorHAnsi"/>
          <w:b/>
        </w:rPr>
        <w:t>a</w:t>
      </w:r>
      <w:r>
        <w:rPr>
          <w:rFonts w:eastAsia="Calibri" w:cstheme="minorHAnsi"/>
        </w:rPr>
        <w:t>) Schematic depiction, gating strategy and cell surface expression on T cells of CAR expression cassettes of 19-z/CTLA4-BB and 19-BB/CTLA4-BB dual</w:t>
      </w:r>
      <w:r w:rsidR="00D4454B">
        <w:rPr>
          <w:rFonts w:eastAsia="Calibri" w:cstheme="minorHAnsi"/>
        </w:rPr>
        <w:t xml:space="preserve">-chain </w:t>
      </w:r>
      <w:r>
        <w:rPr>
          <w:rFonts w:eastAsia="Calibri" w:cstheme="minorHAnsi"/>
        </w:rPr>
        <w:t>CARs. Anti-CD86 CARs were detected via CD152/CTLA-4 antibody and anti-CD19 CARs via anti-G4S linker antibody. T cells were detected via CD3 antibody. (</w:t>
      </w:r>
      <w:r>
        <w:rPr>
          <w:rFonts w:eastAsia="Calibri" w:cstheme="minorHAnsi"/>
          <w:b/>
          <w:bCs/>
        </w:rPr>
        <w:t>b</w:t>
      </w:r>
      <w:r>
        <w:rPr>
          <w:rFonts w:eastAsia="Calibri" w:cstheme="minorHAnsi"/>
        </w:rPr>
        <w:t>) Functional comparison of dual</w:t>
      </w:r>
      <w:r w:rsidR="00D4454B">
        <w:rPr>
          <w:rFonts w:eastAsia="Calibri" w:cstheme="minorHAnsi"/>
        </w:rPr>
        <w:t xml:space="preserve">-chain </w:t>
      </w:r>
      <w:r>
        <w:rPr>
          <w:rFonts w:eastAsia="Calibri" w:cstheme="minorHAnsi"/>
        </w:rPr>
        <w:t>CAR-T cell variants on day 6 after start of transduction: CLL-like MEC-1 cells and DLBCL SU-DHL-10 cells were stained with CellTrace™ Violet dye and co-cultivated for 24h with dual</w:t>
      </w:r>
      <w:r w:rsidR="00D4454B">
        <w:rPr>
          <w:rFonts w:eastAsia="Calibri" w:cstheme="minorHAnsi"/>
        </w:rPr>
        <w:t xml:space="preserve">-chain </w:t>
      </w:r>
      <w:r>
        <w:rPr>
          <w:rFonts w:eastAsia="Calibri" w:cstheme="minorHAnsi"/>
        </w:rPr>
        <w:t>CAR-T cells in different E:T rat</w:t>
      </w:r>
      <w:r>
        <w:rPr>
          <w:rFonts w:eastAsia="Calibri" w:cstheme="minorHAnsi"/>
          <w:color w:val="000000" w:themeColor="text1"/>
        </w:rPr>
        <w:t>ios</w:t>
      </w:r>
      <w:r w:rsidR="008063EA">
        <w:rPr>
          <w:rFonts w:eastAsia="Calibri" w:cstheme="minorHAnsi"/>
          <w:color w:val="000000" w:themeColor="text1"/>
        </w:rPr>
        <w:t xml:space="preserve"> (triplicates of n=2 donors)</w:t>
      </w:r>
      <w:r>
        <w:rPr>
          <w:rFonts w:eastAsia="Calibri" w:cstheme="minorHAnsi"/>
          <w:color w:val="000000" w:themeColor="text1"/>
        </w:rPr>
        <w:t xml:space="preserve">. Cytotoxicity and cytokine secretion into co-culture supernatants were analyzed according to methods chapter. T cells w/o CAR served as control. </w:t>
      </w:r>
      <w:r w:rsidR="009C2E4A">
        <w:rPr>
          <w:rFonts w:eastAsia="Calibri" w:cstheme="minorHAnsi"/>
          <w:color w:val="000000" w:themeColor="text1"/>
        </w:rPr>
        <w:t>CAR rates [%]: 19-z/CTLA4-BB (33/31), 19-BB/CTLA4-z (25/20). (</w:t>
      </w:r>
      <w:r>
        <w:rPr>
          <w:rFonts w:eastAsia="Calibri" w:cstheme="minorHAnsi"/>
          <w:b/>
          <w:bCs/>
        </w:rPr>
        <w:t>c</w:t>
      </w:r>
      <w:r>
        <w:rPr>
          <w:rFonts w:eastAsia="Calibri" w:cstheme="minorHAnsi"/>
        </w:rPr>
        <w:t>)</w:t>
      </w:r>
      <w:r>
        <w:rPr>
          <w:rFonts w:eastAsia="Calibri" w:cstheme="minorHAnsi"/>
          <w:b/>
          <w:bCs/>
        </w:rPr>
        <w:t xml:space="preserve"> </w:t>
      </w:r>
      <w:bookmarkStart w:id="1" w:name="_Hlk228953774"/>
      <w:r w:rsidR="008063EA">
        <w:rPr>
          <w:rFonts w:eastAsia="Calibri"/>
        </w:rPr>
        <w:t>Culture medium without additional stimulation was analyzed for interferon-</w:t>
      </w:r>
      <w:r w:rsidR="008063EA">
        <w:rPr>
          <w:rFonts w:ascii="DejaVu Sans" w:eastAsia="Calibri" w:hAnsi="DejaVu Sans"/>
        </w:rPr>
        <w:t>γ</w:t>
      </w:r>
      <w:r w:rsidR="008063EA">
        <w:rPr>
          <w:rFonts w:eastAsia="Calibri"/>
        </w:rPr>
        <w:t xml:space="preserve"> secretion at different time-points after retroviral transduction via sandwich ELISA and compared between (CAR) T cells</w:t>
      </w:r>
      <w:r w:rsidR="002C4E50">
        <w:rPr>
          <w:rFonts w:eastAsia="Calibri"/>
        </w:rPr>
        <w:t xml:space="preserve"> (triplicates of n=3 donors). </w:t>
      </w:r>
      <w:r w:rsidR="008063EA">
        <w:rPr>
          <w:rFonts w:eastAsia="Calibri" w:cstheme="minorHAnsi"/>
        </w:rPr>
        <w:t>(</w:t>
      </w:r>
      <w:r w:rsidR="008063EA" w:rsidRPr="008063EA">
        <w:rPr>
          <w:rFonts w:eastAsia="Calibri" w:cstheme="minorHAnsi"/>
          <w:b/>
          <w:bCs/>
        </w:rPr>
        <w:t>d</w:t>
      </w:r>
      <w:r w:rsidR="008063EA">
        <w:rPr>
          <w:rFonts w:eastAsia="Calibri" w:cstheme="minorHAnsi"/>
        </w:rPr>
        <w:t xml:space="preserve">) </w:t>
      </w:r>
      <w:r>
        <w:rPr>
          <w:rFonts w:eastAsia="Calibri" w:cstheme="minorHAnsi"/>
        </w:rPr>
        <w:t>PBMC were retrovirally transduced in presence or absence of anti-CTLA-4 antibody Ipilimumab (20µg mL</w:t>
      </w:r>
      <w:r>
        <w:rPr>
          <w:rFonts w:eastAsia="Calibri" w:cstheme="minorHAnsi"/>
          <w:vertAlign w:val="superscript"/>
        </w:rPr>
        <w:t>-1</w:t>
      </w:r>
      <w:r>
        <w:rPr>
          <w:rFonts w:eastAsia="Calibri" w:cstheme="minorHAnsi"/>
        </w:rPr>
        <w:t xml:space="preserve">). </w:t>
      </w:r>
      <w:bookmarkEnd w:id="1"/>
      <w:r>
        <w:rPr>
          <w:rFonts w:eastAsia="Calibri" w:cstheme="minorHAnsi"/>
        </w:rPr>
        <w:t>CARs were detected as stated above. Blocking of CTLA-4 CAR detection was confirmed where Ipiliumumab was present. (</w:t>
      </w:r>
      <w:r w:rsidR="008063EA">
        <w:rPr>
          <w:rFonts w:eastAsia="Calibri" w:cstheme="minorHAnsi"/>
          <w:b/>
          <w:bCs/>
        </w:rPr>
        <w:t>e</w:t>
      </w:r>
      <w:r>
        <w:rPr>
          <w:rFonts w:eastAsia="Calibri" w:cstheme="minorHAnsi"/>
        </w:rPr>
        <w:t xml:space="preserve">) MFI of CD86 expression was analyzed after co-culturing freshly transduced </w:t>
      </w:r>
      <w:r w:rsidR="008063EA">
        <w:rPr>
          <w:rFonts w:eastAsia="Calibri" w:cstheme="minorHAnsi"/>
        </w:rPr>
        <w:t>(</w:t>
      </w:r>
      <w:r>
        <w:rPr>
          <w:rFonts w:eastAsia="Calibri" w:cstheme="minorHAnsi"/>
        </w:rPr>
        <w:t>CAR</w:t>
      </w:r>
      <w:r w:rsidR="008063EA">
        <w:rPr>
          <w:rFonts w:eastAsia="Calibri" w:cstheme="minorHAnsi"/>
        </w:rPr>
        <w:t xml:space="preserve">) </w:t>
      </w:r>
      <w:r>
        <w:rPr>
          <w:rFonts w:eastAsia="Calibri" w:cstheme="minorHAnsi"/>
        </w:rPr>
        <w:t>T cells with fluorochrome-labeled autologous T cells, re</w:t>
      </w:r>
      <w:r w:rsidR="008063EA">
        <w:rPr>
          <w:rFonts w:eastAsia="Calibri" w:cstheme="minorHAnsi"/>
        </w:rPr>
        <w:t>-</w:t>
      </w:r>
      <w:r>
        <w:rPr>
          <w:rFonts w:eastAsia="Calibri" w:cstheme="minorHAnsi"/>
        </w:rPr>
        <w:t>activated to increase CD86-expression</w:t>
      </w:r>
      <w:r>
        <w:rPr>
          <w:rFonts w:eastAsia="Calibri" w:cstheme="minorHAnsi"/>
          <w:color w:val="000000" w:themeColor="text1"/>
        </w:rPr>
        <w:t xml:space="preserve"> (“victim cells”). After 24h hours,</w:t>
      </w:r>
      <w:r w:rsidR="008063EA">
        <w:rPr>
          <w:rFonts w:eastAsia="Calibri" w:cstheme="minorHAnsi"/>
          <w:color w:val="000000" w:themeColor="text1"/>
        </w:rPr>
        <w:t xml:space="preserve"> </w:t>
      </w:r>
      <w:r>
        <w:rPr>
          <w:rFonts w:eastAsia="Calibri" w:cstheme="minorHAnsi"/>
          <w:color w:val="000000" w:themeColor="text1"/>
        </w:rPr>
        <w:t>analysis of CD86-expression was done via FACS</w:t>
      </w:r>
      <w:r>
        <w:rPr>
          <w:rFonts w:eastAsia="Calibri" w:cstheme="minorHAnsi"/>
        </w:rPr>
        <w:t xml:space="preserve">. MFI of T cells w/o CAR was set as baseline, MFI of “victim cells” alone served as control, </w:t>
      </w:r>
      <w:r>
        <w:rPr>
          <w:rFonts w:eastAsia="Calibri" w:cstheme="minorHAnsi"/>
        </w:rPr>
        <w:lastRenderedPageBreak/>
        <w:t xml:space="preserve">bar plots represent mean relative to baseline. </w:t>
      </w:r>
      <w:r w:rsidR="002C4E50">
        <w:rPr>
          <w:rFonts w:eastAsia="Calibri" w:cstheme="minorHAnsi"/>
        </w:rPr>
        <w:t>T</w:t>
      </w:r>
      <w:r>
        <w:rPr>
          <w:rFonts w:eastAsia="Calibri" w:cstheme="minorHAnsi"/>
          <w:color w:val="000000" w:themeColor="text1"/>
        </w:rPr>
        <w:t xml:space="preserve">riplicates of </w:t>
      </w:r>
      <w:r w:rsidR="002C4E50">
        <w:rPr>
          <w:rFonts w:eastAsia="Calibri" w:cstheme="minorHAnsi"/>
          <w:color w:val="000000" w:themeColor="text1"/>
        </w:rPr>
        <w:t>thre</w:t>
      </w:r>
      <w:r w:rsidR="005A4331">
        <w:rPr>
          <w:rFonts w:eastAsia="Calibri" w:cstheme="minorHAnsi"/>
          <w:color w:val="000000" w:themeColor="text1"/>
        </w:rPr>
        <w:t>e</w:t>
      </w:r>
      <w:r>
        <w:rPr>
          <w:rFonts w:eastAsia="Calibri" w:cstheme="minorHAnsi"/>
          <w:color w:val="000000" w:themeColor="text1"/>
        </w:rPr>
        <w:t xml:space="preserve"> donors are shown, error bars are SEM. </w:t>
      </w:r>
      <w:r w:rsidR="002C4E50">
        <w:rPr>
          <w:rFonts w:eastAsia="Calibri" w:cstheme="minorHAnsi"/>
          <w:color w:val="000000" w:themeColor="text1"/>
        </w:rPr>
        <w:t>(</w:t>
      </w:r>
      <w:r w:rsidR="002C4E50" w:rsidRPr="002C4E50">
        <w:rPr>
          <w:rFonts w:eastAsia="Calibri" w:cstheme="minorHAnsi"/>
          <w:b/>
          <w:bCs/>
          <w:color w:val="000000" w:themeColor="text1"/>
        </w:rPr>
        <w:t>f</w:t>
      </w:r>
      <w:r w:rsidR="002C4E50">
        <w:rPr>
          <w:rFonts w:eastAsia="Calibri" w:cstheme="minorHAnsi"/>
          <w:color w:val="000000" w:themeColor="text1"/>
        </w:rPr>
        <w:t>) Jurkat reporter cell line JE 6.1 TPR</w:t>
      </w:r>
      <w:r w:rsidR="003F3136">
        <w:rPr>
          <w:rFonts w:eastAsia="Calibri" w:cstheme="minorHAnsi"/>
          <w:color w:val="000000" w:themeColor="text1"/>
          <w:vertAlign w:val="superscript"/>
        </w:rPr>
        <w:t>5</w:t>
      </w:r>
      <w:r w:rsidR="002C4E50">
        <w:rPr>
          <w:rFonts w:eastAsia="Calibri" w:cstheme="minorHAnsi"/>
          <w:color w:val="000000" w:themeColor="text1"/>
        </w:rPr>
        <w:t xml:space="preserve"> were retrovirally transduced to express depicted CARs and cultivated </w:t>
      </w:r>
      <w:r w:rsidR="00DA2946">
        <w:rPr>
          <w:rFonts w:eastAsia="Calibri" w:cstheme="minorHAnsi"/>
          <w:color w:val="000000" w:themeColor="text1"/>
        </w:rPr>
        <w:t xml:space="preserve">for 24h hours </w:t>
      </w:r>
      <w:r w:rsidR="002C4E50">
        <w:rPr>
          <w:rFonts w:eastAsia="Calibri" w:cstheme="minorHAnsi"/>
          <w:color w:val="000000" w:themeColor="text1"/>
        </w:rPr>
        <w:t xml:space="preserve">on plates, coated with </w:t>
      </w:r>
      <w:r w:rsidR="002C4E50">
        <w:rPr>
          <w:rFonts w:eastAsia="Calibri"/>
        </w:rPr>
        <w:t>either PBS (no stim), anti-CD152/CTLA4 antibody Ipilimumab (1µg mL</w:t>
      </w:r>
      <w:r w:rsidR="002C4E50">
        <w:rPr>
          <w:rFonts w:eastAsia="Calibri"/>
          <w:vertAlign w:val="superscript"/>
        </w:rPr>
        <w:t>-1</w:t>
      </w:r>
      <w:r w:rsidR="002C4E50">
        <w:rPr>
          <w:rFonts w:eastAsia="Calibri"/>
        </w:rPr>
        <w:t>), recombinant human CD19-Fc fusion protein (5µg mL</w:t>
      </w:r>
      <w:r w:rsidR="002C4E50" w:rsidRPr="002C4E50">
        <w:rPr>
          <w:rFonts w:eastAsia="Calibri"/>
          <w:vertAlign w:val="superscript"/>
        </w:rPr>
        <w:t>-1</w:t>
      </w:r>
      <w:r w:rsidR="002C4E50">
        <w:rPr>
          <w:rFonts w:eastAsia="Calibri"/>
        </w:rPr>
        <w:t>) or hCD19-Fc plus Ipilimumab.</w:t>
      </w:r>
      <w:r w:rsidR="00DA2946">
        <w:rPr>
          <w:rFonts w:eastAsia="Calibri"/>
        </w:rPr>
        <w:t xml:space="preserve"> Expression of NFAT-eGFP and NF-kB-CFP were analyzed by FACS (triplicates). </w:t>
      </w:r>
      <w:r>
        <w:rPr>
          <w:rFonts w:eastAsia="Calibri" w:cstheme="minorHAnsi"/>
          <w:color w:val="000000" w:themeColor="text1"/>
        </w:rPr>
        <w:t xml:space="preserve">Significance levels derived from unpaired t-tests. </w:t>
      </w:r>
      <w:r>
        <w:rPr>
          <w:rFonts w:eastAsia="Calibri" w:cstheme="minorHAnsi"/>
        </w:rPr>
        <w:t xml:space="preserve">All FACS analyses were performed on Beckman Coulter CytoFLEX S flow cytometer. </w:t>
      </w:r>
    </w:p>
    <w:p w14:paraId="37E125FD" w14:textId="77777777" w:rsidR="001B25C2" w:rsidRDefault="001B25C2">
      <w:pPr>
        <w:spacing w:after="0" w:line="480" w:lineRule="auto"/>
        <w:jc w:val="both"/>
        <w:rPr>
          <w:rFonts w:eastAsia="Calibri" w:cstheme="minorHAnsi"/>
        </w:rPr>
      </w:pPr>
    </w:p>
    <w:p w14:paraId="537B2217" w14:textId="351B4958" w:rsidR="001B25C2" w:rsidRPr="00EE77D9" w:rsidRDefault="00B91A47">
      <w:pPr>
        <w:spacing w:after="0" w:line="480" w:lineRule="auto"/>
        <w:jc w:val="both"/>
        <w:rPr>
          <w:rFonts w:eastAsia="Calibri"/>
        </w:rPr>
      </w:pPr>
      <w:r>
        <w:rPr>
          <w:rFonts w:eastAsia="Calibri" w:cstheme="minorHAnsi"/>
          <w:u w:val="single"/>
        </w:rPr>
        <w:t xml:space="preserve">Supplementary Figure 3 </w:t>
      </w:r>
      <w:r>
        <w:rPr>
          <w:rStyle w:val="docdata"/>
          <w:rFonts w:eastAsia="Calibri" w:cstheme="minorHAnsi"/>
          <w:color w:val="000000"/>
          <w:u w:val="single"/>
        </w:rPr>
        <w:t>|</w:t>
      </w:r>
      <w:r>
        <w:rPr>
          <w:rFonts w:eastAsia="Calibri" w:cstheme="minorHAnsi"/>
          <w:u w:val="single"/>
        </w:rPr>
        <w:t xml:space="preserve"> </w:t>
      </w:r>
      <w:r>
        <w:rPr>
          <w:rFonts w:eastAsia="Calibri" w:cstheme="minorHAnsi"/>
          <w:i/>
          <w:iCs/>
          <w:u w:val="single"/>
        </w:rPr>
        <w:t>In vivo</w:t>
      </w:r>
      <w:r>
        <w:rPr>
          <w:rFonts w:eastAsia="Calibri" w:cstheme="minorHAnsi"/>
          <w:u w:val="single"/>
        </w:rPr>
        <w:t xml:space="preserve"> xenograft mouse model</w:t>
      </w:r>
      <w:r w:rsidR="005A4331">
        <w:rPr>
          <w:rFonts w:eastAsia="Calibri" w:cstheme="minorHAnsi"/>
          <w:u w:val="single"/>
        </w:rPr>
        <w:t>s</w:t>
      </w:r>
      <w:r>
        <w:rPr>
          <w:rFonts w:eastAsia="Calibri" w:cstheme="minorHAnsi"/>
          <w:u w:val="single"/>
        </w:rPr>
        <w:t>.</w:t>
      </w:r>
      <w:r>
        <w:rPr>
          <w:rFonts w:eastAsia="Calibri" w:cstheme="minorHAnsi"/>
        </w:rPr>
        <w:t xml:space="preserve"> (</w:t>
      </w:r>
      <w:r>
        <w:rPr>
          <w:rFonts w:eastAsia="Calibri" w:cstheme="minorHAnsi"/>
          <w:b/>
          <w:bCs/>
        </w:rPr>
        <w:t>a</w:t>
      </w:r>
      <w:r>
        <w:rPr>
          <w:rFonts w:eastAsia="Calibri" w:cstheme="minorHAnsi"/>
        </w:rPr>
        <w:t xml:space="preserve">) </w:t>
      </w:r>
      <w:r w:rsidR="00A17A7C">
        <w:rPr>
          <w:rFonts w:eastAsia="Calibri" w:cstheme="minorHAnsi"/>
        </w:rPr>
        <w:t xml:space="preserve">Xenograft mouse model to evaluate in vivo efficacy of 19-z/CTLA4-BB CAR T cells in comparison to w/o CAR and 19-BBz treated mice. </w:t>
      </w:r>
      <w:r w:rsidR="00EE77D9">
        <w:rPr>
          <w:rFonts w:eastAsia="Calibri" w:cstheme="minorHAnsi"/>
        </w:rPr>
        <w:t>I</w:t>
      </w:r>
      <w:r w:rsidR="00EE77D9">
        <w:rPr>
          <w:rFonts w:eastAsia="Calibri"/>
        </w:rPr>
        <w:t xml:space="preserve">mmunodeficient animals were grafted with 5e5 CD19+ fLuc expressing Raji lymphoma cells via tail vein. After confirmation of engraftment, three groups were intravenously injected with 8.5e6 (CAR) T cells: w/o CAR (n=6), 19-BBz and 19-z/CTLA4-BB (each n=10). </w:t>
      </w:r>
      <w:r w:rsidR="00EE77D9">
        <w:rPr>
          <w:rStyle w:val="docdata"/>
          <w:rFonts w:eastAsia="Calibri"/>
          <w:color w:val="000000"/>
        </w:rPr>
        <w:t>Kaplan-Meier plot of overall survival percentage is shown.</w:t>
      </w:r>
      <w:r w:rsidR="00EE77D9">
        <w:rPr>
          <w:rFonts w:eastAsia="Calibri"/>
          <w:color w:val="000000"/>
        </w:rPr>
        <w:t> </w:t>
      </w:r>
      <w:r w:rsidR="00EE77D9">
        <w:rPr>
          <w:rFonts w:eastAsia="Calibri"/>
        </w:rPr>
        <w:t xml:space="preserve">Statistical significance of the study outcome was confirmed by Log-rank (Mantel-Cox) test. </w:t>
      </w:r>
      <w:r w:rsidR="009A2414">
        <w:rPr>
          <w:rFonts w:eastAsia="Calibri"/>
        </w:rPr>
        <w:t>(</w:t>
      </w:r>
      <w:r w:rsidR="009A2414">
        <w:rPr>
          <w:rFonts w:eastAsia="Calibri"/>
          <w:b/>
          <w:bCs/>
        </w:rPr>
        <w:t>b</w:t>
      </w:r>
      <w:r w:rsidR="009A2414">
        <w:rPr>
          <w:rFonts w:eastAsia="Calibri"/>
        </w:rPr>
        <w:t xml:space="preserve">) </w:t>
      </w:r>
      <w:r w:rsidR="009A2414">
        <w:rPr>
          <w:rFonts w:eastAsia="Calibri" w:cstheme="minorHAnsi"/>
          <w:i/>
          <w:iCs/>
        </w:rPr>
        <w:t>In vitro</w:t>
      </w:r>
      <w:r w:rsidR="009A2414">
        <w:rPr>
          <w:rFonts w:eastAsia="Calibri" w:cstheme="minorHAnsi"/>
        </w:rPr>
        <w:t xml:space="preserve"> tested luciferase activity of 1e6 fLuc</w:t>
      </w:r>
      <w:r w:rsidR="009A2414">
        <w:rPr>
          <w:rFonts w:eastAsia="Calibri" w:cstheme="minorHAnsi"/>
          <w:vertAlign w:val="superscript"/>
        </w:rPr>
        <w:t>+</w:t>
      </w:r>
      <w:r w:rsidR="009A2414">
        <w:rPr>
          <w:rFonts w:eastAsia="Calibri" w:cstheme="minorHAnsi"/>
        </w:rPr>
        <w:t xml:space="preserve"> Raji cells </w:t>
      </w:r>
      <w:r w:rsidR="009A2414">
        <w:rPr>
          <w:rFonts w:eastAsia="Calibri" w:cstheme="minorHAnsi"/>
          <w:color w:val="000000" w:themeColor="text1"/>
        </w:rPr>
        <w:t>compared to wildtype Raji cells,</w:t>
      </w:r>
      <w:r w:rsidR="009A2414">
        <w:rPr>
          <w:rFonts w:eastAsia="Calibri" w:cstheme="minorHAnsi"/>
        </w:rPr>
        <w:t xml:space="preserve"> analyzed via IVIS 200 (Xenogen/Perkin-Elmer/Revvity) and Aura Imaging software. </w:t>
      </w:r>
      <w:r w:rsidR="00EE77D9">
        <w:rPr>
          <w:rFonts w:eastAsia="Calibri"/>
        </w:rPr>
        <w:t>(</w:t>
      </w:r>
      <w:r w:rsidR="009A2414">
        <w:rPr>
          <w:rFonts w:eastAsia="Calibri"/>
          <w:b/>
          <w:bCs/>
        </w:rPr>
        <w:t>c</w:t>
      </w:r>
      <w:r w:rsidR="00EE77D9">
        <w:rPr>
          <w:rFonts w:eastAsia="Calibri"/>
        </w:rPr>
        <w:t>) Tumor luminescence of long-term in vivo xenograft mouse model comparison between 19-BB/CTLA4-z and 19-z/CTLA4-BB dual</w:t>
      </w:r>
      <w:r w:rsidR="00D4454B">
        <w:rPr>
          <w:rFonts w:eastAsia="Calibri"/>
        </w:rPr>
        <w:t>-</w:t>
      </w:r>
      <w:r w:rsidR="00EE77D9">
        <w:rPr>
          <w:rFonts w:eastAsia="Calibri"/>
        </w:rPr>
        <w:t xml:space="preserve">chain CAR T cells as mean (starting n=7) of each group and individual data of each mouse. </w:t>
      </w:r>
      <w:r>
        <w:rPr>
          <w:rFonts w:eastAsia="Calibri" w:cstheme="minorHAnsi"/>
        </w:rPr>
        <w:t>(</w:t>
      </w:r>
      <w:r w:rsidR="00EE77D9">
        <w:rPr>
          <w:rFonts w:eastAsia="Calibri" w:cstheme="minorHAnsi"/>
          <w:b/>
          <w:bCs/>
        </w:rPr>
        <w:t>d</w:t>
      </w:r>
      <w:r>
        <w:rPr>
          <w:rFonts w:eastAsia="Calibri" w:cstheme="minorHAnsi"/>
        </w:rPr>
        <w:t xml:space="preserve">) </w:t>
      </w:r>
      <w:r>
        <w:rPr>
          <w:rFonts w:eastAsia="Calibri" w:cstheme="minorHAnsi"/>
          <w:color w:val="000000" w:themeColor="text1"/>
        </w:rPr>
        <w:t xml:space="preserve">Complete bio-luminescence images from the </w:t>
      </w:r>
      <w:r>
        <w:rPr>
          <w:rFonts w:eastAsia="Calibri" w:cstheme="minorHAnsi"/>
          <w:i/>
          <w:iCs/>
          <w:color w:val="000000" w:themeColor="text1"/>
        </w:rPr>
        <w:t xml:space="preserve">in vivo </w:t>
      </w:r>
      <w:r>
        <w:rPr>
          <w:rFonts w:eastAsia="Calibri" w:cstheme="minorHAnsi"/>
          <w:color w:val="000000" w:themeColor="text1"/>
        </w:rPr>
        <w:t>efficacy comparison of 19-z/CTLA4-BB and 19-BB/CTLA4-z dual</w:t>
      </w:r>
      <w:r w:rsidR="00D4454B">
        <w:rPr>
          <w:rFonts w:eastAsia="Calibri" w:cstheme="minorHAnsi"/>
          <w:color w:val="000000" w:themeColor="text1"/>
        </w:rPr>
        <w:t xml:space="preserve">-chain </w:t>
      </w:r>
      <w:r>
        <w:rPr>
          <w:rFonts w:eastAsia="Calibri" w:cstheme="minorHAnsi"/>
          <w:color w:val="000000" w:themeColor="text1"/>
        </w:rPr>
        <w:t>CAR-T cells (IVIS 200, Xenogen/Perkin-Elmer/Revvity, Aura Imaging software).</w:t>
      </w:r>
      <w:r w:rsidR="005A4331">
        <w:rPr>
          <w:rFonts w:eastAsia="Calibri" w:cstheme="minorHAnsi"/>
          <w:color w:val="000000" w:themeColor="text1"/>
        </w:rPr>
        <w:t xml:space="preserve"> (</w:t>
      </w:r>
      <w:r w:rsidR="005A4331" w:rsidRPr="005A4331">
        <w:rPr>
          <w:rFonts w:eastAsia="Calibri" w:cstheme="minorHAnsi"/>
          <w:b/>
          <w:bCs/>
          <w:color w:val="000000" w:themeColor="text1"/>
        </w:rPr>
        <w:t>e</w:t>
      </w:r>
      <w:r w:rsidR="005A4331">
        <w:rPr>
          <w:rFonts w:eastAsia="Calibri" w:cstheme="minorHAnsi"/>
          <w:color w:val="000000" w:themeColor="text1"/>
        </w:rPr>
        <w:t xml:space="preserve">) Antigen surface expression of Raji fLuc cells (clone F4) used for </w:t>
      </w:r>
      <w:r w:rsidR="005A4331" w:rsidRPr="005A4331">
        <w:rPr>
          <w:rFonts w:eastAsia="Calibri" w:cstheme="minorHAnsi"/>
          <w:i/>
          <w:iCs/>
          <w:color w:val="000000" w:themeColor="text1"/>
        </w:rPr>
        <w:t>in vivo</w:t>
      </w:r>
      <w:r w:rsidR="005A4331">
        <w:rPr>
          <w:rFonts w:eastAsia="Calibri" w:cstheme="minorHAnsi"/>
          <w:color w:val="000000" w:themeColor="text1"/>
        </w:rPr>
        <w:t xml:space="preserve"> xenograft studies: cells were stained with either fluorochrome-conjugated isotype control antibody or CD19 / CD86 antibodies and analyzed via FACS (Beckman Coulter CytoFLEX S). Mean fluorescent intensity for CD86 was determined.</w:t>
      </w:r>
    </w:p>
    <w:p w14:paraId="35D7BBA0" w14:textId="77777777" w:rsidR="001B25C2" w:rsidRDefault="001B25C2">
      <w:pPr>
        <w:spacing w:after="0" w:line="48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2E2DFBDA" w14:textId="7BA3C2C0" w:rsidR="005A4331" w:rsidRDefault="005A4331">
      <w:pPr>
        <w:spacing w:after="0" w:line="480" w:lineRule="auto"/>
        <w:jc w:val="both"/>
        <w:rPr>
          <w:rFonts w:eastAsia="Calibri" w:cstheme="minorHAnsi"/>
          <w:b/>
          <w:bCs/>
          <w:color w:val="000000" w:themeColor="text1"/>
        </w:rPr>
      </w:pPr>
      <w:r>
        <w:rPr>
          <w:rFonts w:cstheme="minorHAnsi"/>
          <w:u w:val="single"/>
        </w:rPr>
        <w:t xml:space="preserve">Supplementary Figure 4 </w:t>
      </w:r>
      <w:r>
        <w:rPr>
          <w:rStyle w:val="docdata"/>
          <w:rFonts w:cstheme="minorHAnsi"/>
          <w:color w:val="000000"/>
          <w:u w:val="single"/>
        </w:rPr>
        <w:t>|</w:t>
      </w:r>
      <w:r>
        <w:rPr>
          <w:rFonts w:cstheme="minorHAnsi"/>
          <w:u w:val="single"/>
        </w:rPr>
        <w:t xml:space="preserve"> Extended data on mouse xenograft persistence study. </w:t>
      </w:r>
    </w:p>
    <w:p w14:paraId="3EB4E367" w14:textId="798225B0" w:rsidR="00583D0F" w:rsidRDefault="005A4331" w:rsidP="00583D0F">
      <w:pPr>
        <w:spacing w:after="0" w:line="480" w:lineRule="auto"/>
        <w:jc w:val="both"/>
        <w:rPr>
          <w:rFonts w:eastAsia="Calibri"/>
        </w:rPr>
      </w:pPr>
      <w:r>
        <w:rPr>
          <w:rFonts w:eastAsia="Calibri" w:cstheme="minorHAnsi"/>
          <w:color w:val="000000" w:themeColor="text1"/>
        </w:rPr>
        <w:t>(</w:t>
      </w:r>
      <w:r w:rsidRPr="005A4331">
        <w:rPr>
          <w:rFonts w:eastAsia="Calibri" w:cstheme="minorHAnsi"/>
          <w:b/>
          <w:bCs/>
          <w:color w:val="000000" w:themeColor="text1"/>
        </w:rPr>
        <w:t>a</w:t>
      </w:r>
      <w:r>
        <w:rPr>
          <w:rFonts w:eastAsia="Calibri" w:cstheme="minorHAnsi"/>
          <w:color w:val="000000" w:themeColor="text1"/>
        </w:rPr>
        <w:t xml:space="preserve">) </w:t>
      </w:r>
      <w:r w:rsidR="00583D0F">
        <w:rPr>
          <w:rFonts w:eastAsia="Calibri"/>
        </w:rPr>
        <w:t xml:space="preserve">Analysis of CD86 expression density on persistent hCD3+ cells in peripheral blood of treated xenograft mice </w:t>
      </w:r>
      <w:proofErr w:type="gramStart"/>
      <w:r w:rsidR="00583D0F">
        <w:rPr>
          <w:rFonts w:eastAsia="Calibri"/>
        </w:rPr>
        <w:t>was</w:t>
      </w:r>
      <w:proofErr w:type="gramEnd"/>
      <w:r w:rsidR="00583D0F">
        <w:rPr>
          <w:rFonts w:eastAsia="Calibri"/>
        </w:rPr>
        <w:t xml:space="preserve"> performed by FACS in parallel. (</w:t>
      </w:r>
      <w:r w:rsidR="00583D0F" w:rsidRPr="00D3581A">
        <w:rPr>
          <w:rFonts w:eastAsia="Calibri"/>
          <w:b/>
          <w:bCs/>
        </w:rPr>
        <w:t>b</w:t>
      </w:r>
      <w:r w:rsidR="00583D0F">
        <w:rPr>
          <w:rFonts w:eastAsia="Calibri"/>
        </w:rPr>
        <w:t xml:space="preserve">) Endpoint analysis at day 51 of finished </w:t>
      </w:r>
      <w:r w:rsidR="00583D0F">
        <w:rPr>
          <w:rFonts w:eastAsia="Calibri"/>
        </w:rPr>
        <w:lastRenderedPageBreak/>
        <w:t xml:space="preserve">xenograft persistence study: mice were sacrificed and spleen, bone marrow and (if present) tumor tissue </w:t>
      </w:r>
      <w:proofErr w:type="gramStart"/>
      <w:r w:rsidR="00583D0F">
        <w:rPr>
          <w:rFonts w:eastAsia="Calibri"/>
        </w:rPr>
        <w:t>were</w:t>
      </w:r>
      <w:proofErr w:type="gramEnd"/>
      <w:r w:rsidR="00583D0F">
        <w:rPr>
          <w:rFonts w:eastAsia="Calibri"/>
        </w:rPr>
        <w:t xml:space="preserve"> analyzed for hCD19+ and hCD3+ cells</w:t>
      </w:r>
      <w:r w:rsidR="00D3581A">
        <w:rPr>
          <w:rFonts w:eastAsia="Calibri"/>
        </w:rPr>
        <w:t xml:space="preserve"> via FACS</w:t>
      </w:r>
      <w:r w:rsidR="00583D0F">
        <w:rPr>
          <w:rFonts w:eastAsia="Calibri"/>
        </w:rPr>
        <w:t>. In addition, percentage</w:t>
      </w:r>
      <w:r w:rsidR="00D3581A">
        <w:rPr>
          <w:rFonts w:eastAsia="Calibri"/>
        </w:rPr>
        <w:t>s</w:t>
      </w:r>
      <w:r w:rsidR="00583D0F">
        <w:rPr>
          <w:rFonts w:eastAsia="Calibri"/>
        </w:rPr>
        <w:t xml:space="preserve"> of CAR expression</w:t>
      </w:r>
      <w:r w:rsidR="00D3581A">
        <w:rPr>
          <w:rFonts w:eastAsia="Calibri"/>
        </w:rPr>
        <w:t xml:space="preserve"> and CD86 expression on hCD3+ cells were also determined. Analyses were performed on Beckman Coulter CytoFLEX S. Bars represent means of grouped mice; errors are SEM. </w:t>
      </w:r>
      <w:r w:rsidR="00D3581A">
        <w:rPr>
          <w:rFonts w:eastAsia="Calibri" w:cstheme="minorHAnsi"/>
          <w:color w:val="000000" w:themeColor="text1"/>
        </w:rPr>
        <w:t>Significance levels derived from unpaired t-tests.</w:t>
      </w:r>
    </w:p>
    <w:p w14:paraId="680BE264" w14:textId="77777777" w:rsidR="005A4331" w:rsidRDefault="005A4331">
      <w:pPr>
        <w:spacing w:after="0" w:line="48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3045B8DA" w14:textId="6AD7F338" w:rsidR="001B25C2" w:rsidRDefault="00B91A47">
      <w:pPr>
        <w:spacing w:after="0" w:line="480" w:lineRule="auto"/>
        <w:jc w:val="both"/>
        <w:rPr>
          <w:rFonts w:eastAsia="Calibri" w:cstheme="minorHAnsi"/>
        </w:rPr>
      </w:pPr>
      <w:r>
        <w:rPr>
          <w:rFonts w:cstheme="minorHAnsi"/>
          <w:u w:val="single"/>
        </w:rPr>
        <w:t xml:space="preserve">Supplementary Figure </w:t>
      </w:r>
      <w:r w:rsidR="005A4331">
        <w:rPr>
          <w:rFonts w:cstheme="minorHAnsi"/>
          <w:u w:val="single"/>
        </w:rPr>
        <w:t>5</w:t>
      </w:r>
      <w:r>
        <w:rPr>
          <w:rFonts w:cstheme="minorHAnsi"/>
          <w:u w:val="single"/>
        </w:rPr>
        <w:t xml:space="preserve"> </w:t>
      </w:r>
      <w:r>
        <w:rPr>
          <w:rStyle w:val="docdata"/>
          <w:rFonts w:cstheme="minorHAnsi"/>
          <w:color w:val="000000"/>
          <w:u w:val="single"/>
        </w:rPr>
        <w:t>|</w:t>
      </w:r>
      <w:r>
        <w:rPr>
          <w:rFonts w:cstheme="minorHAnsi"/>
          <w:u w:val="single"/>
        </w:rPr>
        <w:t xml:space="preserve"> CD86 targeting CAR-T cells kill autologous CD14+CD86+ monocytes.</w:t>
      </w:r>
      <w:r>
        <w:rPr>
          <w:rFonts w:cstheme="minorHAnsi"/>
        </w:rPr>
        <w:t xml:space="preserve"> </w:t>
      </w:r>
      <w:r>
        <w:rPr>
          <w:rFonts w:eastAsia="Calibri" w:cstheme="minorHAnsi"/>
        </w:rPr>
        <w:t>(</w:t>
      </w:r>
      <w:r>
        <w:rPr>
          <w:rFonts w:eastAsia="Calibri" w:cstheme="minorHAnsi"/>
          <w:b/>
          <w:bCs/>
        </w:rPr>
        <w:t>a</w:t>
      </w:r>
      <w:r>
        <w:rPr>
          <w:rFonts w:eastAsia="Calibri" w:cstheme="minorHAnsi"/>
        </w:rPr>
        <w:t>) Purity and CD86 expression of positively MACS-separated CD14+ cells from healthy donor PBMC were evaluated by flow cytometry after binding of APC-conjugated CD14 antibody (sorting antibody) and PerCP/Cy5.5-conjugated CD86 antibody or its matching isotype control. (</w:t>
      </w:r>
      <w:r>
        <w:rPr>
          <w:rFonts w:eastAsia="Calibri" w:cstheme="minorHAnsi"/>
          <w:b/>
          <w:bCs/>
        </w:rPr>
        <w:t>b</w:t>
      </w:r>
      <w:r>
        <w:rPr>
          <w:rFonts w:eastAsia="Calibri" w:cstheme="minorHAnsi"/>
        </w:rPr>
        <w:t>) Quantification of APC-labeled CD14+ cells after co-cultivation with autologous CAR-T cells and with or without Ipilimumab (5µg mL</w:t>
      </w:r>
      <w:r>
        <w:rPr>
          <w:rFonts w:eastAsia="Calibri" w:cstheme="minorHAnsi"/>
          <w:vertAlign w:val="superscript"/>
        </w:rPr>
        <w:t>-1</w:t>
      </w:r>
      <w:r>
        <w:rPr>
          <w:rFonts w:eastAsia="Calibri" w:cstheme="minorHAnsi"/>
        </w:rPr>
        <w:t xml:space="preserve">) was analyzed by FACS. Percent cytotoxicity under absence of Ipilimumab is depicted relative to lysis under presence of Ipilimumab (baseline), </w:t>
      </w:r>
      <w:r>
        <w:rPr>
          <w:rFonts w:eastAsia="Calibri" w:cstheme="minorHAnsi"/>
          <w:color w:val="000000" w:themeColor="text1"/>
        </w:rPr>
        <w:t>comparing dual</w:t>
      </w:r>
      <w:r w:rsidR="00D4454B">
        <w:rPr>
          <w:rFonts w:eastAsia="Calibri" w:cstheme="minorHAnsi"/>
          <w:color w:val="000000" w:themeColor="text1"/>
        </w:rPr>
        <w:t xml:space="preserve">-chain </w:t>
      </w:r>
      <w:r>
        <w:rPr>
          <w:rFonts w:eastAsia="Calibri" w:cstheme="minorHAnsi"/>
          <w:color w:val="000000" w:themeColor="text1"/>
        </w:rPr>
        <w:t xml:space="preserve">and CTLA4 2nd-gen CAR-T cells among each other. </w:t>
      </w:r>
      <w:r>
        <w:rPr>
          <w:rFonts w:eastAsia="Calibri" w:cstheme="minorHAnsi"/>
        </w:rPr>
        <w:t>(</w:t>
      </w:r>
      <w:r>
        <w:rPr>
          <w:rFonts w:eastAsia="Calibri" w:cstheme="minorHAnsi"/>
          <w:b/>
          <w:bCs/>
        </w:rPr>
        <w:t>c</w:t>
      </w:r>
      <w:r>
        <w:rPr>
          <w:rFonts w:eastAsia="Calibri" w:cstheme="minorHAnsi"/>
        </w:rPr>
        <w:t xml:space="preserve">) </w:t>
      </w:r>
      <w:r w:rsidR="001578CC">
        <w:rPr>
          <w:rFonts w:eastAsia="Calibri" w:cstheme="minorHAnsi"/>
        </w:rPr>
        <w:t xml:space="preserve">Healthy donor CD14+ monocytes were isolated from PBMC according to methods chapter. </w:t>
      </w:r>
      <w:r>
        <w:rPr>
          <w:rFonts w:eastAsia="Calibri" w:cstheme="minorHAnsi"/>
        </w:rPr>
        <w:t>Interferon-gamma ELISA from supernatants of the CD14+/CAR-T cell co-cultivation (24h) was performed.</w:t>
      </w:r>
      <w:r w:rsidR="001578CC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Secreted cytokine concentrations of each CAR-T group were compared between absence and presence of Ipilimumab. For all experiments, t</w:t>
      </w:r>
      <w:r>
        <w:rPr>
          <w:rFonts w:eastAsia="Calibri" w:cstheme="minorHAnsi"/>
          <w:color w:val="000000" w:themeColor="text1"/>
        </w:rPr>
        <w:t xml:space="preserve">riplicates of two donors are shown, error bars are SEM. Significance levels derived from unpaired t-tests. </w:t>
      </w:r>
      <w:r>
        <w:rPr>
          <w:rFonts w:eastAsia="Calibri" w:cstheme="minorHAnsi"/>
        </w:rPr>
        <w:t xml:space="preserve">All FACS analyses except (a) were performed on Beckman Coulter CytoFLEX S flow cytometer. </w:t>
      </w:r>
    </w:p>
    <w:p w14:paraId="71F8F670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104A90A8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50EFA3E3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145732BB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3D01F604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763D57B8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69F61DA8" w14:textId="77777777" w:rsidR="00735450" w:rsidRDefault="00735450">
      <w:pPr>
        <w:spacing w:after="0" w:line="480" w:lineRule="auto"/>
        <w:jc w:val="both"/>
        <w:rPr>
          <w:rFonts w:eastAsia="Calibri" w:cstheme="minorHAnsi"/>
        </w:rPr>
      </w:pPr>
    </w:p>
    <w:p w14:paraId="3903954B" w14:textId="77777777" w:rsidR="00735450" w:rsidRDefault="00735450">
      <w:pPr>
        <w:spacing w:after="0" w:line="480" w:lineRule="auto"/>
        <w:jc w:val="both"/>
        <w:rPr>
          <w:rFonts w:eastAsia="Calibri" w:cstheme="minorHAnsi"/>
          <w:b/>
          <w:bCs/>
          <w:color w:val="000000" w:themeColor="text1"/>
        </w:rPr>
      </w:pPr>
    </w:p>
    <w:sectPr w:rsidR="00735450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0" w:footer="457" w:gutter="0"/>
      <w:lnNumType w:countBy="1" w:distance="288" w:restart="continuous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0DEC" w14:textId="77777777" w:rsidR="00B91A47" w:rsidRDefault="00B91A47">
      <w:pPr>
        <w:spacing w:after="0" w:line="240" w:lineRule="auto"/>
      </w:pPr>
      <w:r>
        <w:separator/>
      </w:r>
    </w:p>
  </w:endnote>
  <w:endnote w:type="continuationSeparator" w:id="0">
    <w:p w14:paraId="0F1920E0" w14:textId="77777777" w:rsidR="00B91A47" w:rsidRDefault="00B9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212A" w14:textId="77777777" w:rsidR="001B25C2" w:rsidRDefault="001B25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74438"/>
      <w:docPartObj>
        <w:docPartGallery w:val="Page Numbers (Bottom of Page)"/>
        <w:docPartUnique/>
      </w:docPartObj>
    </w:sdtPr>
    <w:sdtEndPr/>
    <w:sdtContent>
      <w:p w14:paraId="4B608A4F" w14:textId="77777777" w:rsidR="001B25C2" w:rsidRDefault="00B91A47">
        <w:pPr>
          <w:pStyle w:val="Fuzeil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51A6DA54" w14:textId="77777777" w:rsidR="001B25C2" w:rsidRDefault="001B25C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2754339"/>
      <w:docPartObj>
        <w:docPartGallery w:val="Page Numbers (Bottom of Page)"/>
        <w:docPartUnique/>
      </w:docPartObj>
    </w:sdtPr>
    <w:sdtEndPr/>
    <w:sdtContent>
      <w:p w14:paraId="2ED0C1DB" w14:textId="77777777" w:rsidR="001B25C2" w:rsidRDefault="00B91A47">
        <w:pPr>
          <w:pStyle w:val="Fuzeil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19A9BD63" w14:textId="77777777" w:rsidR="001B25C2" w:rsidRDefault="001B25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2491" w14:textId="77777777" w:rsidR="00B91A47" w:rsidRDefault="00B91A47">
      <w:pPr>
        <w:spacing w:after="0" w:line="240" w:lineRule="auto"/>
      </w:pPr>
      <w:r>
        <w:separator/>
      </w:r>
    </w:p>
  </w:footnote>
  <w:footnote w:type="continuationSeparator" w:id="0">
    <w:p w14:paraId="1E4E0848" w14:textId="77777777" w:rsidR="00B91A47" w:rsidRDefault="00B91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5416C"/>
    <w:multiLevelType w:val="multilevel"/>
    <w:tmpl w:val="08DE6F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853EAD"/>
    <w:multiLevelType w:val="multilevel"/>
    <w:tmpl w:val="7A02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DD364C"/>
    <w:multiLevelType w:val="multilevel"/>
    <w:tmpl w:val="995E58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50508265">
    <w:abstractNumId w:val="1"/>
  </w:num>
  <w:num w:numId="2" w16cid:durableId="1628076816">
    <w:abstractNumId w:val="0"/>
  </w:num>
  <w:num w:numId="3" w16cid:durableId="1703821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C2"/>
    <w:rsid w:val="001578CC"/>
    <w:rsid w:val="001B25C2"/>
    <w:rsid w:val="002C4E50"/>
    <w:rsid w:val="003476EB"/>
    <w:rsid w:val="003F3136"/>
    <w:rsid w:val="00537799"/>
    <w:rsid w:val="00583D0F"/>
    <w:rsid w:val="005A4331"/>
    <w:rsid w:val="006C413B"/>
    <w:rsid w:val="00735450"/>
    <w:rsid w:val="007558B1"/>
    <w:rsid w:val="008063EA"/>
    <w:rsid w:val="00977DD4"/>
    <w:rsid w:val="009841B0"/>
    <w:rsid w:val="009A2414"/>
    <w:rsid w:val="009C2E4A"/>
    <w:rsid w:val="00A17A7C"/>
    <w:rsid w:val="00B43249"/>
    <w:rsid w:val="00B91A47"/>
    <w:rsid w:val="00D3581A"/>
    <w:rsid w:val="00D4454B"/>
    <w:rsid w:val="00DA2946"/>
    <w:rsid w:val="00DD1806"/>
    <w:rsid w:val="00E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48BA"/>
  <w15:docId w15:val="{238D9B26-BF6E-4BEB-B019-4D3D8140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793B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qFormat/>
    <w:rPr>
      <w:color w:val="666666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KopfzeileZchn">
    <w:name w:val="Kopfzeile Zchn"/>
    <w:basedOn w:val="Absatz-Standardschriftart"/>
    <w:link w:val="Kopfzeile"/>
    <w:uiPriority w:val="99"/>
    <w:qFormat/>
  </w:style>
  <w:style w:type="character" w:customStyle="1" w:styleId="FuzeileZchn">
    <w:name w:val="Fußzeile Zchn"/>
    <w:basedOn w:val="Absatz-Standardschriftart"/>
    <w:link w:val="Fuzeile"/>
    <w:uiPriority w:val="99"/>
    <w:qFormat/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Pr>
      <w:sz w:val="20"/>
      <w:szCs w:val="20"/>
    </w:rPr>
  </w:style>
  <w:style w:type="character" w:customStyle="1" w:styleId="Funotenzeichenuser">
    <w:name w:val="Fußnotenzeichen (user)"/>
    <w:uiPriority w:val="99"/>
    <w:semiHidden/>
    <w:unhideWhenUsed/>
    <w:qFormat/>
    <w:rPr>
      <w:vertAlign w:val="superscript"/>
    </w:rPr>
  </w:style>
  <w:style w:type="character" w:styleId="Funotenzeichen">
    <w:name w:val="footnote reference"/>
    <w:rPr>
      <w:vertAlign w:val="superscript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sz w:val="20"/>
      <w:szCs w:val="20"/>
    </w:rPr>
  </w:style>
  <w:style w:type="character" w:customStyle="1" w:styleId="Endnotenzeichenuser">
    <w:name w:val="Endnotenzeichen (user)"/>
    <w:uiPriority w:val="99"/>
    <w:semiHidden/>
    <w:unhideWhenUsed/>
    <w:qFormat/>
    <w:rPr>
      <w:vertAlign w:val="superscript"/>
    </w:rPr>
  </w:style>
  <w:style w:type="character" w:styleId="Endnotenzeichen">
    <w:name w:val="endnote referenc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docdata">
    <w:name w:val="docdata"/>
    <w:qFormat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A3">
    <w:name w:val="A3"/>
    <w:uiPriority w:val="99"/>
    <w:qFormat/>
    <w:rsid w:val="00CE7042"/>
    <w:rPr>
      <w:rFonts w:cs="Myriad Pro Light"/>
      <w:color w:val="000000"/>
      <w:sz w:val="10"/>
      <w:szCs w:val="10"/>
    </w:rPr>
  </w:style>
  <w:style w:type="character" w:styleId="Zeilennummer">
    <w:name w:val="line number"/>
    <w:basedOn w:val="Absatz-Standardschriftart"/>
    <w:uiPriority w:val="99"/>
    <w:semiHidden/>
    <w:unhideWhenUsed/>
    <w:rsid w:val="00C3550E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Kopf-Fuzeileuser">
    <w:name w:val="Kopf-/Fußzeile (user)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suppressLineNumbers/>
      <w:tabs>
        <w:tab w:val="center" w:pos="4844"/>
        <w:tab w:val="right" w:pos="9689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pPr>
      <w:suppressLineNumbers/>
      <w:tabs>
        <w:tab w:val="center" w:pos="4844"/>
        <w:tab w:val="right" w:pos="9689"/>
      </w:tabs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dexberschrift">
    <w:name w:val="index heading"/>
    <w:basedOn w:val="berschriftuser"/>
  </w:style>
  <w:style w:type="paragraph" w:styleId="Inhaltsverzeichnisberschrift">
    <w:name w:val="TOC Heading"/>
    <w:uiPriority w:val="39"/>
    <w:unhideWhenUsed/>
    <w:qFormat/>
    <w:pPr>
      <w:spacing w:after="200" w:line="276" w:lineRule="auto"/>
    </w:p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berarbeitung">
    <w:name w:val="Revision"/>
    <w:uiPriority w:val="99"/>
    <w:semiHidden/>
    <w:qFormat/>
    <w:rsid w:val="006660BB"/>
  </w:style>
  <w:style w:type="paragraph" w:customStyle="1" w:styleId="Default">
    <w:name w:val="Default"/>
    <w:qFormat/>
    <w:rsid w:val="00CE7042"/>
    <w:rPr>
      <w:rFonts w:ascii="Myriad Pro Light" w:eastAsia="Arial" w:hAnsi="Myriad Pro Light" w:cs="Myriad Pro Light"/>
      <w:color w:val="000000"/>
      <w:sz w:val="24"/>
      <w:szCs w:val="24"/>
      <w:lang w:val="de-DE"/>
    </w:rPr>
  </w:style>
  <w:style w:type="paragraph" w:customStyle="1" w:styleId="Pa16">
    <w:name w:val="Pa16"/>
    <w:basedOn w:val="Default"/>
    <w:next w:val="Default"/>
    <w:uiPriority w:val="99"/>
    <w:qFormat/>
    <w:rsid w:val="00CE7042"/>
    <w:pPr>
      <w:spacing w:line="151" w:lineRule="atLeast"/>
    </w:pPr>
    <w:rPr>
      <w:rFonts w:cstheme="minorBidi"/>
      <w:color w:val="auto"/>
    </w:rPr>
  </w:style>
  <w:style w:type="paragraph" w:customStyle="1" w:styleId="Pa18">
    <w:name w:val="Pa18"/>
    <w:basedOn w:val="Default"/>
    <w:next w:val="Default"/>
    <w:uiPriority w:val="99"/>
    <w:qFormat/>
    <w:rsid w:val="00CE7042"/>
    <w:pPr>
      <w:spacing w:line="15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qFormat/>
    <w:rsid w:val="00CE7042"/>
    <w:pPr>
      <w:spacing w:line="151" w:lineRule="atLeast"/>
    </w:pPr>
    <w:rPr>
      <w:rFonts w:cstheme="minorBidi"/>
      <w:color w:val="auto"/>
    </w:rPr>
  </w:style>
  <w:style w:type="paragraph" w:customStyle="1" w:styleId="Pa17">
    <w:name w:val="Pa17"/>
    <w:basedOn w:val="Default"/>
    <w:next w:val="Default"/>
    <w:uiPriority w:val="99"/>
    <w:qFormat/>
    <w:rsid w:val="00CE7042"/>
    <w:pPr>
      <w:spacing w:line="15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qFormat/>
    <w:rsid w:val="00CE7042"/>
    <w:pPr>
      <w:spacing w:line="207" w:lineRule="atLeast"/>
    </w:pPr>
    <w:rPr>
      <w:rFonts w:cstheme="minorBidi"/>
      <w:color w:val="auto"/>
    </w:rPr>
  </w:style>
  <w:style w:type="numbering" w:customStyle="1" w:styleId="KeineListeuser">
    <w:name w:val="Keine Liste (user)"/>
    <w:uiPriority w:val="99"/>
    <w:semiHidden/>
    <w:unhideWhenUsed/>
    <w:qFormat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10BC1-90CA-4A11-A719-A44E6E66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Riet</dc:creator>
  <dc:description/>
  <cp:lastModifiedBy>Tobias Riet</cp:lastModifiedBy>
  <cp:revision>8</cp:revision>
  <dcterms:created xsi:type="dcterms:W3CDTF">2025-12-09T12:37:00Z</dcterms:created>
  <dcterms:modified xsi:type="dcterms:W3CDTF">2026-05-07T13:35:00Z</dcterms:modified>
  <dc:language>de-DE</dc:language>
</cp:coreProperties>
</file>