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A7467" w14:textId="77777777" w:rsidR="00101EE5" w:rsidRPr="00002BA5" w:rsidRDefault="00194708">
      <w:pPr>
        <w:spacing w:after="0" w:line="480" w:lineRule="auto"/>
        <w:rPr>
          <w:rFonts w:cstheme="minorHAnsi"/>
          <w:b/>
          <w:bCs/>
          <w:color w:val="000000" w:themeColor="text1"/>
        </w:rPr>
      </w:pPr>
      <w:r w:rsidRPr="00002BA5">
        <w:rPr>
          <w:rFonts w:cstheme="minorHAnsi"/>
          <w:b/>
          <w:bCs/>
          <w:color w:val="000000" w:themeColor="text1"/>
        </w:rPr>
        <w:t>Method details</w:t>
      </w:r>
    </w:p>
    <w:p w14:paraId="5B608D8D" w14:textId="77777777" w:rsidR="00101EE5" w:rsidRPr="00002BA5" w:rsidRDefault="00194708">
      <w:pPr>
        <w:spacing w:after="0" w:line="480" w:lineRule="auto"/>
        <w:rPr>
          <w:rFonts w:cstheme="minorHAnsi"/>
          <w:bCs/>
          <w:color w:val="000000" w:themeColor="text1"/>
          <w:u w:val="single"/>
        </w:rPr>
      </w:pPr>
      <w:r w:rsidRPr="00002BA5">
        <w:rPr>
          <w:rFonts w:cstheme="minorHAnsi"/>
          <w:bCs/>
          <w:color w:val="000000" w:themeColor="text1"/>
          <w:u w:val="single"/>
        </w:rPr>
        <w:t>Cell lines</w:t>
      </w:r>
    </w:p>
    <w:p w14:paraId="22233710" w14:textId="31BF0EB0" w:rsidR="00101EE5" w:rsidRPr="00002BA5" w:rsidRDefault="00194708">
      <w:pPr>
        <w:spacing w:after="0" w:line="480" w:lineRule="auto"/>
        <w:jc w:val="both"/>
        <w:rPr>
          <w:rFonts w:cstheme="minorHAnsi"/>
          <w:color w:val="000000" w:themeColor="text1"/>
        </w:rPr>
      </w:pPr>
      <w:r w:rsidRPr="00002BA5">
        <w:rPr>
          <w:rFonts w:cstheme="minorHAnsi"/>
          <w:color w:val="000000" w:themeColor="text1"/>
        </w:rPr>
        <w:t>Human embryonic kidney cell line HEK293T was cultured in DMEM (Gibco</w:t>
      </w:r>
      <w:r w:rsidRPr="00002BA5">
        <w:rPr>
          <w:rFonts w:eastAsia="Arial" w:cstheme="minorHAnsi"/>
          <w:color w:val="000000" w:themeColor="text1"/>
        </w:rPr>
        <w:t>™</w:t>
      </w:r>
      <w:r w:rsidRPr="00002BA5">
        <w:rPr>
          <w:rFonts w:cstheme="minorHAnsi"/>
          <w:color w:val="000000" w:themeColor="text1"/>
        </w:rPr>
        <w:t>/</w:t>
      </w:r>
      <w:proofErr w:type="spellStart"/>
      <w:r w:rsidRPr="00002BA5">
        <w:rPr>
          <w:rFonts w:cstheme="minorHAnsi"/>
          <w:color w:val="000000" w:themeColor="text1"/>
        </w:rPr>
        <w:t>ThermoFisher</w:t>
      </w:r>
      <w:proofErr w:type="spellEnd"/>
      <w:r w:rsidRPr="00002BA5">
        <w:rPr>
          <w:rFonts w:cstheme="minorHAnsi"/>
          <w:color w:val="000000" w:themeColor="text1"/>
        </w:rPr>
        <w:t xml:space="preserve"> </w:t>
      </w:r>
      <w:proofErr w:type="spellStart"/>
      <w:r w:rsidRPr="00002BA5">
        <w:rPr>
          <w:rFonts w:cstheme="minorHAnsi"/>
          <w:color w:val="000000" w:themeColor="text1"/>
        </w:rPr>
        <w:t>GlutaMAX</w:t>
      </w:r>
      <w:proofErr w:type="spellEnd"/>
      <w:r w:rsidRPr="00002BA5">
        <w:rPr>
          <w:rFonts w:eastAsia="Arial" w:cstheme="minorHAnsi"/>
          <w:color w:val="000000" w:themeColor="text1"/>
        </w:rPr>
        <w:t>™</w:t>
      </w:r>
      <w:r w:rsidRPr="00002BA5">
        <w:rPr>
          <w:rFonts w:cstheme="minorHAnsi"/>
          <w:color w:val="000000" w:themeColor="text1"/>
        </w:rPr>
        <w:t>) supplemented with 10% fetal bovine serum (FBS), and 100U mL</w:t>
      </w:r>
      <w:r w:rsidRPr="00002BA5">
        <w:rPr>
          <w:rFonts w:cstheme="minorHAnsi"/>
          <w:color w:val="000000" w:themeColor="text1"/>
          <w:vertAlign w:val="superscript"/>
        </w:rPr>
        <w:t>-1</w:t>
      </w:r>
      <w:r w:rsidRPr="00002BA5">
        <w:rPr>
          <w:rFonts w:cstheme="minorHAnsi"/>
          <w:color w:val="000000" w:themeColor="text1"/>
        </w:rPr>
        <w:t>/100μg mL</w:t>
      </w:r>
      <w:r w:rsidRPr="00002BA5">
        <w:rPr>
          <w:rFonts w:cstheme="minorHAnsi"/>
          <w:color w:val="000000" w:themeColor="text1"/>
          <w:vertAlign w:val="superscript"/>
        </w:rPr>
        <w:t>-1</w:t>
      </w:r>
      <w:r w:rsidRPr="00002BA5">
        <w:rPr>
          <w:rFonts w:cstheme="minorHAnsi"/>
          <w:color w:val="000000" w:themeColor="text1"/>
        </w:rPr>
        <w:t xml:space="preserve"> penicillin/streptomycin at 37°C and 10% CO2 in a humidity-controlled environment. Cultures were split and media exchanged every 2-3 days. Human lymphoma </w:t>
      </w:r>
      <w:r w:rsidR="00E269FB">
        <w:rPr>
          <w:rFonts w:cstheme="minorHAnsi"/>
          <w:color w:val="000000" w:themeColor="text1"/>
        </w:rPr>
        <w:t xml:space="preserve">cell line Raji </w:t>
      </w:r>
      <w:r w:rsidR="00E269FB" w:rsidRPr="00002BA5">
        <w:rPr>
          <w:rFonts w:cstheme="minorHAnsi"/>
          <w:color w:val="000000" w:themeColor="text1"/>
        </w:rPr>
        <w:t xml:space="preserve">(male; DSMZ Cat# ACC 319, RRID: CVCL_0511) </w:t>
      </w:r>
      <w:r w:rsidR="00E269FB">
        <w:rPr>
          <w:rFonts w:cstheme="minorHAnsi"/>
          <w:color w:val="000000" w:themeColor="text1"/>
        </w:rPr>
        <w:t xml:space="preserve">with </w:t>
      </w:r>
      <w:proofErr w:type="spellStart"/>
      <w:r w:rsidR="00E269FB" w:rsidRPr="00002BA5">
        <w:rPr>
          <w:rFonts w:cstheme="minorHAnsi"/>
          <w:color w:val="000000" w:themeColor="text1"/>
        </w:rPr>
        <w:t>tdtomato</w:t>
      </w:r>
      <w:proofErr w:type="spellEnd"/>
      <w:r w:rsidR="00E269FB" w:rsidRPr="00002BA5">
        <w:rPr>
          <w:rFonts w:cstheme="minorHAnsi"/>
          <w:color w:val="000000" w:themeColor="text1"/>
        </w:rPr>
        <w:t>/firefly luciferase (</w:t>
      </w:r>
      <w:proofErr w:type="spellStart"/>
      <w:r w:rsidR="00E269FB" w:rsidRPr="00002BA5">
        <w:rPr>
          <w:rFonts w:cstheme="minorHAnsi"/>
          <w:color w:val="000000" w:themeColor="text1"/>
        </w:rPr>
        <w:t>fLuc</w:t>
      </w:r>
      <w:proofErr w:type="spellEnd"/>
      <w:r w:rsidR="00E269FB" w:rsidRPr="00002BA5">
        <w:rPr>
          <w:rFonts w:cstheme="minorHAnsi"/>
          <w:color w:val="000000" w:themeColor="text1"/>
        </w:rPr>
        <w:t>) expressi</w:t>
      </w:r>
      <w:r w:rsidR="00E269FB">
        <w:rPr>
          <w:rFonts w:cstheme="minorHAnsi"/>
          <w:color w:val="000000" w:themeColor="text1"/>
        </w:rPr>
        <w:t>on</w:t>
      </w:r>
      <w:r w:rsidR="00E269FB" w:rsidRPr="00002BA5">
        <w:rPr>
          <w:rFonts w:cstheme="minorHAnsi"/>
          <w:color w:val="000000" w:themeColor="text1"/>
        </w:rPr>
        <w:t xml:space="preserve"> </w:t>
      </w:r>
      <w:r w:rsidR="00E269FB">
        <w:rPr>
          <w:rFonts w:cstheme="minorHAnsi"/>
          <w:color w:val="000000" w:themeColor="text1"/>
        </w:rPr>
        <w:t>(</w:t>
      </w:r>
      <w:r w:rsidR="00E269FB" w:rsidRPr="00002BA5">
        <w:rPr>
          <w:rFonts w:cstheme="minorHAnsi"/>
          <w:color w:val="000000" w:themeColor="text1"/>
        </w:rPr>
        <w:t>subclone</w:t>
      </w:r>
      <w:r w:rsidR="00E269FB">
        <w:rPr>
          <w:rFonts w:cstheme="minorHAnsi"/>
          <w:color w:val="000000" w:themeColor="text1"/>
        </w:rPr>
        <w:t>)</w:t>
      </w:r>
      <w:r w:rsidR="00E269FB" w:rsidRPr="00002BA5">
        <w:rPr>
          <w:rFonts w:cstheme="minorHAnsi"/>
          <w:color w:val="000000" w:themeColor="text1"/>
        </w:rPr>
        <w:t xml:space="preserve"> F4</w:t>
      </w:r>
      <w:r w:rsidR="00E269FB">
        <w:rPr>
          <w:rFonts w:cstheme="minorHAnsi"/>
          <w:color w:val="000000" w:themeColor="text1"/>
        </w:rPr>
        <w:t xml:space="preserve">, triple reporter </w:t>
      </w:r>
      <w:proofErr w:type="spellStart"/>
      <w:r w:rsidR="00E269FB">
        <w:rPr>
          <w:rFonts w:cstheme="minorHAnsi"/>
          <w:color w:val="000000" w:themeColor="text1"/>
        </w:rPr>
        <w:t>Jurkat</w:t>
      </w:r>
      <w:proofErr w:type="spellEnd"/>
      <w:r w:rsidR="00E269FB">
        <w:rPr>
          <w:rFonts w:cstheme="minorHAnsi"/>
          <w:color w:val="000000" w:themeColor="text1"/>
        </w:rPr>
        <w:t xml:space="preserve"> cell line JE 6.1 TPR (kindly provided by Peter Steinberger, Medical University of Vienna)</w:t>
      </w:r>
      <w:r w:rsidRPr="00002BA5">
        <w:rPr>
          <w:rFonts w:cstheme="minorHAnsi"/>
          <w:color w:val="000000" w:themeColor="text1"/>
        </w:rPr>
        <w:t xml:space="preserve"> and SU-DHL-10 (male; DSMZ Cat# ACC 576, RRID: CVCL_1889) were cultured in RPMI 1640 medium with 10% (Raji</w:t>
      </w:r>
      <w:r w:rsidR="00E269FB">
        <w:rPr>
          <w:rFonts w:cstheme="minorHAnsi"/>
          <w:color w:val="000000" w:themeColor="text1"/>
        </w:rPr>
        <w:t>, JE</w:t>
      </w:r>
      <w:r w:rsidRPr="00002BA5">
        <w:rPr>
          <w:rFonts w:cstheme="minorHAnsi"/>
          <w:color w:val="000000" w:themeColor="text1"/>
        </w:rPr>
        <w:t>) or 20% (SU-DHL-10) FBS, 10mM HEPES buffer and 100U mL</w:t>
      </w:r>
      <w:r w:rsidRPr="00002BA5">
        <w:rPr>
          <w:rFonts w:cstheme="minorHAnsi"/>
          <w:color w:val="000000" w:themeColor="text1"/>
          <w:vertAlign w:val="superscript"/>
        </w:rPr>
        <w:t>-1</w:t>
      </w:r>
      <w:r w:rsidRPr="00002BA5">
        <w:rPr>
          <w:rFonts w:cstheme="minorHAnsi"/>
          <w:color w:val="000000" w:themeColor="text1"/>
        </w:rPr>
        <w:t>/100μg mL</w:t>
      </w:r>
      <w:r w:rsidRPr="00002BA5">
        <w:rPr>
          <w:rFonts w:cstheme="minorHAnsi"/>
          <w:color w:val="000000" w:themeColor="text1"/>
          <w:vertAlign w:val="superscript"/>
        </w:rPr>
        <w:t>-1</w:t>
      </w:r>
      <w:r w:rsidRPr="00002BA5">
        <w:rPr>
          <w:rFonts w:cstheme="minorHAnsi"/>
          <w:color w:val="000000" w:themeColor="text1"/>
        </w:rPr>
        <w:t xml:space="preserve"> penicillin/streptomycin at 37°C and 5% CO2 in a humidity-controlled environment. Human leukemia cell line MEC-1 (male; DSMZ Cat# ACC 497, RRID: CVCL_1870) was cultured in IMDM medium, supplemented with 10% FBS and 100U mL-1/100μg mL</w:t>
      </w:r>
      <w:r w:rsidRPr="00002BA5">
        <w:rPr>
          <w:rFonts w:cstheme="minorHAnsi"/>
          <w:color w:val="000000" w:themeColor="text1"/>
          <w:vertAlign w:val="superscript"/>
        </w:rPr>
        <w:t>-1</w:t>
      </w:r>
      <w:r w:rsidRPr="00002BA5">
        <w:rPr>
          <w:rFonts w:cstheme="minorHAnsi"/>
          <w:color w:val="000000" w:themeColor="text1"/>
        </w:rPr>
        <w:t xml:space="preserve"> penicillin/streptomycin, at 37°C and 5% CO2 in a humidity-controlled environment. Raji, MEC-1 and SU-DHL-10 cultures were split and media exchanged when acidification was observed via phenol red color change. All cell culture media supplements were purchased from PAN Biotech.</w:t>
      </w:r>
    </w:p>
    <w:p w14:paraId="3C041650" w14:textId="77777777" w:rsidR="00101EE5" w:rsidRPr="00002BA5" w:rsidRDefault="00101EE5">
      <w:pPr>
        <w:spacing w:after="0" w:line="480" w:lineRule="auto"/>
        <w:jc w:val="both"/>
        <w:rPr>
          <w:rFonts w:cstheme="minorHAnsi"/>
          <w:color w:val="000000" w:themeColor="text1"/>
        </w:rPr>
      </w:pPr>
    </w:p>
    <w:p w14:paraId="03D8C911" w14:textId="77777777" w:rsidR="00101EE5" w:rsidRPr="00002BA5" w:rsidRDefault="00194708">
      <w:pPr>
        <w:spacing w:after="0" w:line="480" w:lineRule="auto"/>
        <w:jc w:val="both"/>
        <w:rPr>
          <w:rFonts w:cstheme="minorHAnsi"/>
          <w:bCs/>
          <w:color w:val="000000" w:themeColor="text1"/>
          <w:u w:val="single"/>
        </w:rPr>
      </w:pPr>
      <w:r w:rsidRPr="00002BA5">
        <w:rPr>
          <w:rFonts w:cstheme="minorHAnsi"/>
          <w:bCs/>
          <w:color w:val="000000" w:themeColor="text1"/>
          <w:u w:val="single"/>
        </w:rPr>
        <w:t>Gene expression analysis from public datasets</w:t>
      </w:r>
    </w:p>
    <w:p w14:paraId="2EA64806" w14:textId="7C3F7D82" w:rsidR="00101EE5" w:rsidRPr="00002BA5" w:rsidRDefault="00194708">
      <w:pPr>
        <w:spacing w:after="0" w:line="480" w:lineRule="auto"/>
        <w:jc w:val="both"/>
        <w:rPr>
          <w:rFonts w:cstheme="minorHAnsi"/>
          <w:color w:val="000000" w:themeColor="text1"/>
        </w:rPr>
      </w:pPr>
      <w:r w:rsidRPr="00002BA5">
        <w:rPr>
          <w:rFonts w:cstheme="minorHAnsi"/>
          <w:color w:val="000000" w:themeColor="text1"/>
        </w:rPr>
        <w:t xml:space="preserve">Gene expression of CD86 on lymphoma and healthy cells was </w:t>
      </w:r>
      <w:r w:rsidR="00D50DBF" w:rsidRPr="00002BA5">
        <w:rPr>
          <w:rFonts w:cstheme="minorHAnsi"/>
          <w:color w:val="000000" w:themeColor="text1"/>
        </w:rPr>
        <w:t>visualized</w:t>
      </w:r>
      <w:r w:rsidRPr="00002BA5">
        <w:rPr>
          <w:rFonts w:cstheme="minorHAnsi"/>
          <w:color w:val="000000" w:themeColor="text1"/>
        </w:rPr>
        <w:t xml:space="preserve"> from a preprocessed and normalized dataset</w:t>
      </w:r>
      <w:r w:rsidRPr="00002BA5">
        <w:rPr>
          <w:rFonts w:cstheme="minorHAnsi"/>
          <w:color w:val="000000" w:themeColor="text1"/>
          <w:vertAlign w:val="superscript"/>
        </w:rPr>
        <w:t>4</w:t>
      </w:r>
      <w:r w:rsidRPr="00002BA5">
        <w:rPr>
          <w:rFonts w:cstheme="minorHAnsi"/>
          <w:color w:val="000000" w:themeColor="text1"/>
        </w:rPr>
        <w:t xml:space="preserve">. Data for plots were analyzed and visualized using R 4.4.0 within the Positron IDE augmented by the packages </w:t>
      </w:r>
      <w:proofErr w:type="spellStart"/>
      <w:r w:rsidRPr="00002BA5">
        <w:rPr>
          <w:rFonts w:cstheme="minorHAnsi"/>
          <w:color w:val="000000" w:themeColor="text1"/>
        </w:rPr>
        <w:t>ggpubr</w:t>
      </w:r>
      <w:proofErr w:type="spellEnd"/>
      <w:r w:rsidRPr="00002BA5">
        <w:rPr>
          <w:rFonts w:cstheme="minorHAnsi"/>
          <w:color w:val="000000" w:themeColor="text1"/>
        </w:rPr>
        <w:t xml:space="preserve">, </w:t>
      </w:r>
      <w:proofErr w:type="spellStart"/>
      <w:r w:rsidRPr="00002BA5">
        <w:rPr>
          <w:rFonts w:cstheme="minorHAnsi"/>
          <w:color w:val="000000" w:themeColor="text1"/>
        </w:rPr>
        <w:t>tidyverse</w:t>
      </w:r>
      <w:proofErr w:type="spellEnd"/>
      <w:r w:rsidRPr="00002BA5">
        <w:rPr>
          <w:rFonts w:cstheme="minorHAnsi"/>
          <w:color w:val="000000" w:themeColor="text1"/>
        </w:rPr>
        <w:t>.</w:t>
      </w:r>
    </w:p>
    <w:p w14:paraId="3C25E685" w14:textId="77777777" w:rsidR="00101EE5" w:rsidRPr="00002BA5" w:rsidRDefault="00101EE5">
      <w:pPr>
        <w:spacing w:after="0" w:line="480" w:lineRule="auto"/>
        <w:jc w:val="both"/>
        <w:rPr>
          <w:rFonts w:cstheme="minorHAnsi"/>
          <w:color w:val="000000" w:themeColor="text1"/>
        </w:rPr>
      </w:pPr>
    </w:p>
    <w:p w14:paraId="15095C14" w14:textId="7ED20C64" w:rsidR="00101EE5" w:rsidRPr="00002BA5" w:rsidRDefault="00194708">
      <w:pPr>
        <w:spacing w:after="0" w:line="480" w:lineRule="auto"/>
        <w:jc w:val="both"/>
        <w:rPr>
          <w:rFonts w:cstheme="minorHAnsi"/>
          <w:color w:val="000000" w:themeColor="text1"/>
          <w:u w:val="single"/>
        </w:rPr>
      </w:pPr>
      <w:r w:rsidRPr="00002BA5">
        <w:rPr>
          <w:rFonts w:cstheme="minorHAnsi"/>
          <w:color w:val="000000" w:themeColor="text1"/>
          <w:u w:val="single"/>
        </w:rPr>
        <w:t xml:space="preserve">Immuno-histological </w:t>
      </w:r>
      <w:r w:rsidR="0018286B">
        <w:rPr>
          <w:rFonts w:cstheme="minorHAnsi"/>
          <w:color w:val="000000" w:themeColor="text1"/>
          <w:u w:val="single"/>
        </w:rPr>
        <w:t>a</w:t>
      </w:r>
      <w:r w:rsidRPr="00002BA5">
        <w:rPr>
          <w:rFonts w:cstheme="minorHAnsi"/>
          <w:color w:val="000000" w:themeColor="text1"/>
          <w:u w:val="single"/>
        </w:rPr>
        <w:t xml:space="preserve">nalyses </w:t>
      </w:r>
    </w:p>
    <w:p w14:paraId="231E23FD" w14:textId="77777777" w:rsidR="00101EE5" w:rsidRPr="00002BA5" w:rsidRDefault="00194708">
      <w:pPr>
        <w:spacing w:after="0" w:line="480" w:lineRule="auto"/>
        <w:jc w:val="both"/>
        <w:rPr>
          <w:rFonts w:cstheme="minorHAnsi"/>
          <w:color w:val="000000" w:themeColor="text1"/>
        </w:rPr>
      </w:pPr>
      <w:r w:rsidRPr="00002BA5">
        <w:rPr>
          <w:rFonts w:cstheme="minorHAnsi"/>
          <w:color w:val="000000" w:themeColor="text1"/>
        </w:rPr>
        <w:t>Immuno-histological studies of human tissue derived from DLBCL patients were performed on 4-</w:t>
      </w:r>
      <w:r w:rsidRPr="00002BA5">
        <w:rPr>
          <w:rFonts w:cstheme="minorHAnsi"/>
          <w:color w:val="000000" w:themeColor="text1"/>
          <w:lang w:val="de-DE"/>
        </w:rPr>
        <w:t>μ</w:t>
      </w:r>
      <w:r w:rsidRPr="00002BA5">
        <w:rPr>
          <w:rFonts w:cstheme="minorHAnsi"/>
          <w:color w:val="000000" w:themeColor="text1"/>
        </w:rPr>
        <w:t xml:space="preserve">m-thick sections of the formalin-fixed paraffin-embedded tumor tissue biopsies in whole-section form (University Cologne, Institute for Pathology). For human CD86 detection, slides were primary stained with the mouse monoclonal conjugated CD86-specific antibody (2.0 </w:t>
      </w:r>
      <w:r w:rsidRPr="00002BA5">
        <w:rPr>
          <w:rFonts w:cstheme="minorHAnsi"/>
          <w:color w:val="000000" w:themeColor="text1"/>
          <w:lang w:val="de-DE"/>
        </w:rPr>
        <w:t>μ</w:t>
      </w:r>
      <w:r w:rsidRPr="00002BA5">
        <w:rPr>
          <w:rFonts w:cstheme="minorHAnsi"/>
          <w:color w:val="000000" w:themeColor="text1"/>
        </w:rPr>
        <w:t xml:space="preserve">g mL-1), clone SPM600 (Novus Biologicals Cat# NBP2-44515, RRID:AB_2923113) and secondary with polyclonal HRP-conjugated mouse IgG1-specific antibody (2.0 </w:t>
      </w:r>
      <w:r w:rsidRPr="00002BA5">
        <w:rPr>
          <w:rFonts w:cstheme="minorHAnsi"/>
          <w:color w:val="000000" w:themeColor="text1"/>
          <w:lang w:val="de-DE"/>
        </w:rPr>
        <w:t>μ</w:t>
      </w:r>
      <w:r w:rsidRPr="00002BA5">
        <w:rPr>
          <w:rFonts w:cstheme="minorHAnsi"/>
          <w:color w:val="000000" w:themeColor="text1"/>
        </w:rPr>
        <w:t xml:space="preserve">g mL-1). Subsequently, CD86 </w:t>
      </w:r>
      <w:r w:rsidRPr="00002BA5">
        <w:rPr>
          <w:rFonts w:cstheme="minorHAnsi"/>
          <w:color w:val="000000" w:themeColor="text1"/>
        </w:rPr>
        <w:lastRenderedPageBreak/>
        <w:t>stained sections were additionally incubated with DAB chromogen substrate (Vector Laboratories) and with Hematoxylin (</w:t>
      </w:r>
      <w:proofErr w:type="spellStart"/>
      <w:r w:rsidRPr="00002BA5">
        <w:rPr>
          <w:rFonts w:cstheme="minorHAnsi"/>
          <w:color w:val="000000" w:themeColor="text1"/>
        </w:rPr>
        <w:t>PanReac</w:t>
      </w:r>
      <w:proofErr w:type="spellEnd"/>
      <w:r w:rsidRPr="00002BA5">
        <w:rPr>
          <w:rFonts w:cstheme="minorHAnsi"/>
          <w:color w:val="000000" w:themeColor="text1"/>
        </w:rPr>
        <w:t xml:space="preserve"> AppliChem) for immune-histological analyses according to manufacturer's instructions. Representative optical fields were recorded using the Olympus UC90 4K microscope (Olympus, Tokyo, Japan) and processed using ImageJ version 1.53 (National Institutes of Health).</w:t>
      </w:r>
    </w:p>
    <w:p w14:paraId="565767A4" w14:textId="77777777" w:rsidR="00101EE5" w:rsidRPr="00002BA5" w:rsidRDefault="00101EE5">
      <w:pPr>
        <w:spacing w:after="0" w:line="480" w:lineRule="auto"/>
        <w:jc w:val="both"/>
        <w:rPr>
          <w:rFonts w:cstheme="minorHAnsi"/>
          <w:color w:val="000000" w:themeColor="text1"/>
        </w:rPr>
      </w:pPr>
    </w:p>
    <w:p w14:paraId="722FEA66" w14:textId="713DAE12" w:rsidR="00101EE5" w:rsidRPr="00002BA5" w:rsidRDefault="00194708">
      <w:pPr>
        <w:spacing w:after="0" w:line="480" w:lineRule="auto"/>
        <w:jc w:val="both"/>
        <w:rPr>
          <w:rFonts w:cstheme="minorHAnsi"/>
          <w:bCs/>
          <w:color w:val="000000" w:themeColor="text1"/>
          <w:u w:val="single"/>
        </w:rPr>
      </w:pPr>
      <w:r w:rsidRPr="00002BA5">
        <w:rPr>
          <w:rFonts w:cstheme="minorHAnsi"/>
          <w:bCs/>
          <w:color w:val="000000" w:themeColor="text1"/>
          <w:u w:val="single"/>
        </w:rPr>
        <w:t>Detection of target antigens on tumor cell lines</w:t>
      </w:r>
      <w:r w:rsidR="00E269FB">
        <w:rPr>
          <w:rFonts w:cstheme="minorHAnsi"/>
          <w:bCs/>
          <w:color w:val="000000" w:themeColor="text1"/>
          <w:u w:val="single"/>
        </w:rPr>
        <w:t xml:space="preserve"> and primary blood samples</w:t>
      </w:r>
    </w:p>
    <w:p w14:paraId="33403381" w14:textId="039FF7A4" w:rsidR="00101EE5" w:rsidRPr="00002BA5" w:rsidRDefault="00194708">
      <w:pPr>
        <w:spacing w:after="0" w:line="480" w:lineRule="auto"/>
        <w:jc w:val="both"/>
        <w:rPr>
          <w:rFonts w:cstheme="minorHAnsi"/>
          <w:color w:val="000000" w:themeColor="text1"/>
        </w:rPr>
      </w:pPr>
      <w:r w:rsidRPr="00002BA5">
        <w:rPr>
          <w:rFonts w:cstheme="minorHAnsi"/>
          <w:color w:val="000000" w:themeColor="text1"/>
        </w:rPr>
        <w:t xml:space="preserve">Lymphoma cell line expression of CD19 and CD86 was characterized using FACS analysis utilizing the BD </w:t>
      </w:r>
      <w:proofErr w:type="spellStart"/>
      <w:r w:rsidRPr="00002BA5">
        <w:rPr>
          <w:rFonts w:cstheme="minorHAnsi"/>
          <w:color w:val="000000" w:themeColor="text1"/>
        </w:rPr>
        <w:t>FACSCanto</w:t>
      </w:r>
      <w:proofErr w:type="spellEnd"/>
      <w:r w:rsidRPr="00002BA5">
        <w:rPr>
          <w:rFonts w:cstheme="minorHAnsi"/>
          <w:color w:val="000000" w:themeColor="text1"/>
        </w:rPr>
        <w:t>™ II flow cytometer. Cells were quantified and isolated from culture at 2e5 cells per sample, stained with a monoclonal FITC-conjugated anti-human CD19 antibody (</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302206, RRID:AB_314236) and a monoclonal APC-conjugated anti-human CD86 antibody (</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374208, RRID:AB_2721449). Incubation with matching isotype control antibodies was included as a control (</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400107, RRID:AB_326429)(</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400121, RRID:AB_326443). </w:t>
      </w:r>
      <w:r w:rsidR="00E269FB">
        <w:rPr>
          <w:rFonts w:cstheme="minorHAnsi"/>
          <w:color w:val="000000" w:themeColor="text1"/>
        </w:rPr>
        <w:t xml:space="preserve">Primary cell samples from peripheral blood of lymphoma / leukemia patients or from healthy donors were isolated according to PBMC isolation protocol. </w:t>
      </w:r>
      <w:r w:rsidR="00637161">
        <w:rPr>
          <w:rFonts w:cstheme="minorHAnsi"/>
          <w:color w:val="000000" w:themeColor="text1"/>
        </w:rPr>
        <w:t xml:space="preserve">CD86 expression was </w:t>
      </w:r>
      <w:r w:rsidR="00013C3A">
        <w:rPr>
          <w:rFonts w:cstheme="minorHAnsi"/>
          <w:color w:val="000000" w:themeColor="text1"/>
        </w:rPr>
        <w:t xml:space="preserve">characterized as stated above. Healthy donor B cells, CLL cells and DLBCL cells were identified as CD19+ cell population after staining with </w:t>
      </w:r>
      <w:r w:rsidR="00013C3A" w:rsidRPr="00002BA5">
        <w:rPr>
          <w:rFonts w:cstheme="minorHAnsi"/>
          <w:color w:val="000000" w:themeColor="text1"/>
        </w:rPr>
        <w:t>FITC-conjugated anti-human CD19 antibody</w:t>
      </w:r>
      <w:r w:rsidR="00013C3A">
        <w:rPr>
          <w:rFonts w:cstheme="minorHAnsi"/>
          <w:color w:val="000000" w:themeColor="text1"/>
        </w:rPr>
        <w:t>, CLL cells were additionally stained via PE-conjugated CD5 antibody (</w:t>
      </w:r>
      <w:proofErr w:type="spellStart"/>
      <w:r w:rsidR="00013C3A" w:rsidRPr="00013C3A">
        <w:rPr>
          <w:rFonts w:cstheme="minorHAnsi"/>
          <w:color w:val="000000" w:themeColor="text1"/>
        </w:rPr>
        <w:t>BioLegend</w:t>
      </w:r>
      <w:proofErr w:type="spellEnd"/>
      <w:r w:rsidR="00013C3A" w:rsidRPr="00013C3A">
        <w:rPr>
          <w:rFonts w:cstheme="minorHAnsi"/>
          <w:color w:val="000000" w:themeColor="text1"/>
        </w:rPr>
        <w:t xml:space="preserve"> Cat# 300607, RRID:AB_314093</w:t>
      </w:r>
      <w:r w:rsidR="00013C3A">
        <w:rPr>
          <w:rFonts w:cstheme="minorHAnsi"/>
          <w:color w:val="000000" w:themeColor="text1"/>
        </w:rPr>
        <w:t>).</w:t>
      </w:r>
    </w:p>
    <w:p w14:paraId="4104BDCB" w14:textId="77777777" w:rsidR="00101EE5" w:rsidRPr="00002BA5" w:rsidRDefault="00101EE5">
      <w:pPr>
        <w:spacing w:after="0" w:line="480" w:lineRule="auto"/>
        <w:jc w:val="both"/>
        <w:rPr>
          <w:rFonts w:cstheme="minorHAnsi"/>
          <w:color w:val="000000" w:themeColor="text1"/>
        </w:rPr>
      </w:pPr>
    </w:p>
    <w:p w14:paraId="6DF1FE18" w14:textId="77777777" w:rsidR="00101EE5" w:rsidRPr="00002BA5" w:rsidRDefault="00194708">
      <w:pPr>
        <w:spacing w:after="0" w:line="480" w:lineRule="auto"/>
        <w:jc w:val="both"/>
        <w:rPr>
          <w:rFonts w:cstheme="minorHAnsi"/>
          <w:bCs/>
          <w:color w:val="000000" w:themeColor="text1"/>
          <w:u w:val="single"/>
        </w:rPr>
      </w:pPr>
      <w:r w:rsidRPr="00002BA5">
        <w:rPr>
          <w:rFonts w:cstheme="minorHAnsi"/>
          <w:bCs/>
          <w:color w:val="000000" w:themeColor="text1"/>
          <w:u w:val="single"/>
        </w:rPr>
        <w:t>Detection of target antigens on PBMC</w:t>
      </w:r>
    </w:p>
    <w:p w14:paraId="77ADC764" w14:textId="77777777" w:rsidR="00101EE5" w:rsidRPr="00002BA5" w:rsidRDefault="00194708">
      <w:pPr>
        <w:spacing w:after="0" w:line="480" w:lineRule="auto"/>
        <w:jc w:val="both"/>
        <w:rPr>
          <w:rFonts w:cstheme="minorHAnsi"/>
          <w:color w:val="000000" w:themeColor="text1"/>
        </w:rPr>
      </w:pPr>
      <w:r w:rsidRPr="00002BA5">
        <w:rPr>
          <w:rFonts w:cstheme="minorHAnsi"/>
          <w:color w:val="000000" w:themeColor="text1"/>
        </w:rPr>
        <w:t>Isolated PBMC were analyzed regarding expression levels of CD86 at the start of culturing and during the process of activation, transduction, expansion and reactivation at different time points (days after isolation). Detection of the respective antigens was performed according to method “detection of target antigens on tumor cell lines” (see above). Detection of CD25 as an intermediate marker of activation was also included via binding of a monoclonal APC/Fire</w:t>
      </w:r>
      <w:r w:rsidRPr="00002BA5">
        <w:rPr>
          <w:rFonts w:eastAsia="Arial" w:cstheme="minorHAnsi"/>
          <w:color w:val="000000" w:themeColor="text1"/>
        </w:rPr>
        <w:t>™</w:t>
      </w:r>
      <w:r w:rsidRPr="00002BA5">
        <w:rPr>
          <w:rFonts w:cstheme="minorHAnsi"/>
          <w:color w:val="000000" w:themeColor="text1"/>
        </w:rPr>
        <w:t>750-conjugated mouse anti-human CD25 antibody (</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302642, RRID:AB_2632839). T cells were identified via binding of a monoclonal BV421-conjugated mouse anti-human CD3 antibody (</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300434, RRID:AB_10962690). </w:t>
      </w:r>
    </w:p>
    <w:p w14:paraId="60C73E16" w14:textId="77777777" w:rsidR="00101EE5" w:rsidRPr="00002BA5" w:rsidRDefault="00101EE5">
      <w:pPr>
        <w:spacing w:after="0" w:line="480" w:lineRule="auto"/>
        <w:jc w:val="both"/>
        <w:rPr>
          <w:rFonts w:cstheme="minorHAnsi"/>
          <w:color w:val="000000" w:themeColor="text1"/>
        </w:rPr>
      </w:pPr>
    </w:p>
    <w:p w14:paraId="56A5CE72" w14:textId="77777777" w:rsidR="00101EE5" w:rsidRPr="00002BA5" w:rsidRDefault="00194708">
      <w:pPr>
        <w:spacing w:after="0" w:line="480" w:lineRule="auto"/>
        <w:rPr>
          <w:rFonts w:cstheme="minorHAnsi"/>
          <w:bCs/>
          <w:color w:val="000000" w:themeColor="text1"/>
          <w:u w:val="single"/>
        </w:rPr>
      </w:pPr>
      <w:r w:rsidRPr="00002BA5">
        <w:rPr>
          <w:rFonts w:cstheme="minorHAnsi"/>
          <w:bCs/>
          <w:color w:val="000000" w:themeColor="text1"/>
          <w:u w:val="single"/>
        </w:rPr>
        <w:t>Vector construction and preparation</w:t>
      </w:r>
    </w:p>
    <w:p w14:paraId="31EDE04E" w14:textId="77777777" w:rsidR="00101EE5" w:rsidRPr="00002BA5" w:rsidRDefault="00194708">
      <w:pPr>
        <w:spacing w:after="0" w:line="480" w:lineRule="auto"/>
        <w:jc w:val="both"/>
        <w:rPr>
          <w:rFonts w:cstheme="minorHAnsi"/>
          <w:color w:val="000000" w:themeColor="text1"/>
        </w:rPr>
      </w:pPr>
      <w:r w:rsidRPr="00002BA5">
        <w:rPr>
          <w:rFonts w:cstheme="minorHAnsi"/>
          <w:color w:val="000000" w:themeColor="text1"/>
        </w:rPr>
        <w:t xml:space="preserve">Transfection vectors were ordered from Integrated DNA Technologies (IDT) as </w:t>
      </w:r>
      <w:proofErr w:type="spellStart"/>
      <w:r w:rsidRPr="00002BA5">
        <w:rPr>
          <w:rFonts w:cstheme="minorHAnsi"/>
          <w:color w:val="000000" w:themeColor="text1"/>
        </w:rPr>
        <w:t>gBlocks</w:t>
      </w:r>
      <w:proofErr w:type="spellEnd"/>
      <w:r w:rsidRPr="00002BA5">
        <w:rPr>
          <w:rFonts w:cstheme="minorHAnsi"/>
          <w:color w:val="000000" w:themeColor="text1"/>
        </w:rPr>
        <w:t xml:space="preserve">™, ligated and transformed into DH5-alpha Escherichia coli bacteria via heat shock. Transformed bacteria were cultured on selection agar containing Ampicillin, single colonies picked, expanded, and evaluated for correct plasmid configuration after plasmid preparation via restriction enzyme digestion and gel electrophoresis as well as Sanger DNA sequencing. Plasmids were then isolated as needed from transformed bacteria selectively cultivated in Ampicillin containing LB broth via </w:t>
      </w:r>
      <w:proofErr w:type="spellStart"/>
      <w:r w:rsidRPr="00002BA5">
        <w:rPr>
          <w:rFonts w:cstheme="minorHAnsi"/>
          <w:color w:val="000000" w:themeColor="text1"/>
        </w:rPr>
        <w:t>NucleoBond</w:t>
      </w:r>
      <w:proofErr w:type="spellEnd"/>
      <w:r w:rsidRPr="00002BA5">
        <w:rPr>
          <w:rFonts w:cstheme="minorHAnsi"/>
          <w:color w:val="000000" w:themeColor="text1"/>
        </w:rPr>
        <w:t>™ Extra Midi Prep Kit (</w:t>
      </w:r>
      <w:proofErr w:type="spellStart"/>
      <w:r w:rsidRPr="00002BA5">
        <w:rPr>
          <w:rFonts w:cstheme="minorHAnsi"/>
          <w:color w:val="000000" w:themeColor="text1"/>
        </w:rPr>
        <w:t>Macherey</w:t>
      </w:r>
      <w:proofErr w:type="spellEnd"/>
      <w:r w:rsidRPr="00002BA5">
        <w:rPr>
          <w:rFonts w:cstheme="minorHAnsi"/>
          <w:color w:val="000000" w:themeColor="text1"/>
        </w:rPr>
        <w:t>-Nagel) according to user manual.</w:t>
      </w:r>
    </w:p>
    <w:p w14:paraId="0DC2D19A" w14:textId="77777777" w:rsidR="00101EE5" w:rsidRPr="00002BA5" w:rsidRDefault="00101EE5">
      <w:pPr>
        <w:spacing w:after="0" w:line="480" w:lineRule="auto"/>
        <w:jc w:val="both"/>
        <w:rPr>
          <w:rFonts w:cstheme="minorHAnsi"/>
          <w:color w:val="000000" w:themeColor="text1"/>
        </w:rPr>
      </w:pPr>
    </w:p>
    <w:p w14:paraId="05EFBC71" w14:textId="77777777" w:rsidR="00101EE5" w:rsidRPr="00002BA5" w:rsidRDefault="00194708">
      <w:pPr>
        <w:spacing w:after="0" w:line="480" w:lineRule="auto"/>
        <w:jc w:val="both"/>
        <w:rPr>
          <w:rFonts w:cstheme="minorHAnsi"/>
          <w:bCs/>
          <w:color w:val="000000" w:themeColor="text1"/>
          <w:u w:val="single"/>
        </w:rPr>
      </w:pPr>
      <w:r w:rsidRPr="00002BA5">
        <w:rPr>
          <w:rFonts w:cstheme="minorHAnsi"/>
          <w:bCs/>
          <w:color w:val="000000" w:themeColor="text1"/>
          <w:u w:val="single"/>
        </w:rPr>
        <w:t>PBMC isolation and T cell activation</w:t>
      </w:r>
    </w:p>
    <w:p w14:paraId="591CF711" w14:textId="77777777" w:rsidR="00101EE5" w:rsidRPr="00002BA5" w:rsidRDefault="00194708">
      <w:pPr>
        <w:spacing w:after="0" w:line="480" w:lineRule="auto"/>
        <w:jc w:val="both"/>
        <w:rPr>
          <w:rFonts w:cstheme="minorHAnsi"/>
          <w:color w:val="000000" w:themeColor="text1"/>
        </w:rPr>
      </w:pPr>
      <w:r w:rsidRPr="00002BA5">
        <w:rPr>
          <w:rFonts w:cstheme="minorHAnsi"/>
          <w:color w:val="000000" w:themeColor="text1"/>
        </w:rPr>
        <w:t xml:space="preserve">Peripheral blood mononuclear cells were harvested from healthy blood donor buffy coats via density gradient isolation. Buffy coats were pipetted into </w:t>
      </w:r>
      <w:proofErr w:type="spellStart"/>
      <w:r w:rsidRPr="00002BA5">
        <w:rPr>
          <w:rFonts w:cstheme="minorHAnsi"/>
          <w:color w:val="000000" w:themeColor="text1"/>
        </w:rPr>
        <w:t>LeucoSEP</w:t>
      </w:r>
      <w:proofErr w:type="spellEnd"/>
      <w:r w:rsidRPr="00002BA5">
        <w:rPr>
          <w:rFonts w:cstheme="minorHAnsi"/>
          <w:color w:val="000000" w:themeColor="text1"/>
        </w:rPr>
        <w:t xml:space="preserve">™ tubes (Greiner Bio-one) prepared with </w:t>
      </w:r>
      <w:proofErr w:type="spellStart"/>
      <w:r w:rsidRPr="00002BA5">
        <w:rPr>
          <w:rFonts w:cstheme="minorHAnsi"/>
          <w:color w:val="000000" w:themeColor="text1"/>
        </w:rPr>
        <w:t>Lymphoprep</w:t>
      </w:r>
      <w:proofErr w:type="spellEnd"/>
      <w:r w:rsidRPr="00002BA5">
        <w:rPr>
          <w:rFonts w:cstheme="minorHAnsi"/>
          <w:color w:val="000000" w:themeColor="text1"/>
        </w:rPr>
        <w:t>™ (STEMCELL Technologies) and centrifuged at 800 x g for 20 minutes (room temperature). The resulting mononuclear cell layer was extracted, washed 4 times in PBS and up to 1e9 cells put into culture in RPMI 1640 medium (Gibco</w:t>
      </w:r>
      <w:r w:rsidRPr="00002BA5">
        <w:rPr>
          <w:rFonts w:eastAsia="Arial" w:cstheme="minorHAnsi"/>
          <w:color w:val="000000" w:themeColor="text1"/>
        </w:rPr>
        <w:t>™</w:t>
      </w:r>
      <w:r w:rsidRPr="00002BA5">
        <w:rPr>
          <w:rFonts w:cstheme="minorHAnsi"/>
          <w:color w:val="000000" w:themeColor="text1"/>
        </w:rPr>
        <w:t>/</w:t>
      </w:r>
      <w:proofErr w:type="spellStart"/>
      <w:r w:rsidRPr="00002BA5">
        <w:rPr>
          <w:rFonts w:cstheme="minorHAnsi"/>
          <w:color w:val="000000" w:themeColor="text1"/>
        </w:rPr>
        <w:t>ThermoFisher</w:t>
      </w:r>
      <w:proofErr w:type="spellEnd"/>
      <w:r w:rsidRPr="00002BA5">
        <w:rPr>
          <w:rFonts w:cstheme="minorHAnsi"/>
          <w:color w:val="000000" w:themeColor="text1"/>
        </w:rPr>
        <w:t xml:space="preserve"> </w:t>
      </w:r>
      <w:proofErr w:type="spellStart"/>
      <w:r w:rsidRPr="00002BA5">
        <w:rPr>
          <w:rFonts w:cstheme="minorHAnsi"/>
          <w:color w:val="000000" w:themeColor="text1"/>
        </w:rPr>
        <w:t>GlutaMAX</w:t>
      </w:r>
      <w:proofErr w:type="spellEnd"/>
      <w:r w:rsidRPr="00002BA5">
        <w:rPr>
          <w:rFonts w:eastAsia="Arial" w:cstheme="minorHAnsi"/>
          <w:color w:val="000000" w:themeColor="text1"/>
        </w:rPr>
        <w:t>™</w:t>
      </w:r>
      <w:r w:rsidRPr="00002BA5">
        <w:rPr>
          <w:rFonts w:cstheme="minorHAnsi"/>
          <w:color w:val="000000" w:themeColor="text1"/>
        </w:rPr>
        <w:t>) with 10% FBS, 10mM HEPES buffer and 100U mL</w:t>
      </w:r>
      <w:r w:rsidRPr="00002BA5">
        <w:rPr>
          <w:rFonts w:cstheme="minorHAnsi"/>
          <w:color w:val="000000" w:themeColor="text1"/>
          <w:vertAlign w:val="superscript"/>
        </w:rPr>
        <w:t>-1</w:t>
      </w:r>
      <w:r w:rsidRPr="00002BA5">
        <w:rPr>
          <w:rFonts w:cstheme="minorHAnsi"/>
          <w:color w:val="000000" w:themeColor="text1"/>
        </w:rPr>
        <w:t>/100μg mL</w:t>
      </w:r>
      <w:r w:rsidRPr="00002BA5">
        <w:rPr>
          <w:rFonts w:cstheme="minorHAnsi"/>
          <w:color w:val="000000" w:themeColor="text1"/>
          <w:vertAlign w:val="superscript"/>
        </w:rPr>
        <w:t>-1</w:t>
      </w:r>
      <w:r w:rsidRPr="00002BA5">
        <w:rPr>
          <w:rFonts w:cstheme="minorHAnsi"/>
          <w:color w:val="000000" w:themeColor="text1"/>
        </w:rPr>
        <w:t xml:space="preserve"> penicillin/streptomycin at 37°C and 5% CO2 in a humidity-controlled environment (all supplements PAN Biotech). T cells were stimulated with 1000 U mL</w:t>
      </w:r>
      <w:r w:rsidRPr="00002BA5">
        <w:rPr>
          <w:rFonts w:cstheme="minorHAnsi"/>
          <w:color w:val="000000" w:themeColor="text1"/>
          <w:vertAlign w:val="superscript"/>
        </w:rPr>
        <w:t>-1</w:t>
      </w:r>
      <w:r w:rsidRPr="00002BA5">
        <w:rPr>
          <w:rFonts w:cstheme="minorHAnsi"/>
          <w:color w:val="000000" w:themeColor="text1"/>
        </w:rPr>
        <w:t xml:space="preserve"> rhIL-2 (PROLEUKIN®, </w:t>
      </w:r>
      <w:proofErr w:type="spellStart"/>
      <w:r w:rsidRPr="00002BA5">
        <w:rPr>
          <w:rFonts w:cstheme="minorHAnsi"/>
          <w:color w:val="000000" w:themeColor="text1"/>
        </w:rPr>
        <w:t>Clinigen</w:t>
      </w:r>
      <w:proofErr w:type="spellEnd"/>
      <w:r w:rsidRPr="00002BA5">
        <w:rPr>
          <w:rFonts w:cstheme="minorHAnsi"/>
          <w:color w:val="000000" w:themeColor="text1"/>
        </w:rPr>
        <w:t>), 200 ng mL</w:t>
      </w:r>
      <w:r w:rsidRPr="00002BA5">
        <w:rPr>
          <w:rFonts w:cstheme="minorHAnsi"/>
          <w:color w:val="000000" w:themeColor="text1"/>
          <w:vertAlign w:val="superscript"/>
        </w:rPr>
        <w:t>-1</w:t>
      </w:r>
      <w:r w:rsidRPr="00002BA5">
        <w:rPr>
          <w:rFonts w:cstheme="minorHAnsi"/>
          <w:color w:val="000000" w:themeColor="text1"/>
        </w:rPr>
        <w:t xml:space="preserve"> low endotoxin, </w:t>
      </w:r>
      <w:proofErr w:type="spellStart"/>
      <w:r w:rsidRPr="00002BA5">
        <w:rPr>
          <w:rFonts w:cstheme="minorHAnsi"/>
          <w:color w:val="000000" w:themeColor="text1"/>
        </w:rPr>
        <w:t>azide</w:t>
      </w:r>
      <w:proofErr w:type="spellEnd"/>
      <w:r w:rsidRPr="00002BA5">
        <w:rPr>
          <w:rFonts w:cstheme="minorHAnsi"/>
          <w:color w:val="000000" w:themeColor="text1"/>
        </w:rPr>
        <w:t>-free monoclonal mouse anti-human CD3 antibody OKT3 (</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317347, RRID:AB_2571994) and 100 ng mL</w:t>
      </w:r>
      <w:r w:rsidRPr="00002BA5">
        <w:rPr>
          <w:rFonts w:cstheme="minorHAnsi"/>
          <w:color w:val="000000" w:themeColor="text1"/>
          <w:vertAlign w:val="superscript"/>
        </w:rPr>
        <w:t>-1</w:t>
      </w:r>
      <w:r w:rsidRPr="00002BA5">
        <w:rPr>
          <w:rFonts w:cstheme="minorHAnsi"/>
          <w:color w:val="000000" w:themeColor="text1"/>
        </w:rPr>
        <w:t xml:space="preserve"> monoclonal mouse anti-human-CD28 antibody 15E8 (lab produced) for two days before transduction. Post-transduction T cells were cultured in same medium with 50 - 100U mL</w:t>
      </w:r>
      <w:r w:rsidRPr="00002BA5">
        <w:rPr>
          <w:rFonts w:cstheme="minorHAnsi"/>
          <w:color w:val="000000" w:themeColor="text1"/>
          <w:vertAlign w:val="superscript"/>
        </w:rPr>
        <w:t>-1</w:t>
      </w:r>
      <w:r w:rsidRPr="00002BA5">
        <w:rPr>
          <w:rFonts w:cstheme="minorHAnsi"/>
          <w:color w:val="000000" w:themeColor="text1"/>
        </w:rPr>
        <w:t xml:space="preserve"> rhIL-2. Culture media was added or exchanged every 3-4 days or when beginning acidification was observed via phenol red color change. Prior to assays, stimulation was removed by media exchange the day before the assay. Co-cultures with tumor cell lines were cultured under the same conditions. Sex was not supplied with the healthy donor information and cannot be reported.</w:t>
      </w:r>
    </w:p>
    <w:p w14:paraId="473F33F9" w14:textId="77777777" w:rsidR="00101EE5" w:rsidRPr="00002BA5" w:rsidRDefault="00101EE5">
      <w:pPr>
        <w:spacing w:after="0" w:line="480" w:lineRule="auto"/>
        <w:jc w:val="both"/>
        <w:rPr>
          <w:rFonts w:cstheme="minorHAnsi"/>
          <w:color w:val="000000" w:themeColor="text1"/>
        </w:rPr>
      </w:pPr>
    </w:p>
    <w:p w14:paraId="5EB9A767" w14:textId="77777777" w:rsidR="00101EE5" w:rsidRPr="00002BA5" w:rsidRDefault="00194708">
      <w:pPr>
        <w:spacing w:after="0" w:line="480" w:lineRule="auto"/>
        <w:jc w:val="both"/>
        <w:rPr>
          <w:rFonts w:cstheme="minorHAnsi"/>
          <w:bCs/>
          <w:color w:val="000000" w:themeColor="text1"/>
          <w:u w:val="single"/>
        </w:rPr>
      </w:pPr>
      <w:r w:rsidRPr="00002BA5">
        <w:rPr>
          <w:rFonts w:cstheme="minorHAnsi"/>
          <w:bCs/>
          <w:color w:val="000000" w:themeColor="text1"/>
          <w:u w:val="single"/>
        </w:rPr>
        <w:t>Vector transfection and transduction</w:t>
      </w:r>
    </w:p>
    <w:p w14:paraId="1358135B" w14:textId="12186FB9" w:rsidR="00101EE5" w:rsidRPr="00002BA5" w:rsidRDefault="00194708">
      <w:pPr>
        <w:spacing w:after="0" w:line="480" w:lineRule="auto"/>
        <w:jc w:val="both"/>
        <w:rPr>
          <w:rFonts w:cstheme="minorHAnsi"/>
          <w:color w:val="000000" w:themeColor="text1"/>
        </w:rPr>
      </w:pPr>
      <w:r w:rsidRPr="00002BA5">
        <w:rPr>
          <w:rFonts w:cstheme="minorHAnsi"/>
          <w:color w:val="000000" w:themeColor="text1"/>
        </w:rPr>
        <w:lastRenderedPageBreak/>
        <w:t xml:space="preserve">CAR expression was induced by retroviral transduction. Cell culture plates (100mm) with a monolayer of HEK293T cells were transfected at 70-90% confluence using 16μl </w:t>
      </w:r>
      <w:proofErr w:type="spellStart"/>
      <w:r w:rsidRPr="00002BA5">
        <w:rPr>
          <w:rFonts w:cstheme="minorHAnsi"/>
          <w:color w:val="000000" w:themeColor="text1"/>
        </w:rPr>
        <w:t>Polyplus</w:t>
      </w:r>
      <w:proofErr w:type="spellEnd"/>
      <w:r w:rsidRPr="00002BA5">
        <w:rPr>
          <w:rFonts w:cstheme="minorHAnsi"/>
          <w:color w:val="000000" w:themeColor="text1"/>
        </w:rPr>
        <w:t xml:space="preserve"> </w:t>
      </w:r>
      <w:proofErr w:type="spellStart"/>
      <w:r w:rsidRPr="00002BA5">
        <w:rPr>
          <w:rFonts w:cstheme="minorHAnsi"/>
          <w:color w:val="000000" w:themeColor="text1"/>
        </w:rPr>
        <w:t>PEIpro</w:t>
      </w:r>
      <w:proofErr w:type="spellEnd"/>
      <w:r w:rsidRPr="00002BA5">
        <w:rPr>
          <w:rFonts w:eastAsia="Arial" w:cstheme="minorHAnsi"/>
          <w:color w:val="000000" w:themeColor="text1"/>
        </w:rPr>
        <w:t>®</w:t>
      </w:r>
      <w:r w:rsidRPr="00002BA5">
        <w:rPr>
          <w:rFonts w:cstheme="minorHAnsi"/>
          <w:color w:val="000000" w:themeColor="text1"/>
        </w:rPr>
        <w:t xml:space="preserve"> transfection reagent with 8μg retroviral expression vector DNA and 4μg each of pcDNA3.MLVg/p  and pMD2.G_VSVg plasmids (kindly provided by Prof. Axel </w:t>
      </w:r>
      <w:proofErr w:type="spellStart"/>
      <w:r w:rsidRPr="00002BA5">
        <w:rPr>
          <w:rFonts w:cstheme="minorHAnsi"/>
          <w:color w:val="000000" w:themeColor="text1"/>
        </w:rPr>
        <w:t>Schambach</w:t>
      </w:r>
      <w:proofErr w:type="spellEnd"/>
      <w:r w:rsidRPr="00002BA5">
        <w:rPr>
          <w:rFonts w:cstheme="minorHAnsi"/>
          <w:color w:val="000000" w:themeColor="text1"/>
        </w:rPr>
        <w:t>, Hannover Medical School) according to manufacturer’s protocol (</w:t>
      </w:r>
      <w:proofErr w:type="spellStart"/>
      <w:r w:rsidRPr="00002BA5">
        <w:rPr>
          <w:rFonts w:cstheme="minorHAnsi"/>
          <w:color w:val="000000" w:themeColor="text1"/>
        </w:rPr>
        <w:t>Polyplus</w:t>
      </w:r>
      <w:proofErr w:type="spellEnd"/>
      <w:r w:rsidRPr="00002BA5">
        <w:rPr>
          <w:rFonts w:cstheme="minorHAnsi"/>
          <w:color w:val="000000" w:themeColor="text1"/>
        </w:rPr>
        <w:t>). Transfection cocktail was added onto the HEK293T cells, cultured in 9ml of serum</w:t>
      </w:r>
      <w:r w:rsidR="00D50DBF">
        <w:rPr>
          <w:rFonts w:cstheme="minorHAnsi"/>
          <w:color w:val="000000" w:themeColor="text1"/>
        </w:rPr>
        <w:t>-</w:t>
      </w:r>
      <w:r w:rsidRPr="00002BA5">
        <w:rPr>
          <w:rFonts w:cstheme="minorHAnsi"/>
          <w:color w:val="000000" w:themeColor="text1"/>
        </w:rPr>
        <w:t>free RPMI 1640. Serum (1mL), was added 4-6h after transfection to a final concentration of 10%. The culture medium containing transduction virus was harvested after 18-24 hours and added to 4</w:t>
      </w:r>
      <w:r w:rsidR="00D37AF1">
        <w:rPr>
          <w:rFonts w:cstheme="minorHAnsi"/>
          <w:color w:val="000000" w:themeColor="text1"/>
        </w:rPr>
        <w:t>e6</w:t>
      </w:r>
      <w:r w:rsidRPr="00002BA5">
        <w:rPr>
          <w:rFonts w:cstheme="minorHAnsi"/>
          <w:color w:val="000000" w:themeColor="text1"/>
        </w:rPr>
        <w:t xml:space="preserve"> PBMC-derived T cells per well in a poly-D-Lysin (Corning</w:t>
      </w:r>
      <w:r w:rsidRPr="00002BA5">
        <w:rPr>
          <w:rFonts w:eastAsia="Arial" w:cstheme="minorHAnsi"/>
          <w:color w:val="000000" w:themeColor="text1"/>
        </w:rPr>
        <w:t>®</w:t>
      </w:r>
      <w:r w:rsidRPr="00002BA5">
        <w:rPr>
          <w:rFonts w:cstheme="minorHAnsi"/>
          <w:color w:val="000000" w:themeColor="text1"/>
        </w:rPr>
        <w:t xml:space="preserve"> </w:t>
      </w:r>
      <w:proofErr w:type="spellStart"/>
      <w:r w:rsidRPr="00002BA5">
        <w:rPr>
          <w:rFonts w:cstheme="minorHAnsi"/>
          <w:color w:val="000000" w:themeColor="text1"/>
        </w:rPr>
        <w:t>BioCoat</w:t>
      </w:r>
      <w:proofErr w:type="spellEnd"/>
      <w:r w:rsidRPr="00002BA5">
        <w:rPr>
          <w:rFonts w:eastAsia="Arial" w:cstheme="minorHAnsi"/>
          <w:color w:val="000000" w:themeColor="text1"/>
        </w:rPr>
        <w:t>®</w:t>
      </w:r>
      <w:r w:rsidRPr="00002BA5">
        <w:rPr>
          <w:rFonts w:cstheme="minorHAnsi"/>
          <w:color w:val="000000" w:themeColor="text1"/>
        </w:rPr>
        <w:t xml:space="preserve">) coated 6-well plate. Spin infection </w:t>
      </w:r>
      <w:r w:rsidR="00D50DBF" w:rsidRPr="00002BA5">
        <w:rPr>
          <w:rFonts w:cstheme="minorHAnsi"/>
          <w:color w:val="000000" w:themeColor="text1"/>
        </w:rPr>
        <w:t>occurred</w:t>
      </w:r>
      <w:r w:rsidRPr="00002BA5">
        <w:rPr>
          <w:rFonts w:cstheme="minorHAnsi"/>
          <w:color w:val="000000" w:themeColor="text1"/>
        </w:rPr>
        <w:t xml:space="preserve"> at 800 x g for 90 minutes at maximum 32°C and cells were cultured overnight. The process was repeated a second time with the same cells to improve transduction yields. After 6h, virus supernatant was exchanged by fresh medium (8mL per well) and cell were cultivated for additional 72h. During transduction, T cells were kept stimulated with 1000 U mL</w:t>
      </w:r>
      <w:r w:rsidRPr="00002BA5">
        <w:rPr>
          <w:rFonts w:cstheme="minorHAnsi"/>
          <w:color w:val="000000" w:themeColor="text1"/>
          <w:vertAlign w:val="superscript"/>
        </w:rPr>
        <w:t>-1</w:t>
      </w:r>
      <w:r w:rsidRPr="00002BA5">
        <w:rPr>
          <w:rFonts w:cstheme="minorHAnsi"/>
          <w:color w:val="000000" w:themeColor="text1"/>
        </w:rPr>
        <w:t xml:space="preserve"> rhIL-2.</w:t>
      </w:r>
    </w:p>
    <w:p w14:paraId="34EB43FB" w14:textId="77777777" w:rsidR="00101EE5" w:rsidRPr="00002BA5" w:rsidRDefault="00101EE5">
      <w:pPr>
        <w:spacing w:after="0" w:line="480" w:lineRule="auto"/>
        <w:jc w:val="both"/>
        <w:rPr>
          <w:rFonts w:cstheme="minorHAnsi"/>
          <w:color w:val="000000" w:themeColor="text1"/>
        </w:rPr>
      </w:pPr>
    </w:p>
    <w:p w14:paraId="409BB752" w14:textId="77777777" w:rsidR="00101EE5" w:rsidRPr="00002BA5" w:rsidRDefault="00194708">
      <w:pPr>
        <w:spacing w:after="0" w:line="480" w:lineRule="auto"/>
        <w:jc w:val="both"/>
        <w:rPr>
          <w:rFonts w:cstheme="minorHAnsi"/>
          <w:bCs/>
          <w:color w:val="000000" w:themeColor="text1"/>
          <w:u w:val="single"/>
        </w:rPr>
      </w:pPr>
      <w:r w:rsidRPr="00002BA5">
        <w:rPr>
          <w:rFonts w:cstheme="minorHAnsi"/>
          <w:bCs/>
          <w:color w:val="000000" w:themeColor="text1"/>
          <w:u w:val="single"/>
        </w:rPr>
        <w:t xml:space="preserve">CAR detection via flow cytometry </w:t>
      </w:r>
    </w:p>
    <w:p w14:paraId="30D4950A" w14:textId="77777777" w:rsidR="00101EE5" w:rsidRPr="00002BA5" w:rsidRDefault="00194708">
      <w:pPr>
        <w:spacing w:after="0" w:line="480" w:lineRule="auto"/>
        <w:jc w:val="both"/>
        <w:rPr>
          <w:rFonts w:cstheme="minorHAnsi"/>
          <w:color w:val="000000" w:themeColor="text1"/>
        </w:rPr>
      </w:pPr>
      <w:r w:rsidRPr="00002BA5">
        <w:rPr>
          <w:rFonts w:cstheme="minorHAnsi"/>
          <w:color w:val="000000" w:themeColor="text1"/>
        </w:rPr>
        <w:t>Detection of anti-CD19 CAR was performed via FACS by using a G4S-linker specific monoclonal PE-conjugated rabbit antibody (E7O2V, Cell Signaling Technology Cat#38907S; RRID:AB_3626304) and staining of the extracellular CTLA-4 domain of anti-CD86 CAR by using a monoclonal APC-conjugated mouse anti-human CTLA-4 (CD152) specific antibody  (</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369611, RRID:AB_2632873). T cells were identified by CD3 expression, detected with a monoclonal FITC-conjugated mouse anti-human CD3 antibody (</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300440, RRID:AB_2562046). Cells were incubated for 20 minutes at 4°C and washed before staining and after prior to analysis. CAR transduction efficiency was evaluated in a BD </w:t>
      </w:r>
      <w:proofErr w:type="spellStart"/>
      <w:r w:rsidRPr="00002BA5">
        <w:rPr>
          <w:rFonts w:cstheme="minorHAnsi"/>
          <w:color w:val="000000" w:themeColor="text1"/>
        </w:rPr>
        <w:t>FACSCanto</w:t>
      </w:r>
      <w:proofErr w:type="spellEnd"/>
      <w:r w:rsidRPr="00002BA5">
        <w:rPr>
          <w:rFonts w:eastAsia="Arial" w:cstheme="minorHAnsi"/>
          <w:color w:val="000000" w:themeColor="text1"/>
        </w:rPr>
        <w:t>™</w:t>
      </w:r>
      <w:r w:rsidRPr="00002BA5">
        <w:rPr>
          <w:rFonts w:cstheme="minorHAnsi"/>
          <w:color w:val="000000" w:themeColor="text1"/>
        </w:rPr>
        <w:t xml:space="preserve"> II flow cytometer in a Lymphocyte/Single Cell/CD3+ gate to confirm successful transduction and to normalize CAR T cell numbers in downstream experiments.</w:t>
      </w:r>
    </w:p>
    <w:p w14:paraId="666668B6" w14:textId="77777777" w:rsidR="00101EE5" w:rsidRPr="00002BA5" w:rsidRDefault="00101EE5">
      <w:pPr>
        <w:spacing w:after="0" w:line="480" w:lineRule="auto"/>
        <w:jc w:val="both"/>
        <w:rPr>
          <w:rFonts w:cstheme="minorHAnsi"/>
          <w:color w:val="000000" w:themeColor="text1"/>
        </w:rPr>
      </w:pPr>
    </w:p>
    <w:p w14:paraId="01CC0449" w14:textId="26B0D7A4" w:rsidR="00101EE5" w:rsidRPr="00002BA5" w:rsidRDefault="00194708">
      <w:pPr>
        <w:spacing w:after="0" w:line="480" w:lineRule="auto"/>
        <w:jc w:val="both"/>
        <w:rPr>
          <w:rFonts w:cstheme="minorHAnsi"/>
          <w:bCs/>
          <w:color w:val="000000" w:themeColor="text1"/>
          <w:u w:val="single"/>
        </w:rPr>
      </w:pPr>
      <w:r w:rsidRPr="00002BA5">
        <w:rPr>
          <w:rFonts w:cstheme="minorHAnsi"/>
          <w:bCs/>
          <w:color w:val="000000" w:themeColor="text1"/>
          <w:u w:val="single"/>
        </w:rPr>
        <w:t>Re-activation of PBMC</w:t>
      </w:r>
      <w:r w:rsidR="000C7574">
        <w:rPr>
          <w:rFonts w:cstheme="minorHAnsi"/>
          <w:bCs/>
          <w:color w:val="000000" w:themeColor="text1"/>
          <w:u w:val="single"/>
        </w:rPr>
        <w:t xml:space="preserve"> or JE 6.1 TPR</w:t>
      </w:r>
    </w:p>
    <w:p w14:paraId="0ACD02CB" w14:textId="28CAAE26" w:rsidR="00101EE5" w:rsidRPr="00002BA5" w:rsidRDefault="00194708">
      <w:pPr>
        <w:spacing w:after="0" w:line="480" w:lineRule="auto"/>
        <w:jc w:val="both"/>
        <w:rPr>
          <w:rFonts w:cstheme="minorHAnsi"/>
          <w:color w:val="000000" w:themeColor="text1"/>
        </w:rPr>
      </w:pPr>
      <w:r w:rsidRPr="00002BA5">
        <w:rPr>
          <w:rFonts w:cstheme="minorHAnsi"/>
          <w:color w:val="000000" w:themeColor="text1"/>
        </w:rPr>
        <w:t>To induce and/or increase target antigen expression, a re-activation protocol was performed by cultivating pre-activated PBMC (with or without CAR) on coated multi</w:t>
      </w:r>
      <w:r w:rsidR="00D50DBF">
        <w:rPr>
          <w:rFonts w:cstheme="minorHAnsi"/>
          <w:color w:val="000000" w:themeColor="text1"/>
        </w:rPr>
        <w:t>-</w:t>
      </w:r>
      <w:r w:rsidRPr="00002BA5">
        <w:rPr>
          <w:rFonts w:cstheme="minorHAnsi"/>
          <w:color w:val="000000" w:themeColor="text1"/>
        </w:rPr>
        <w:t xml:space="preserve">well plates. To create </w:t>
      </w:r>
      <w:r w:rsidRPr="00002BA5">
        <w:rPr>
          <w:rFonts w:cstheme="minorHAnsi"/>
          <w:color w:val="000000" w:themeColor="text1"/>
        </w:rPr>
        <w:lastRenderedPageBreak/>
        <w:t>autologous “victim cells” with high CD86 expression, T cell specific re-activation was conducted by 1µg mL</w:t>
      </w:r>
      <w:r w:rsidRPr="00002BA5">
        <w:rPr>
          <w:rFonts w:cstheme="minorHAnsi"/>
          <w:color w:val="000000" w:themeColor="text1"/>
          <w:vertAlign w:val="superscript"/>
        </w:rPr>
        <w:t>-1</w:t>
      </w:r>
      <w:r w:rsidRPr="00002BA5">
        <w:rPr>
          <w:rFonts w:cstheme="minorHAnsi"/>
          <w:color w:val="000000" w:themeColor="text1"/>
        </w:rPr>
        <w:t xml:space="preserve"> monoclonal mouse anti-human CD3 antibody OKT3 (</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317347, RRID:AB_2571994) and 5µg mL</w:t>
      </w:r>
      <w:r w:rsidRPr="00002BA5">
        <w:rPr>
          <w:rFonts w:cstheme="minorHAnsi"/>
          <w:color w:val="000000" w:themeColor="text1"/>
          <w:vertAlign w:val="superscript"/>
        </w:rPr>
        <w:t>-1</w:t>
      </w:r>
      <w:r w:rsidRPr="00002BA5">
        <w:rPr>
          <w:rFonts w:cstheme="minorHAnsi"/>
          <w:color w:val="000000" w:themeColor="text1"/>
        </w:rPr>
        <w:t xml:space="preserve"> monoclonal mouse anti-human-CD28 antibody 15E8 (lab produced). For CAR specific </w:t>
      </w:r>
      <w:r w:rsidR="00070CB9">
        <w:rPr>
          <w:rFonts w:cstheme="minorHAnsi"/>
          <w:color w:val="000000" w:themeColor="text1"/>
        </w:rPr>
        <w:t>(</w:t>
      </w:r>
      <w:r w:rsidRPr="00002BA5">
        <w:rPr>
          <w:rFonts w:cstheme="minorHAnsi"/>
          <w:color w:val="000000" w:themeColor="text1"/>
        </w:rPr>
        <w:t>re-</w:t>
      </w:r>
      <w:r w:rsidR="00070CB9">
        <w:rPr>
          <w:rFonts w:cstheme="minorHAnsi"/>
          <w:color w:val="000000" w:themeColor="text1"/>
        </w:rPr>
        <w:t>)</w:t>
      </w:r>
      <w:r w:rsidRPr="00002BA5">
        <w:rPr>
          <w:rFonts w:cstheme="minorHAnsi"/>
          <w:color w:val="000000" w:themeColor="text1"/>
        </w:rPr>
        <w:t xml:space="preserve">activation, cells </w:t>
      </w:r>
      <w:r w:rsidR="00070CB9">
        <w:rPr>
          <w:rFonts w:cstheme="minorHAnsi"/>
          <w:color w:val="000000" w:themeColor="text1"/>
        </w:rPr>
        <w:t xml:space="preserve">(PBMC or JE 6.1 TPR) </w:t>
      </w:r>
      <w:r w:rsidRPr="00002BA5">
        <w:rPr>
          <w:rFonts w:cstheme="minorHAnsi"/>
          <w:color w:val="000000" w:themeColor="text1"/>
        </w:rPr>
        <w:t xml:space="preserve">were cultured on plates coated with </w:t>
      </w:r>
      <w:r w:rsidR="0018286B">
        <w:rPr>
          <w:rFonts w:cstheme="minorHAnsi"/>
          <w:color w:val="000000" w:themeColor="text1"/>
        </w:rPr>
        <w:t>5</w:t>
      </w:r>
      <w:r w:rsidRPr="00002BA5">
        <w:rPr>
          <w:rFonts w:cstheme="minorHAnsi"/>
          <w:color w:val="000000" w:themeColor="text1"/>
        </w:rPr>
        <w:t>µg mL</w:t>
      </w:r>
      <w:r w:rsidRPr="00002BA5">
        <w:rPr>
          <w:rFonts w:cstheme="minorHAnsi"/>
          <w:color w:val="000000" w:themeColor="text1"/>
          <w:vertAlign w:val="superscript"/>
        </w:rPr>
        <w:t>-1</w:t>
      </w:r>
      <w:r w:rsidRPr="00002BA5">
        <w:rPr>
          <w:rFonts w:cstheme="minorHAnsi"/>
          <w:color w:val="000000" w:themeColor="text1"/>
        </w:rPr>
        <w:t xml:space="preserve"> rhCD19/Fc Chimera (</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789006) </w:t>
      </w:r>
      <w:r w:rsidR="0018286B">
        <w:rPr>
          <w:rFonts w:cstheme="minorHAnsi"/>
          <w:color w:val="000000" w:themeColor="text1"/>
        </w:rPr>
        <w:t>or</w:t>
      </w:r>
      <w:r w:rsidRPr="00002BA5">
        <w:rPr>
          <w:rFonts w:cstheme="minorHAnsi"/>
          <w:color w:val="000000" w:themeColor="text1"/>
        </w:rPr>
        <w:t xml:space="preserve"> </w:t>
      </w:r>
      <w:r w:rsidR="0018286B">
        <w:rPr>
          <w:rFonts w:cstheme="minorHAnsi"/>
          <w:color w:val="000000" w:themeColor="text1"/>
        </w:rPr>
        <w:t>1</w:t>
      </w:r>
      <w:r w:rsidRPr="00002BA5">
        <w:rPr>
          <w:rFonts w:cstheme="minorHAnsi"/>
          <w:color w:val="000000" w:themeColor="text1"/>
        </w:rPr>
        <w:t>µg mL</w:t>
      </w:r>
      <w:r w:rsidRPr="00002BA5">
        <w:rPr>
          <w:rFonts w:cstheme="minorHAnsi"/>
          <w:color w:val="000000" w:themeColor="text1"/>
          <w:vertAlign w:val="superscript"/>
        </w:rPr>
        <w:t>-1</w:t>
      </w:r>
      <w:r w:rsidRPr="00002BA5">
        <w:rPr>
          <w:rFonts w:cstheme="minorHAnsi"/>
          <w:color w:val="000000" w:themeColor="text1"/>
        </w:rPr>
        <w:t xml:space="preserve"> anti-CTLA4 antibody Ipilimumab (Bristol Myers Squibb) or coating with </w:t>
      </w:r>
      <w:r w:rsidR="0018286B">
        <w:rPr>
          <w:rFonts w:cstheme="minorHAnsi"/>
          <w:color w:val="000000" w:themeColor="text1"/>
        </w:rPr>
        <w:t>both</w:t>
      </w:r>
      <w:r w:rsidRPr="00002BA5">
        <w:rPr>
          <w:rFonts w:cstheme="minorHAnsi"/>
          <w:color w:val="000000" w:themeColor="text1"/>
        </w:rPr>
        <w:t xml:space="preserve">. Coating occurred over night at 4°C with PBS-diluted antibody / protein solution. Prior to cultivation of cells, plates were washed thoroughly with PBS to get rid of unbound antibodies/proteins. Re-activation was performed for </w:t>
      </w:r>
      <w:r w:rsidR="0018286B">
        <w:rPr>
          <w:rFonts w:cstheme="minorHAnsi"/>
          <w:color w:val="000000" w:themeColor="text1"/>
        </w:rPr>
        <w:t>24</w:t>
      </w:r>
      <w:r w:rsidRPr="00002BA5">
        <w:rPr>
          <w:rFonts w:cstheme="minorHAnsi"/>
          <w:color w:val="000000" w:themeColor="text1"/>
        </w:rPr>
        <w:t>-72h. Antigen expression levels were analyzed after re-activation cycle by flow cytometry (see above).</w:t>
      </w:r>
      <w:r w:rsidR="000C7574">
        <w:rPr>
          <w:rFonts w:cstheme="minorHAnsi"/>
          <w:color w:val="000000" w:themeColor="text1"/>
        </w:rPr>
        <w:t xml:space="preserve"> Expression levels of fluorochrome-conjugated transcription factors (JE 6.1 TPR</w:t>
      </w:r>
      <w:r w:rsidR="00070CB9">
        <w:rPr>
          <w:rFonts w:cstheme="minorHAnsi"/>
          <w:color w:val="000000" w:themeColor="text1"/>
        </w:rPr>
        <w:t xml:space="preserve">) were detected via </w:t>
      </w:r>
      <w:proofErr w:type="spellStart"/>
      <w:r w:rsidR="00070CB9">
        <w:rPr>
          <w:rFonts w:cstheme="minorHAnsi"/>
          <w:color w:val="000000" w:themeColor="text1"/>
        </w:rPr>
        <w:t>CytoFLEX</w:t>
      </w:r>
      <w:proofErr w:type="spellEnd"/>
      <w:r w:rsidR="00070CB9">
        <w:rPr>
          <w:rFonts w:cstheme="minorHAnsi"/>
          <w:color w:val="000000" w:themeColor="text1"/>
        </w:rPr>
        <w:t xml:space="preserve"> S flow cytometer (Beckman Coulter).</w:t>
      </w:r>
    </w:p>
    <w:p w14:paraId="75F0E7E8" w14:textId="77777777" w:rsidR="00101EE5" w:rsidRPr="00002BA5" w:rsidRDefault="00101EE5">
      <w:pPr>
        <w:spacing w:after="0" w:line="480" w:lineRule="auto"/>
        <w:jc w:val="both"/>
        <w:rPr>
          <w:rFonts w:cstheme="minorHAnsi"/>
          <w:color w:val="000000" w:themeColor="text1"/>
        </w:rPr>
      </w:pPr>
    </w:p>
    <w:p w14:paraId="35FDAF07" w14:textId="77777777" w:rsidR="00101EE5" w:rsidRPr="00002BA5" w:rsidRDefault="00194708">
      <w:pPr>
        <w:spacing w:after="0" w:line="480" w:lineRule="auto"/>
        <w:jc w:val="both"/>
        <w:rPr>
          <w:rFonts w:cstheme="minorHAnsi"/>
          <w:bCs/>
          <w:color w:val="000000" w:themeColor="text1"/>
          <w:u w:val="single"/>
        </w:rPr>
      </w:pPr>
      <w:r w:rsidRPr="00002BA5">
        <w:rPr>
          <w:rFonts w:cstheme="minorHAnsi"/>
          <w:bCs/>
          <w:color w:val="000000" w:themeColor="text1"/>
          <w:u w:val="single"/>
        </w:rPr>
        <w:t>Cytokine detection via ELISA</w:t>
      </w:r>
    </w:p>
    <w:p w14:paraId="60305E8E" w14:textId="77777777" w:rsidR="00101EE5" w:rsidRPr="00002BA5" w:rsidRDefault="00194708">
      <w:pPr>
        <w:spacing w:after="0" w:line="480" w:lineRule="auto"/>
        <w:jc w:val="both"/>
        <w:rPr>
          <w:rFonts w:cstheme="minorHAnsi"/>
          <w:color w:val="000000" w:themeColor="text1"/>
        </w:rPr>
      </w:pPr>
      <w:r w:rsidRPr="00002BA5">
        <w:rPr>
          <w:rFonts w:cstheme="minorHAnsi"/>
          <w:color w:val="000000" w:themeColor="text1"/>
        </w:rPr>
        <w:t xml:space="preserve">Concentration of secreted Interferon-γ in assay supernatants or directly from culture was measured using Sandwich-ELISA technology. Nunc </w:t>
      </w:r>
      <w:proofErr w:type="spellStart"/>
      <w:r w:rsidRPr="00002BA5">
        <w:rPr>
          <w:rFonts w:cstheme="minorHAnsi"/>
          <w:color w:val="000000" w:themeColor="text1"/>
        </w:rPr>
        <w:t>MaxiSorp</w:t>
      </w:r>
      <w:proofErr w:type="spellEnd"/>
      <w:r w:rsidRPr="00002BA5">
        <w:rPr>
          <w:rFonts w:cstheme="minorHAnsi"/>
          <w:color w:val="000000" w:themeColor="text1"/>
        </w:rPr>
        <w:t xml:space="preserve">™ 96-well plates were coated with anti-human IFN-γ antibody, washed, blocked, and incubated with 50μl of assay supernatant at 4°C overnight. Samples were then discarded and biotin-conjugated anti-human IFN-γ (BD Biosciences Cat#554550, RRID: AB_395472) primary detection antibody and secondary Streptavidin-POD conjugate (Roche Cat#11089153001) incubated successively following 4 PBS-Tween (0,05%) washing steps between each step. Detection was performed with TMB substrate solution (Life technologies) incubated for 15-30 minutes in the dark and stopped with 500mM sulfuric acid. Assay ODs were measured using the </w:t>
      </w:r>
      <w:proofErr w:type="spellStart"/>
      <w:r w:rsidRPr="00002BA5">
        <w:rPr>
          <w:rFonts w:cstheme="minorHAnsi"/>
          <w:color w:val="000000" w:themeColor="text1"/>
        </w:rPr>
        <w:t>Multiscan</w:t>
      </w:r>
      <w:proofErr w:type="spellEnd"/>
      <w:r w:rsidRPr="00002BA5">
        <w:rPr>
          <w:rFonts w:cstheme="minorHAnsi"/>
          <w:color w:val="000000" w:themeColor="text1"/>
        </w:rPr>
        <w:t xml:space="preserve"> Go ELISA Reader (</w:t>
      </w:r>
      <w:proofErr w:type="spellStart"/>
      <w:r w:rsidRPr="00002BA5">
        <w:rPr>
          <w:rFonts w:cstheme="minorHAnsi"/>
          <w:color w:val="000000" w:themeColor="text1"/>
        </w:rPr>
        <w:t>ThermoFisher</w:t>
      </w:r>
      <w:proofErr w:type="spellEnd"/>
      <w:r w:rsidRPr="00002BA5">
        <w:rPr>
          <w:rFonts w:cstheme="minorHAnsi"/>
          <w:color w:val="000000" w:themeColor="text1"/>
        </w:rPr>
        <w:t xml:space="preserve">) and concentrations calculated from standard curves using </w:t>
      </w:r>
      <w:proofErr w:type="spellStart"/>
      <w:r w:rsidRPr="00002BA5">
        <w:rPr>
          <w:rFonts w:cstheme="minorHAnsi"/>
          <w:color w:val="000000" w:themeColor="text1"/>
        </w:rPr>
        <w:t>Imukin</w:t>
      </w:r>
      <w:proofErr w:type="spellEnd"/>
      <w:r w:rsidRPr="00002BA5">
        <w:rPr>
          <w:rFonts w:cstheme="minorHAnsi"/>
          <w:color w:val="000000" w:themeColor="text1"/>
        </w:rPr>
        <w:t xml:space="preserve"> (Boehringer Ingelheim Cat#72355-01) where applicable.</w:t>
      </w:r>
    </w:p>
    <w:p w14:paraId="3AA86493" w14:textId="77777777" w:rsidR="00101EE5" w:rsidRPr="00002BA5" w:rsidRDefault="00101EE5">
      <w:pPr>
        <w:spacing w:after="0" w:line="480" w:lineRule="auto"/>
        <w:jc w:val="both"/>
        <w:rPr>
          <w:rFonts w:cstheme="minorHAnsi"/>
          <w:color w:val="000000" w:themeColor="text1"/>
        </w:rPr>
      </w:pPr>
    </w:p>
    <w:p w14:paraId="69271FF6" w14:textId="77777777" w:rsidR="00101EE5" w:rsidRPr="00002BA5" w:rsidRDefault="00194708">
      <w:pPr>
        <w:spacing w:after="0" w:line="480" w:lineRule="auto"/>
        <w:jc w:val="both"/>
        <w:rPr>
          <w:rFonts w:cstheme="minorHAnsi"/>
          <w:bCs/>
          <w:color w:val="000000" w:themeColor="text1"/>
          <w:u w:val="single"/>
        </w:rPr>
      </w:pPr>
      <w:r w:rsidRPr="00002BA5">
        <w:rPr>
          <w:rFonts w:cstheme="minorHAnsi"/>
          <w:bCs/>
          <w:color w:val="000000" w:themeColor="text1"/>
          <w:u w:val="single"/>
        </w:rPr>
        <w:t>Detection of apoptosis in CAR cells</w:t>
      </w:r>
    </w:p>
    <w:p w14:paraId="1D0201ED" w14:textId="77777777" w:rsidR="00101EE5" w:rsidRPr="00002BA5" w:rsidRDefault="00194708">
      <w:pPr>
        <w:spacing w:after="0" w:line="480" w:lineRule="auto"/>
        <w:jc w:val="both"/>
        <w:rPr>
          <w:rFonts w:cstheme="minorHAnsi"/>
          <w:color w:val="000000" w:themeColor="text1"/>
        </w:rPr>
      </w:pPr>
      <w:r w:rsidRPr="00002BA5">
        <w:rPr>
          <w:rFonts w:cstheme="minorHAnsi"/>
          <w:color w:val="000000" w:themeColor="text1"/>
        </w:rPr>
        <w:t>To detect induction of apoptosis in CAR-T cells 48h after analysis of transduction efficiency, cells were stained with APC-conjugated Annexin V (</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640920) according to manufacturer’s protocol. Dead cell discrimination was performed by 7-AAD staining (BD </w:t>
      </w:r>
      <w:r w:rsidRPr="00002BA5">
        <w:rPr>
          <w:rFonts w:cstheme="minorHAnsi"/>
          <w:color w:val="000000" w:themeColor="text1"/>
        </w:rPr>
        <w:lastRenderedPageBreak/>
        <w:t>Pharmingen</w:t>
      </w:r>
      <w:r w:rsidRPr="00002BA5">
        <w:rPr>
          <w:rFonts w:eastAsia="Arial" w:cstheme="minorHAnsi"/>
          <w:color w:val="000000" w:themeColor="text1"/>
        </w:rPr>
        <w:t>™</w:t>
      </w:r>
      <w:r w:rsidRPr="00002BA5">
        <w:rPr>
          <w:rFonts w:cstheme="minorHAnsi"/>
          <w:color w:val="000000" w:themeColor="text1"/>
        </w:rPr>
        <w:t xml:space="preserve"> Cat# 559925) directly prior to analysis on a </w:t>
      </w:r>
      <w:r w:rsidRPr="00002BA5">
        <w:rPr>
          <w:rFonts w:cstheme="minorHAnsi"/>
        </w:rPr>
        <w:t xml:space="preserve">Beckman Coulter </w:t>
      </w:r>
      <w:proofErr w:type="spellStart"/>
      <w:r w:rsidRPr="00002BA5">
        <w:rPr>
          <w:rFonts w:cstheme="minorHAnsi"/>
        </w:rPr>
        <w:t>CytoFLEX</w:t>
      </w:r>
      <w:proofErr w:type="spellEnd"/>
      <w:r w:rsidRPr="00002BA5">
        <w:rPr>
          <w:rFonts w:cstheme="minorHAnsi"/>
        </w:rPr>
        <w:t xml:space="preserve"> S </w:t>
      </w:r>
      <w:r w:rsidRPr="00002BA5">
        <w:rPr>
          <w:rFonts w:cstheme="minorHAnsi"/>
          <w:color w:val="000000" w:themeColor="text1"/>
        </w:rPr>
        <w:t>flow cytometer.</w:t>
      </w:r>
    </w:p>
    <w:p w14:paraId="7110A79A" w14:textId="77777777" w:rsidR="00101EE5" w:rsidRPr="00002BA5" w:rsidRDefault="00101EE5">
      <w:pPr>
        <w:spacing w:after="0" w:line="480" w:lineRule="auto"/>
        <w:jc w:val="both"/>
        <w:rPr>
          <w:rFonts w:cstheme="minorHAnsi"/>
          <w:color w:val="000000" w:themeColor="text1"/>
        </w:rPr>
      </w:pPr>
    </w:p>
    <w:p w14:paraId="26FABC3A" w14:textId="77777777" w:rsidR="00101EE5" w:rsidRPr="00002BA5" w:rsidRDefault="00194708">
      <w:pPr>
        <w:spacing w:after="0" w:line="480" w:lineRule="auto"/>
        <w:jc w:val="both"/>
        <w:rPr>
          <w:rFonts w:cstheme="minorHAnsi"/>
          <w:color w:val="000000" w:themeColor="text1"/>
          <w:u w:val="single"/>
        </w:rPr>
      </w:pPr>
      <w:r w:rsidRPr="00002BA5">
        <w:rPr>
          <w:rFonts w:cstheme="minorHAnsi"/>
          <w:color w:val="000000" w:themeColor="text1"/>
          <w:u w:val="single"/>
        </w:rPr>
        <w:t>Magnetic cell sorting</w:t>
      </w:r>
    </w:p>
    <w:p w14:paraId="7C13CB84" w14:textId="77777777" w:rsidR="00101EE5" w:rsidRPr="00002BA5" w:rsidRDefault="00194708">
      <w:pPr>
        <w:spacing w:after="0" w:line="480" w:lineRule="auto"/>
        <w:jc w:val="both"/>
        <w:rPr>
          <w:rFonts w:cstheme="minorHAnsi"/>
          <w:color w:val="000000" w:themeColor="text1"/>
        </w:rPr>
      </w:pPr>
      <w:r w:rsidRPr="00002BA5">
        <w:rPr>
          <w:rFonts w:cstheme="minorHAnsi"/>
          <w:color w:val="000000" w:themeColor="text1"/>
        </w:rPr>
        <w:t>At the day of co-culturing with autologous CAR-T cells, CD14+ monocytes were isolated from frozen healthy donor PBMC via magnetic-activated cell sorting (MACS) according to manufacturer’s protocols (</w:t>
      </w:r>
      <w:proofErr w:type="spellStart"/>
      <w:r w:rsidRPr="00002BA5">
        <w:rPr>
          <w:rFonts w:cstheme="minorHAnsi"/>
          <w:color w:val="000000" w:themeColor="text1"/>
        </w:rPr>
        <w:t>Biolegend</w:t>
      </w:r>
      <w:proofErr w:type="spellEnd"/>
      <w:r w:rsidRPr="00002BA5">
        <w:rPr>
          <w:rFonts w:cstheme="minorHAnsi"/>
          <w:color w:val="000000" w:themeColor="text1"/>
        </w:rPr>
        <w:t xml:space="preserve">, </w:t>
      </w:r>
      <w:proofErr w:type="spellStart"/>
      <w:r w:rsidRPr="00002BA5">
        <w:rPr>
          <w:rFonts w:cstheme="minorHAnsi"/>
          <w:color w:val="000000" w:themeColor="text1"/>
        </w:rPr>
        <w:t>Miltenyi</w:t>
      </w:r>
      <w:proofErr w:type="spellEnd"/>
      <w:r w:rsidRPr="00002BA5">
        <w:rPr>
          <w:rFonts w:cstheme="minorHAnsi"/>
          <w:color w:val="000000" w:themeColor="text1"/>
        </w:rPr>
        <w:t xml:space="preserve"> </w:t>
      </w:r>
      <w:proofErr w:type="spellStart"/>
      <w:r w:rsidRPr="00002BA5">
        <w:rPr>
          <w:rFonts w:cstheme="minorHAnsi"/>
          <w:color w:val="000000" w:themeColor="text1"/>
        </w:rPr>
        <w:t>Biotec</w:t>
      </w:r>
      <w:proofErr w:type="spellEnd"/>
      <w:r w:rsidRPr="00002BA5">
        <w:rPr>
          <w:rFonts w:cstheme="minorHAnsi"/>
          <w:color w:val="000000" w:themeColor="text1"/>
        </w:rPr>
        <w:t>). PBMC were incubated with APC-conjugated mouse anti-human CD14 antibody (</w:t>
      </w:r>
      <w:proofErr w:type="spellStart"/>
      <w:r w:rsidRPr="00002BA5">
        <w:rPr>
          <w:rFonts w:cstheme="minorHAnsi"/>
          <w:color w:val="000000" w:themeColor="text1"/>
        </w:rPr>
        <w:t>Miltenyi</w:t>
      </w:r>
      <w:proofErr w:type="spellEnd"/>
      <w:r w:rsidRPr="00002BA5">
        <w:rPr>
          <w:rFonts w:cstheme="minorHAnsi"/>
          <w:color w:val="000000" w:themeColor="text1"/>
        </w:rPr>
        <w:t xml:space="preserve"> </w:t>
      </w:r>
      <w:proofErr w:type="spellStart"/>
      <w:r w:rsidRPr="00002BA5">
        <w:rPr>
          <w:rFonts w:cstheme="minorHAnsi"/>
          <w:color w:val="000000" w:themeColor="text1"/>
        </w:rPr>
        <w:t>Biotec</w:t>
      </w:r>
      <w:proofErr w:type="spellEnd"/>
      <w:r w:rsidRPr="00002BA5">
        <w:rPr>
          <w:rFonts w:cstheme="minorHAnsi"/>
          <w:color w:val="000000" w:themeColor="text1"/>
        </w:rPr>
        <w:t xml:space="preserve"> Cat# 130-110-520, RRID:AB_2655053) and subsequent binding of </w:t>
      </w:r>
      <w:proofErr w:type="spellStart"/>
      <w:r w:rsidRPr="00002BA5">
        <w:rPr>
          <w:rFonts w:cstheme="minorHAnsi"/>
          <w:color w:val="000000" w:themeColor="text1"/>
        </w:rPr>
        <w:t>MojoSort</w:t>
      </w:r>
      <w:proofErr w:type="spellEnd"/>
      <w:r w:rsidRPr="00002BA5">
        <w:rPr>
          <w:rFonts w:cstheme="minorHAnsi"/>
          <w:color w:val="000000" w:themeColor="text1"/>
        </w:rPr>
        <w:t>™ Mouse anti-APC Nanobeads (</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480071). Separation of CD14+ cells was done column-based with LS-columns (</w:t>
      </w:r>
      <w:proofErr w:type="spellStart"/>
      <w:r w:rsidRPr="00002BA5">
        <w:rPr>
          <w:rFonts w:cstheme="minorHAnsi"/>
          <w:color w:val="000000" w:themeColor="text1"/>
        </w:rPr>
        <w:t>Miltenyi</w:t>
      </w:r>
      <w:proofErr w:type="spellEnd"/>
      <w:r w:rsidRPr="00002BA5">
        <w:rPr>
          <w:rFonts w:cstheme="minorHAnsi"/>
          <w:color w:val="000000" w:themeColor="text1"/>
        </w:rPr>
        <w:t xml:space="preserve"> </w:t>
      </w:r>
      <w:proofErr w:type="spellStart"/>
      <w:r w:rsidRPr="00002BA5">
        <w:rPr>
          <w:rFonts w:cstheme="minorHAnsi"/>
          <w:color w:val="000000" w:themeColor="text1"/>
        </w:rPr>
        <w:t>Biotec</w:t>
      </w:r>
      <w:proofErr w:type="spellEnd"/>
      <w:r w:rsidRPr="00002BA5">
        <w:rPr>
          <w:rFonts w:cstheme="minorHAnsi"/>
          <w:color w:val="000000" w:themeColor="text1"/>
        </w:rPr>
        <w:t xml:space="preserve"> Cat# 130-042-401) on a </w:t>
      </w:r>
      <w:proofErr w:type="spellStart"/>
      <w:r w:rsidRPr="00002BA5">
        <w:rPr>
          <w:rFonts w:cstheme="minorHAnsi"/>
          <w:color w:val="000000" w:themeColor="text1"/>
        </w:rPr>
        <w:t>Miltenyi</w:t>
      </w:r>
      <w:proofErr w:type="spellEnd"/>
      <w:r w:rsidRPr="00002BA5">
        <w:rPr>
          <w:rFonts w:cstheme="minorHAnsi"/>
          <w:color w:val="000000" w:themeColor="text1"/>
        </w:rPr>
        <w:t xml:space="preserve"> </w:t>
      </w:r>
      <w:proofErr w:type="spellStart"/>
      <w:r w:rsidRPr="00002BA5">
        <w:rPr>
          <w:rFonts w:cstheme="minorHAnsi"/>
          <w:color w:val="000000" w:themeColor="text1"/>
        </w:rPr>
        <w:t>QuadroMACS</w:t>
      </w:r>
      <w:proofErr w:type="spellEnd"/>
      <w:r w:rsidRPr="00002BA5">
        <w:rPr>
          <w:rFonts w:cstheme="minorHAnsi"/>
          <w:color w:val="000000" w:themeColor="text1"/>
        </w:rPr>
        <w:t>™ Separator (</w:t>
      </w:r>
      <w:proofErr w:type="spellStart"/>
      <w:r w:rsidRPr="00002BA5">
        <w:rPr>
          <w:rFonts w:cstheme="minorHAnsi"/>
          <w:color w:val="000000" w:themeColor="text1"/>
        </w:rPr>
        <w:t>Miltenyi</w:t>
      </w:r>
      <w:proofErr w:type="spellEnd"/>
      <w:r w:rsidRPr="00002BA5">
        <w:rPr>
          <w:rFonts w:cstheme="minorHAnsi"/>
          <w:color w:val="000000" w:themeColor="text1"/>
        </w:rPr>
        <w:t xml:space="preserve"> </w:t>
      </w:r>
      <w:proofErr w:type="spellStart"/>
      <w:r w:rsidRPr="00002BA5">
        <w:rPr>
          <w:rFonts w:cstheme="minorHAnsi"/>
          <w:color w:val="000000" w:themeColor="text1"/>
        </w:rPr>
        <w:t>Biotec</w:t>
      </w:r>
      <w:proofErr w:type="spellEnd"/>
      <w:r w:rsidRPr="00002BA5">
        <w:rPr>
          <w:rFonts w:cstheme="minorHAnsi"/>
          <w:color w:val="000000" w:themeColor="text1"/>
        </w:rPr>
        <w:t xml:space="preserve">, Cat# 130-091-051). Both positive and negative fraction were then analyzed via FACS. With additional binding of </w:t>
      </w:r>
      <w:proofErr w:type="spellStart"/>
      <w:r w:rsidRPr="00002BA5">
        <w:rPr>
          <w:rFonts w:cstheme="minorHAnsi"/>
          <w:color w:val="000000" w:themeColor="text1"/>
        </w:rPr>
        <w:t>PerCP</w:t>
      </w:r>
      <w:proofErr w:type="spellEnd"/>
      <w:r w:rsidRPr="00002BA5">
        <w:rPr>
          <w:rFonts w:cstheme="minorHAnsi"/>
          <w:color w:val="000000" w:themeColor="text1"/>
        </w:rPr>
        <w:t>/Cy5.5-conjugated anti-human CD86-specific antibody (</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374215, RRID:AB_2734431) or the matching isotype control antibody (</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400149, RRID:AB_893680), both sorting efficacy and expression levels of CD86 were evaluated.</w:t>
      </w:r>
    </w:p>
    <w:p w14:paraId="1E738DFA" w14:textId="77777777" w:rsidR="00101EE5" w:rsidRPr="00002BA5" w:rsidRDefault="00101EE5">
      <w:pPr>
        <w:spacing w:after="0" w:line="480" w:lineRule="auto"/>
        <w:jc w:val="both"/>
        <w:rPr>
          <w:rFonts w:cstheme="minorHAnsi"/>
          <w:color w:val="000000" w:themeColor="text1"/>
        </w:rPr>
      </w:pPr>
    </w:p>
    <w:p w14:paraId="521A6F95" w14:textId="77777777" w:rsidR="00101EE5" w:rsidRPr="00002BA5" w:rsidRDefault="00194708">
      <w:pPr>
        <w:spacing w:after="0" w:line="480" w:lineRule="auto"/>
        <w:jc w:val="both"/>
        <w:rPr>
          <w:rFonts w:cstheme="minorHAnsi"/>
          <w:bCs/>
          <w:color w:val="000000" w:themeColor="text1"/>
          <w:u w:val="single"/>
        </w:rPr>
      </w:pPr>
      <w:r w:rsidRPr="00002BA5">
        <w:rPr>
          <w:rFonts w:cstheme="minorHAnsi"/>
          <w:bCs/>
          <w:color w:val="000000" w:themeColor="text1"/>
          <w:u w:val="single"/>
        </w:rPr>
        <w:t>In vitro cytotoxicity assays</w:t>
      </w:r>
    </w:p>
    <w:p w14:paraId="5B379712" w14:textId="2E81CE9F" w:rsidR="00101EE5" w:rsidRPr="00002BA5" w:rsidRDefault="00194708">
      <w:pPr>
        <w:spacing w:after="0" w:line="480" w:lineRule="auto"/>
        <w:jc w:val="both"/>
        <w:rPr>
          <w:rFonts w:cstheme="minorHAnsi"/>
          <w:color w:val="000000" w:themeColor="text1"/>
        </w:rPr>
      </w:pPr>
      <w:r w:rsidRPr="00002BA5">
        <w:rPr>
          <w:rFonts w:cstheme="minorHAnsi"/>
          <w:color w:val="000000" w:themeColor="text1"/>
        </w:rPr>
        <w:t xml:space="preserve">Target cells (tumor cell line or re-activated autologous PBMC) were stained with </w:t>
      </w:r>
      <w:proofErr w:type="spellStart"/>
      <w:r w:rsidRPr="00002BA5">
        <w:rPr>
          <w:rFonts w:cstheme="minorHAnsi"/>
          <w:color w:val="000000" w:themeColor="text1"/>
        </w:rPr>
        <w:t>CellTrace</w:t>
      </w:r>
      <w:proofErr w:type="spellEnd"/>
      <w:r w:rsidRPr="00002BA5">
        <w:rPr>
          <w:rFonts w:cstheme="minorHAnsi"/>
          <w:color w:val="000000" w:themeColor="text1"/>
        </w:rPr>
        <w:t xml:space="preserve">™ Violet Cell Proliferation Kit at 1:50000 according to manufacturer’s protocol (Invitrogen™/ </w:t>
      </w:r>
      <w:proofErr w:type="spellStart"/>
      <w:r w:rsidRPr="00002BA5">
        <w:rPr>
          <w:rFonts w:cstheme="minorHAnsi"/>
          <w:color w:val="000000" w:themeColor="text1"/>
        </w:rPr>
        <w:t>ThermoFisherScientifc</w:t>
      </w:r>
      <w:proofErr w:type="spellEnd"/>
      <w:r w:rsidRPr="00002BA5">
        <w:rPr>
          <w:rFonts w:cstheme="minorHAnsi"/>
          <w:color w:val="000000" w:themeColor="text1"/>
        </w:rPr>
        <w:t>) and subsequently co-cultured with CAR-T cells in 96well plates (U-bottom) with effector-target ratios of 1:1, 1:2 and 1:4</w:t>
      </w:r>
      <w:r w:rsidR="0018286B">
        <w:rPr>
          <w:rFonts w:cstheme="minorHAnsi"/>
          <w:color w:val="000000" w:themeColor="text1"/>
        </w:rPr>
        <w:t xml:space="preserve"> (autologous PBMC 5:1, 1:1, 0.2:1)</w:t>
      </w:r>
      <w:r w:rsidRPr="00002BA5">
        <w:rPr>
          <w:rFonts w:cstheme="minorHAnsi"/>
          <w:color w:val="000000" w:themeColor="text1"/>
        </w:rPr>
        <w:t xml:space="preserve"> for 24-48h at 37°C in a humidity-controlled environment. Co-culturing of primary CD14+ monocytic cells with CAR-T cells was done in a 1:1 ratio in 96U multi-well plates for 24h hours, with or without addition of 5µg mL</w:t>
      </w:r>
      <w:r w:rsidRPr="00002BA5">
        <w:rPr>
          <w:rFonts w:cstheme="minorHAnsi"/>
          <w:color w:val="000000" w:themeColor="text1"/>
          <w:vertAlign w:val="superscript"/>
        </w:rPr>
        <w:t>-1</w:t>
      </w:r>
      <w:r w:rsidRPr="00002BA5">
        <w:rPr>
          <w:rFonts w:cstheme="minorHAnsi"/>
          <w:color w:val="000000" w:themeColor="text1"/>
        </w:rPr>
        <w:t xml:space="preserve"> Ipilimumab. CD14+ target cells were identified as already APC-stained cell population from the positive fraction of magnetic cell sorting. Depletion of fluorescent target cells was investigated via flow cytometry using the Canto II platform (Becton Dickinson, Franklin Lakes, USA) or a </w:t>
      </w:r>
      <w:r w:rsidRPr="00002BA5">
        <w:rPr>
          <w:rFonts w:cstheme="minorHAnsi"/>
        </w:rPr>
        <w:t xml:space="preserve">Beckman Coulter </w:t>
      </w:r>
      <w:proofErr w:type="spellStart"/>
      <w:r w:rsidRPr="00002BA5">
        <w:rPr>
          <w:rFonts w:cstheme="minorHAnsi"/>
        </w:rPr>
        <w:t>CytoFLEX</w:t>
      </w:r>
      <w:proofErr w:type="spellEnd"/>
      <w:r w:rsidRPr="00002BA5">
        <w:rPr>
          <w:rFonts w:cstheme="minorHAnsi"/>
        </w:rPr>
        <w:t xml:space="preserve"> S </w:t>
      </w:r>
      <w:r w:rsidRPr="00002BA5">
        <w:rPr>
          <w:rFonts w:cstheme="minorHAnsi"/>
          <w:color w:val="000000" w:themeColor="text1"/>
        </w:rPr>
        <w:t>flow cytometer.</w:t>
      </w:r>
    </w:p>
    <w:p w14:paraId="7EAB759C" w14:textId="77777777" w:rsidR="00101EE5" w:rsidRPr="00002BA5" w:rsidRDefault="00101EE5">
      <w:pPr>
        <w:spacing w:after="0" w:line="480" w:lineRule="auto"/>
        <w:jc w:val="both"/>
        <w:rPr>
          <w:rFonts w:cstheme="minorHAnsi"/>
          <w:color w:val="000000" w:themeColor="text1"/>
        </w:rPr>
      </w:pPr>
    </w:p>
    <w:p w14:paraId="12CBED57" w14:textId="77777777" w:rsidR="00101EE5" w:rsidRPr="00002BA5" w:rsidRDefault="00194708">
      <w:pPr>
        <w:spacing w:after="0" w:line="480" w:lineRule="auto"/>
        <w:jc w:val="both"/>
        <w:rPr>
          <w:rFonts w:cstheme="minorHAnsi"/>
          <w:color w:val="000000" w:themeColor="text1"/>
          <w:u w:val="single"/>
        </w:rPr>
      </w:pPr>
      <w:r w:rsidRPr="00002BA5">
        <w:rPr>
          <w:rFonts w:cstheme="minorHAnsi"/>
          <w:color w:val="000000" w:themeColor="text1"/>
          <w:u w:val="single"/>
        </w:rPr>
        <w:t>CTLA4-CAR blocking assay</w:t>
      </w:r>
    </w:p>
    <w:p w14:paraId="345CEC43" w14:textId="77777777" w:rsidR="00101EE5" w:rsidRPr="00002BA5" w:rsidRDefault="00194708">
      <w:pPr>
        <w:spacing w:after="0" w:line="480" w:lineRule="auto"/>
        <w:jc w:val="both"/>
        <w:rPr>
          <w:rFonts w:cstheme="minorHAnsi"/>
          <w:color w:val="000000" w:themeColor="text1"/>
          <w:u w:val="single"/>
        </w:rPr>
      </w:pPr>
      <w:r w:rsidRPr="00002BA5">
        <w:rPr>
          <w:rFonts w:cstheme="minorHAnsi"/>
          <w:color w:val="000000" w:themeColor="text1"/>
        </w:rPr>
        <w:lastRenderedPageBreak/>
        <w:t>Human T cells from healthy donor PBMC were isolated and activated as described above. After the second spin infection and subsequent 6h incubation, viral supernatants were removed according to protocol and replaced by fresh medium, supplemented with 1000U IL-2 mL</w:t>
      </w:r>
      <w:r w:rsidRPr="00002BA5">
        <w:rPr>
          <w:rFonts w:cstheme="minorHAnsi"/>
          <w:color w:val="000000" w:themeColor="text1"/>
          <w:vertAlign w:val="superscript"/>
        </w:rPr>
        <w:t>-1</w:t>
      </w:r>
      <w:r w:rsidRPr="00002BA5">
        <w:rPr>
          <w:rFonts w:cstheme="minorHAnsi"/>
          <w:color w:val="000000" w:themeColor="text1"/>
        </w:rPr>
        <w:t xml:space="preserve"> and </w:t>
      </w:r>
      <w:r w:rsidRPr="00002BA5">
        <w:rPr>
          <w:rFonts w:cstheme="minorHAnsi"/>
        </w:rPr>
        <w:t>20</w:t>
      </w:r>
      <w:r w:rsidRPr="00002BA5">
        <w:rPr>
          <w:rFonts w:cstheme="minorHAnsi"/>
          <w:color w:val="000000" w:themeColor="text1"/>
        </w:rPr>
        <w:t xml:space="preserve"> µg mL-1 anti-CTLA-4 antibody Ipilimumab (YERVOY®, Bristol Myers Squibb) and incubated for another 72h. Incubation without Ipilimumab served as control. Expression of CAR and CD86 as well as apoptosis were detected via flow cytometry as described above.</w:t>
      </w:r>
    </w:p>
    <w:p w14:paraId="6BE08F05" w14:textId="77777777" w:rsidR="00101EE5" w:rsidRPr="00002BA5" w:rsidRDefault="00101EE5">
      <w:pPr>
        <w:spacing w:after="0" w:line="480" w:lineRule="auto"/>
        <w:jc w:val="both"/>
        <w:rPr>
          <w:rFonts w:cstheme="minorHAnsi"/>
          <w:color w:val="000000" w:themeColor="text1"/>
        </w:rPr>
      </w:pPr>
    </w:p>
    <w:p w14:paraId="20DB9400" w14:textId="77777777" w:rsidR="00101EE5" w:rsidRPr="00002BA5" w:rsidRDefault="00194708">
      <w:pPr>
        <w:spacing w:after="0" w:line="480" w:lineRule="auto"/>
        <w:jc w:val="both"/>
        <w:rPr>
          <w:rFonts w:cstheme="minorHAnsi"/>
          <w:bCs/>
          <w:color w:val="000000" w:themeColor="text1"/>
          <w:u w:val="single"/>
        </w:rPr>
      </w:pPr>
      <w:r w:rsidRPr="00002BA5">
        <w:rPr>
          <w:rFonts w:cstheme="minorHAnsi"/>
          <w:bCs/>
          <w:color w:val="000000" w:themeColor="text1"/>
          <w:u w:val="single"/>
        </w:rPr>
        <w:t>Gene expression analysis</w:t>
      </w:r>
    </w:p>
    <w:p w14:paraId="4352EFAC" w14:textId="062E5C68" w:rsidR="00E33990" w:rsidRPr="00A13951" w:rsidRDefault="00E33990" w:rsidP="00E33990">
      <w:pPr>
        <w:spacing w:after="0" w:line="480" w:lineRule="auto"/>
        <w:jc w:val="both"/>
        <w:rPr>
          <w:rFonts w:ascii="Arial" w:eastAsia="Calibri" w:hAnsi="Arial" w:cs="Arial"/>
        </w:rPr>
      </w:pPr>
      <w:r w:rsidRPr="00A13951">
        <w:rPr>
          <w:rFonts w:ascii="Arial" w:eastAsia="Arial" w:hAnsi="Arial" w:cs="Arial"/>
        </w:rPr>
        <w:t xml:space="preserve">Total RNA was extracted from </w:t>
      </w:r>
      <w:r w:rsidR="00D37AF1">
        <w:rPr>
          <w:rFonts w:ascii="Arial" w:eastAsia="Arial" w:hAnsi="Arial" w:cs="Arial"/>
        </w:rPr>
        <w:t>5e6</w:t>
      </w:r>
      <w:r w:rsidRPr="00A13951">
        <w:rPr>
          <w:rFonts w:ascii="Arial" w:eastAsia="Arial" w:hAnsi="Arial" w:cs="Arial"/>
        </w:rPr>
        <w:t xml:space="preserve"> bulk monocultured T cells (expressing the indicated CAR constructs or </w:t>
      </w:r>
      <w:proofErr w:type="spellStart"/>
      <w:r w:rsidRPr="00A13951">
        <w:rPr>
          <w:rFonts w:ascii="Arial" w:eastAsia="Arial" w:hAnsi="Arial" w:cs="Arial"/>
        </w:rPr>
        <w:t>untransduced</w:t>
      </w:r>
      <w:proofErr w:type="spellEnd"/>
      <w:r w:rsidRPr="00A13951">
        <w:rPr>
          <w:rFonts w:ascii="Arial" w:eastAsia="Arial" w:hAnsi="Arial" w:cs="Arial"/>
        </w:rPr>
        <w:t xml:space="preserve"> controls) 54 hours after transduction analysis using the RNeasy Mini Kit (Qiagen). RNA concentration and purity were quantified using a </w:t>
      </w:r>
      <w:proofErr w:type="spellStart"/>
      <w:r w:rsidRPr="00A13951">
        <w:rPr>
          <w:rFonts w:ascii="Arial" w:eastAsia="Arial" w:hAnsi="Arial" w:cs="Arial"/>
        </w:rPr>
        <w:t>NanoPhotometer</w:t>
      </w:r>
      <w:proofErr w:type="spellEnd"/>
      <w:r w:rsidRPr="00A13951">
        <w:rPr>
          <w:rFonts w:ascii="Arial" w:eastAsia="Arial" w:hAnsi="Arial" w:cs="Arial"/>
        </w:rPr>
        <w:t xml:space="preserve"> NP80 (</w:t>
      </w:r>
      <w:proofErr w:type="spellStart"/>
      <w:r w:rsidRPr="00A13951">
        <w:rPr>
          <w:rFonts w:ascii="Arial" w:eastAsia="Arial" w:hAnsi="Arial" w:cs="Arial"/>
        </w:rPr>
        <w:t>Implen</w:t>
      </w:r>
      <w:proofErr w:type="spellEnd"/>
      <w:r w:rsidRPr="00A13951">
        <w:rPr>
          <w:rFonts w:ascii="Arial" w:eastAsia="Arial" w:hAnsi="Arial" w:cs="Arial"/>
        </w:rPr>
        <w:t xml:space="preserve">). Poly-A enriched mRNA libraries were prepared and paired-end sequencing (2 x 100 bp) was performed at the Cologne Center for Genomics (CCG, University of Cologne) on the Illumina </w:t>
      </w:r>
      <w:proofErr w:type="spellStart"/>
      <w:r w:rsidRPr="00A13951">
        <w:rPr>
          <w:rFonts w:ascii="Arial" w:eastAsia="Arial" w:hAnsi="Arial" w:cs="Arial"/>
        </w:rPr>
        <w:t>NovaSeq</w:t>
      </w:r>
      <w:proofErr w:type="spellEnd"/>
      <w:r w:rsidRPr="00A13951">
        <w:rPr>
          <w:rFonts w:ascii="Arial" w:eastAsia="Arial" w:hAnsi="Arial" w:cs="Arial"/>
        </w:rPr>
        <w:t xml:space="preserve"> X Plus platform. Transcript abundances were quantified directly from raw FASTQ files via pseudoalignment using Salmon (v1.11.4) against the human GRCh38 transcriptome index (</w:t>
      </w:r>
      <w:proofErr w:type="spellStart"/>
      <w:r w:rsidRPr="00A13951">
        <w:rPr>
          <w:rFonts w:ascii="Arial" w:eastAsia="Arial" w:hAnsi="Arial" w:cs="Arial"/>
        </w:rPr>
        <w:t>Ensembl</w:t>
      </w:r>
      <w:proofErr w:type="spellEnd"/>
      <w:r w:rsidRPr="00A13951">
        <w:rPr>
          <w:rFonts w:ascii="Arial" w:eastAsia="Arial" w:hAnsi="Arial" w:cs="Arial"/>
        </w:rPr>
        <w:t xml:space="preserve"> release 116). Downstream analysis and visualization were performed in R (v4.6.0). Transcript-level estimates were imported and aggregated to the gene-level using the </w:t>
      </w:r>
      <w:proofErr w:type="spellStart"/>
      <w:r w:rsidRPr="00A13951">
        <w:rPr>
          <w:rFonts w:ascii="Arial" w:eastAsia="Arial" w:hAnsi="Arial" w:cs="Arial"/>
        </w:rPr>
        <w:t>tximport</w:t>
      </w:r>
      <w:proofErr w:type="spellEnd"/>
      <w:r w:rsidRPr="00A13951">
        <w:rPr>
          <w:rFonts w:ascii="Arial" w:eastAsia="Arial" w:hAnsi="Arial" w:cs="Arial"/>
        </w:rPr>
        <w:t xml:space="preserve"> package, and differential expression analysis was performed using DESeq2. Gene Set Enrichment Analysis (GSEA) was conducted using the </w:t>
      </w:r>
      <w:proofErr w:type="spellStart"/>
      <w:r w:rsidRPr="00A13951">
        <w:rPr>
          <w:rFonts w:ascii="Arial" w:eastAsia="Arial" w:hAnsi="Arial" w:cs="Arial"/>
        </w:rPr>
        <w:t>clusterProfiler</w:t>
      </w:r>
      <w:proofErr w:type="spellEnd"/>
      <w:r w:rsidRPr="00A13951">
        <w:rPr>
          <w:rFonts w:ascii="Arial" w:eastAsia="Arial" w:hAnsi="Arial" w:cs="Arial"/>
        </w:rPr>
        <w:t xml:space="preserve"> and </w:t>
      </w:r>
      <w:proofErr w:type="spellStart"/>
      <w:r w:rsidRPr="00A13951">
        <w:rPr>
          <w:rFonts w:ascii="Arial" w:eastAsia="Arial" w:hAnsi="Arial" w:cs="Arial"/>
        </w:rPr>
        <w:t>msigdbr</w:t>
      </w:r>
      <w:proofErr w:type="spellEnd"/>
      <w:r w:rsidRPr="00A13951">
        <w:rPr>
          <w:rFonts w:ascii="Arial" w:eastAsia="Arial" w:hAnsi="Arial" w:cs="Arial"/>
        </w:rPr>
        <w:t xml:space="preserve"> packages against the </w:t>
      </w:r>
      <w:proofErr w:type="spellStart"/>
      <w:r w:rsidRPr="00A13951">
        <w:rPr>
          <w:rFonts w:ascii="Arial" w:eastAsia="Arial" w:hAnsi="Arial" w:cs="Arial"/>
        </w:rPr>
        <w:t>MSigDB</w:t>
      </w:r>
      <w:proofErr w:type="spellEnd"/>
      <w:r w:rsidRPr="00A13951">
        <w:rPr>
          <w:rFonts w:ascii="Arial" w:eastAsia="Arial" w:hAnsi="Arial" w:cs="Arial"/>
        </w:rPr>
        <w:t xml:space="preserve"> Hallmark gene set collection. Data visualization was performed using ggplot2, </w:t>
      </w:r>
      <w:proofErr w:type="spellStart"/>
      <w:r w:rsidRPr="00A13951">
        <w:rPr>
          <w:rFonts w:ascii="Arial" w:eastAsia="Arial" w:hAnsi="Arial" w:cs="Arial"/>
        </w:rPr>
        <w:t>enrichplot</w:t>
      </w:r>
      <w:proofErr w:type="spellEnd"/>
      <w:r w:rsidRPr="00A13951">
        <w:rPr>
          <w:rFonts w:ascii="Arial" w:eastAsia="Arial" w:hAnsi="Arial" w:cs="Arial"/>
        </w:rPr>
        <w:t xml:space="preserve">, </w:t>
      </w:r>
      <w:proofErr w:type="spellStart"/>
      <w:r w:rsidRPr="00A13951">
        <w:rPr>
          <w:rFonts w:ascii="Arial" w:eastAsia="Arial" w:hAnsi="Arial" w:cs="Arial"/>
        </w:rPr>
        <w:t>ggtext</w:t>
      </w:r>
      <w:proofErr w:type="spellEnd"/>
      <w:r w:rsidRPr="00A13951">
        <w:rPr>
          <w:rFonts w:ascii="Arial" w:eastAsia="Arial" w:hAnsi="Arial" w:cs="Arial"/>
        </w:rPr>
        <w:t xml:space="preserve"> and patchwork.</w:t>
      </w:r>
    </w:p>
    <w:p w14:paraId="295D6DF0" w14:textId="77777777" w:rsidR="00101EE5" w:rsidRPr="00002BA5" w:rsidRDefault="00101EE5">
      <w:pPr>
        <w:spacing w:after="0" w:line="480" w:lineRule="auto"/>
        <w:jc w:val="both"/>
        <w:rPr>
          <w:rFonts w:cstheme="minorHAnsi"/>
          <w:color w:val="000000" w:themeColor="text1"/>
        </w:rPr>
      </w:pPr>
    </w:p>
    <w:p w14:paraId="004F58A6" w14:textId="77777777" w:rsidR="00101EE5" w:rsidRPr="00002BA5" w:rsidRDefault="00194708">
      <w:pPr>
        <w:spacing w:after="0" w:line="480" w:lineRule="auto"/>
        <w:rPr>
          <w:rFonts w:cstheme="minorHAnsi"/>
          <w:bCs/>
          <w:color w:val="000000" w:themeColor="text1"/>
          <w:u w:val="single"/>
        </w:rPr>
      </w:pPr>
      <w:r w:rsidRPr="00002BA5">
        <w:rPr>
          <w:rFonts w:cstheme="minorHAnsi"/>
          <w:bCs/>
          <w:i/>
          <w:iCs/>
          <w:color w:val="000000" w:themeColor="text1"/>
          <w:u w:val="single"/>
        </w:rPr>
        <w:t>In vivo</w:t>
      </w:r>
      <w:r w:rsidRPr="00002BA5">
        <w:rPr>
          <w:rFonts w:cstheme="minorHAnsi"/>
          <w:bCs/>
          <w:color w:val="000000" w:themeColor="text1"/>
          <w:u w:val="single"/>
        </w:rPr>
        <w:t xml:space="preserve"> xenograft mouse model</w:t>
      </w:r>
    </w:p>
    <w:p w14:paraId="7F087E37" w14:textId="7876B70C" w:rsidR="00101EE5" w:rsidRPr="00002BA5" w:rsidRDefault="00B97A76">
      <w:pPr>
        <w:spacing w:after="0" w:line="480" w:lineRule="auto"/>
        <w:jc w:val="both"/>
        <w:rPr>
          <w:rFonts w:cstheme="minorHAnsi"/>
          <w:color w:val="000000" w:themeColor="text1"/>
        </w:rPr>
      </w:pPr>
      <w:r w:rsidRPr="00B97A76">
        <w:rPr>
          <w:rFonts w:cstheme="minorHAnsi"/>
        </w:rPr>
        <w:t xml:space="preserve">For the xenograft mouse trial studying </w:t>
      </w:r>
      <w:r>
        <w:rPr>
          <w:rFonts w:cstheme="minorHAnsi"/>
        </w:rPr>
        <w:t>19-BBz and 19-z/CTLA4-BB CAR</w:t>
      </w:r>
      <w:r w:rsidRPr="00B97A76">
        <w:rPr>
          <w:rFonts w:cstheme="minorHAnsi"/>
        </w:rPr>
        <w:t xml:space="preserve"> T cells, 26 adult treatment-naïve Rag2tm1.1Flv Il2rgtm1.1Flv (Rag2- </w:t>
      </w:r>
      <w:proofErr w:type="spellStart"/>
      <w:r w:rsidRPr="00B97A76">
        <w:rPr>
          <w:rFonts w:cstheme="minorHAnsi"/>
        </w:rPr>
        <w:t>γc</w:t>
      </w:r>
      <w:proofErr w:type="spellEnd"/>
      <w:r w:rsidRPr="00B97A76">
        <w:rPr>
          <w:rFonts w:cstheme="minorHAnsi"/>
        </w:rPr>
        <w:t>-; RRID: IMSR_JAX:014593) mice were each intravenously injected with 5</w:t>
      </w:r>
      <w:r w:rsidR="00D37AF1">
        <w:rPr>
          <w:rFonts w:cstheme="minorHAnsi"/>
        </w:rPr>
        <w:t>e5</w:t>
      </w:r>
      <w:r w:rsidRPr="00B97A76">
        <w:rPr>
          <w:rFonts w:cstheme="minorHAnsi"/>
        </w:rPr>
        <w:t xml:space="preserve"> Raji-</w:t>
      </w:r>
      <w:proofErr w:type="spellStart"/>
      <w:r w:rsidRPr="00B97A76">
        <w:rPr>
          <w:rFonts w:cstheme="minorHAnsi"/>
        </w:rPr>
        <w:t>fLuc</w:t>
      </w:r>
      <w:proofErr w:type="spellEnd"/>
      <w:r w:rsidRPr="00B97A76">
        <w:rPr>
          <w:rFonts w:cstheme="minorHAnsi"/>
        </w:rPr>
        <w:t xml:space="preserve"> cells on day 0. After confirming tumor engraftment and measuring tumor load, mice were randomly split into groups to receive 8.5</w:t>
      </w:r>
      <w:r w:rsidR="00D37AF1">
        <w:rPr>
          <w:rFonts w:cstheme="minorHAnsi"/>
        </w:rPr>
        <w:t>e6</w:t>
      </w:r>
      <w:r w:rsidRPr="00B97A76">
        <w:rPr>
          <w:rFonts w:cstheme="minorHAnsi"/>
        </w:rPr>
        <w:t xml:space="preserve"> CAR T cells each on day 4 (10 mice per treatment group, 6 mice treated with 2.5</w:t>
      </w:r>
      <w:r w:rsidR="00D37AF1">
        <w:rPr>
          <w:rFonts w:cstheme="minorHAnsi"/>
        </w:rPr>
        <w:t>e7</w:t>
      </w:r>
      <w:r w:rsidRPr="00B97A76">
        <w:rPr>
          <w:rFonts w:cstheme="minorHAnsi"/>
        </w:rPr>
        <w:t xml:space="preserve"> </w:t>
      </w:r>
      <w:proofErr w:type="spellStart"/>
      <w:r w:rsidRPr="00B97A76">
        <w:rPr>
          <w:rFonts w:cstheme="minorHAnsi"/>
        </w:rPr>
        <w:t>untransduced</w:t>
      </w:r>
      <w:proofErr w:type="spellEnd"/>
      <w:r w:rsidRPr="00B97A76">
        <w:rPr>
          <w:rFonts w:cstheme="minorHAnsi"/>
        </w:rPr>
        <w:t xml:space="preserve"> donor T cells). </w:t>
      </w:r>
      <w:r w:rsidR="00194708" w:rsidRPr="00002BA5">
        <w:rPr>
          <w:rFonts w:cstheme="minorHAnsi"/>
        </w:rPr>
        <w:t>For the dual</w:t>
      </w:r>
      <w:r w:rsidR="00047AB5">
        <w:rPr>
          <w:rFonts w:cstheme="minorHAnsi"/>
        </w:rPr>
        <w:t>-</w:t>
      </w:r>
      <w:r>
        <w:rPr>
          <w:rFonts w:cstheme="minorHAnsi"/>
        </w:rPr>
        <w:t xml:space="preserve">chain </w:t>
      </w:r>
      <w:r w:rsidR="00194708" w:rsidRPr="00002BA5">
        <w:rPr>
          <w:rFonts w:cstheme="minorHAnsi"/>
        </w:rPr>
        <w:t xml:space="preserve">CAR comparison xenograft mouse trial, a total of 17 treatment-naïve </w:t>
      </w:r>
      <w:r w:rsidR="00194708" w:rsidRPr="00002BA5">
        <w:rPr>
          <w:rFonts w:cstheme="minorHAnsi"/>
        </w:rPr>
        <w:lastRenderedPageBreak/>
        <w:t>adult Rag2</w:t>
      </w:r>
      <w:r w:rsidR="00194708" w:rsidRPr="00002BA5">
        <w:rPr>
          <w:rFonts w:cstheme="minorHAnsi"/>
          <w:vertAlign w:val="superscript"/>
        </w:rPr>
        <w:t>tm1.1Flv</w:t>
      </w:r>
      <w:r w:rsidR="00194708" w:rsidRPr="00002BA5">
        <w:rPr>
          <w:rFonts w:cstheme="minorHAnsi"/>
        </w:rPr>
        <w:t xml:space="preserve"> Il2rg</w:t>
      </w:r>
      <w:r w:rsidR="00194708" w:rsidRPr="00002BA5">
        <w:rPr>
          <w:rFonts w:cstheme="minorHAnsi"/>
          <w:vertAlign w:val="superscript"/>
        </w:rPr>
        <w:t>tm1.1Flv</w:t>
      </w:r>
      <w:r w:rsidR="00194708" w:rsidRPr="00002BA5">
        <w:rPr>
          <w:rFonts w:cstheme="minorHAnsi"/>
        </w:rPr>
        <w:t xml:space="preserve"> (Rag2</w:t>
      </w:r>
      <w:r w:rsidR="00194708" w:rsidRPr="00002BA5">
        <w:rPr>
          <w:rFonts w:cstheme="minorHAnsi"/>
          <w:vertAlign w:val="superscript"/>
        </w:rPr>
        <w:t>-</w:t>
      </w:r>
      <w:r w:rsidR="00194708" w:rsidRPr="00002BA5">
        <w:rPr>
          <w:rFonts w:cstheme="minorHAnsi"/>
        </w:rPr>
        <w:t xml:space="preserve"> </w:t>
      </w:r>
      <w:proofErr w:type="spellStart"/>
      <w:r w:rsidR="00194708" w:rsidRPr="00002BA5">
        <w:rPr>
          <w:rFonts w:cstheme="minorHAnsi"/>
        </w:rPr>
        <w:t>γc</w:t>
      </w:r>
      <w:proofErr w:type="spellEnd"/>
      <w:r w:rsidR="00194708" w:rsidRPr="00002BA5">
        <w:rPr>
          <w:rFonts w:cstheme="minorHAnsi"/>
          <w:vertAlign w:val="superscript"/>
        </w:rPr>
        <w:t>-</w:t>
      </w:r>
      <w:r w:rsidR="00194708" w:rsidRPr="00002BA5">
        <w:rPr>
          <w:rFonts w:cstheme="minorHAnsi"/>
        </w:rPr>
        <w:t xml:space="preserve">; RRID: IMSR_JAX:014593) mice between the ages of 24 and 44 weeks (8 female, 9 male) were intravenously injected with Raji </w:t>
      </w:r>
      <w:proofErr w:type="spellStart"/>
      <w:r w:rsidR="00194708" w:rsidRPr="00002BA5">
        <w:rPr>
          <w:rFonts w:cstheme="minorHAnsi"/>
        </w:rPr>
        <w:t>fLuc</w:t>
      </w:r>
      <w:proofErr w:type="spellEnd"/>
      <w:r w:rsidR="00194708" w:rsidRPr="00002BA5">
        <w:rPr>
          <w:rFonts w:cstheme="minorHAnsi"/>
          <w:vertAlign w:val="superscript"/>
        </w:rPr>
        <w:t>+</w:t>
      </w:r>
      <w:r w:rsidR="00194708" w:rsidRPr="00002BA5">
        <w:rPr>
          <w:rFonts w:cstheme="minorHAnsi"/>
        </w:rPr>
        <w:t xml:space="preserve"> cells (2e5 cells per mouse) on day -4. Tumor engraftment was evaluated on day -1 and mice with visual tumors were randomly split into two groups (n=7) to receive 2e6</w:t>
      </w:r>
      <w:r w:rsidR="00194708" w:rsidRPr="00002BA5">
        <w:rPr>
          <w:rFonts w:cstheme="minorHAnsi"/>
          <w:vertAlign w:val="superscript"/>
        </w:rPr>
        <w:t xml:space="preserve"> </w:t>
      </w:r>
      <w:r w:rsidR="00194708" w:rsidRPr="00002BA5">
        <w:rPr>
          <w:rFonts w:cstheme="minorHAnsi"/>
        </w:rPr>
        <w:t xml:space="preserve">CAR-T cells via tail vein injection on day 0. </w:t>
      </w:r>
      <w:r>
        <w:rPr>
          <w:rFonts w:cstheme="minorHAnsi"/>
        </w:rPr>
        <w:t>For both studies, t</w:t>
      </w:r>
      <w:r w:rsidR="00194708" w:rsidRPr="00002BA5">
        <w:rPr>
          <w:rFonts w:cstheme="minorHAnsi"/>
        </w:rPr>
        <w:t>umor luminescence was measured in anaesthetized mice in an IVIS 200 device (PerkinElmer, Waltham, Massachusetts, USA), using intraperitoneal injection of 100µl of a 15mG mL</w:t>
      </w:r>
      <w:r w:rsidR="00194708" w:rsidRPr="00002BA5">
        <w:rPr>
          <w:rFonts w:cstheme="minorHAnsi"/>
          <w:vertAlign w:val="superscript"/>
        </w:rPr>
        <w:t>-1</w:t>
      </w:r>
      <w:r w:rsidR="00194708" w:rsidRPr="00002BA5">
        <w:rPr>
          <w:rFonts w:cstheme="minorHAnsi"/>
        </w:rPr>
        <w:t xml:space="preserve"> D-Luciferin sodium solution (Gold Biotechnology, Cat#LUCK-1G). </w:t>
      </w:r>
      <w:r>
        <w:rPr>
          <w:rFonts w:cstheme="minorHAnsi"/>
        </w:rPr>
        <w:t xml:space="preserve">For the persistence xenograft study, </w:t>
      </w:r>
      <w:r w:rsidRPr="00002BA5">
        <w:rPr>
          <w:rFonts w:cstheme="minorHAnsi"/>
        </w:rPr>
        <w:t>a total of 1</w:t>
      </w:r>
      <w:r>
        <w:rPr>
          <w:rFonts w:cstheme="minorHAnsi"/>
        </w:rPr>
        <w:t>4</w:t>
      </w:r>
      <w:r w:rsidRPr="00002BA5">
        <w:rPr>
          <w:rFonts w:cstheme="minorHAnsi"/>
        </w:rPr>
        <w:t xml:space="preserve"> treatment-naïve adult Rag2</w:t>
      </w:r>
      <w:r w:rsidRPr="00002BA5">
        <w:rPr>
          <w:rFonts w:cstheme="minorHAnsi"/>
          <w:vertAlign w:val="superscript"/>
        </w:rPr>
        <w:t>tm1.1Flv</w:t>
      </w:r>
      <w:r w:rsidRPr="00002BA5">
        <w:rPr>
          <w:rFonts w:cstheme="minorHAnsi"/>
        </w:rPr>
        <w:t xml:space="preserve"> Il2rg</w:t>
      </w:r>
      <w:r w:rsidRPr="00002BA5">
        <w:rPr>
          <w:rFonts w:cstheme="minorHAnsi"/>
          <w:vertAlign w:val="superscript"/>
        </w:rPr>
        <w:t>tm1.1Flv</w:t>
      </w:r>
      <w:r w:rsidRPr="00002BA5">
        <w:rPr>
          <w:rFonts w:cstheme="minorHAnsi"/>
        </w:rPr>
        <w:t xml:space="preserve"> (Rag2</w:t>
      </w:r>
      <w:r w:rsidRPr="00002BA5">
        <w:rPr>
          <w:rFonts w:cstheme="minorHAnsi"/>
          <w:vertAlign w:val="superscript"/>
        </w:rPr>
        <w:t>-</w:t>
      </w:r>
      <w:r w:rsidRPr="00002BA5">
        <w:rPr>
          <w:rFonts w:cstheme="minorHAnsi"/>
        </w:rPr>
        <w:t xml:space="preserve"> </w:t>
      </w:r>
      <w:proofErr w:type="spellStart"/>
      <w:r w:rsidRPr="00002BA5">
        <w:rPr>
          <w:rFonts w:cstheme="minorHAnsi"/>
        </w:rPr>
        <w:t>γc</w:t>
      </w:r>
      <w:proofErr w:type="spellEnd"/>
      <w:r w:rsidRPr="00002BA5">
        <w:rPr>
          <w:rFonts w:cstheme="minorHAnsi"/>
          <w:vertAlign w:val="superscript"/>
        </w:rPr>
        <w:t>-</w:t>
      </w:r>
      <w:r w:rsidRPr="00002BA5">
        <w:rPr>
          <w:rFonts w:cstheme="minorHAnsi"/>
        </w:rPr>
        <w:t xml:space="preserve">; RRID: IMSR_JAX:014593) </w:t>
      </w:r>
      <w:r>
        <w:rPr>
          <w:rFonts w:cstheme="minorHAnsi"/>
        </w:rPr>
        <w:t xml:space="preserve">male </w:t>
      </w:r>
      <w:r w:rsidRPr="00002BA5">
        <w:rPr>
          <w:rFonts w:cstheme="minorHAnsi"/>
        </w:rPr>
        <w:t>mice between the ages of 2</w:t>
      </w:r>
      <w:r>
        <w:rPr>
          <w:rFonts w:cstheme="minorHAnsi"/>
        </w:rPr>
        <w:t>0</w:t>
      </w:r>
      <w:r w:rsidRPr="00002BA5">
        <w:rPr>
          <w:rFonts w:cstheme="minorHAnsi"/>
        </w:rPr>
        <w:t xml:space="preserve"> and </w:t>
      </w:r>
      <w:r>
        <w:rPr>
          <w:rFonts w:cstheme="minorHAnsi"/>
        </w:rPr>
        <w:t>50</w:t>
      </w:r>
      <w:r w:rsidRPr="00002BA5">
        <w:rPr>
          <w:rFonts w:cstheme="minorHAnsi"/>
        </w:rPr>
        <w:t xml:space="preserve"> weeks were intravenously injected with Raji </w:t>
      </w:r>
      <w:proofErr w:type="spellStart"/>
      <w:r w:rsidRPr="00002BA5">
        <w:rPr>
          <w:rFonts w:cstheme="minorHAnsi"/>
        </w:rPr>
        <w:t>fLuc</w:t>
      </w:r>
      <w:proofErr w:type="spellEnd"/>
      <w:r w:rsidRPr="00002BA5">
        <w:rPr>
          <w:rFonts w:cstheme="minorHAnsi"/>
          <w:vertAlign w:val="superscript"/>
        </w:rPr>
        <w:t>+</w:t>
      </w:r>
      <w:r w:rsidRPr="00002BA5">
        <w:rPr>
          <w:rFonts w:cstheme="minorHAnsi"/>
        </w:rPr>
        <w:t xml:space="preserve"> cells (</w:t>
      </w:r>
      <w:r>
        <w:rPr>
          <w:rFonts w:cstheme="minorHAnsi"/>
        </w:rPr>
        <w:t>5</w:t>
      </w:r>
      <w:r w:rsidRPr="00002BA5">
        <w:rPr>
          <w:rFonts w:cstheme="minorHAnsi"/>
        </w:rPr>
        <w:t>e5 cells per mouse) on day -</w:t>
      </w:r>
      <w:r>
        <w:rPr>
          <w:rFonts w:cstheme="minorHAnsi"/>
        </w:rPr>
        <w:t xml:space="preserve">5. </w:t>
      </w:r>
      <w:r w:rsidRPr="00002BA5">
        <w:rPr>
          <w:rFonts w:cstheme="minorHAnsi"/>
        </w:rPr>
        <w:t xml:space="preserve">Tumor engraftment was evaluated on day -1 and mice with visual tumors were randomly split into </w:t>
      </w:r>
      <w:r w:rsidR="00B724CC">
        <w:rPr>
          <w:rFonts w:cstheme="minorHAnsi"/>
        </w:rPr>
        <w:t>four</w:t>
      </w:r>
      <w:r w:rsidRPr="00002BA5">
        <w:rPr>
          <w:rFonts w:cstheme="minorHAnsi"/>
        </w:rPr>
        <w:t xml:space="preserve"> groups </w:t>
      </w:r>
      <w:r w:rsidR="00B724CC">
        <w:rPr>
          <w:rFonts w:cstheme="minorHAnsi"/>
        </w:rPr>
        <w:t>(w/o CAR and 19-BBz n=3, 19-z/CTLA4-BB and 19-BB/CTLA4-z</w:t>
      </w:r>
      <w:r w:rsidRPr="00002BA5">
        <w:rPr>
          <w:rFonts w:cstheme="minorHAnsi"/>
        </w:rPr>
        <w:t xml:space="preserve"> </w:t>
      </w:r>
      <w:r w:rsidR="00B724CC">
        <w:rPr>
          <w:rFonts w:cstheme="minorHAnsi"/>
        </w:rPr>
        <w:t xml:space="preserve">n=4) </w:t>
      </w:r>
      <w:r w:rsidRPr="00002BA5">
        <w:rPr>
          <w:rFonts w:cstheme="minorHAnsi"/>
        </w:rPr>
        <w:t xml:space="preserve">to receive </w:t>
      </w:r>
      <w:r w:rsidR="00B724CC">
        <w:rPr>
          <w:rFonts w:cstheme="minorHAnsi"/>
        </w:rPr>
        <w:t>5</w:t>
      </w:r>
      <w:r w:rsidRPr="00002BA5">
        <w:rPr>
          <w:rFonts w:cstheme="minorHAnsi"/>
        </w:rPr>
        <w:t>e6</w:t>
      </w:r>
      <w:r w:rsidR="00B724CC">
        <w:rPr>
          <w:rFonts w:cstheme="minorHAnsi"/>
        </w:rPr>
        <w:t xml:space="preserve"> (</w:t>
      </w:r>
      <w:r w:rsidRPr="00002BA5">
        <w:rPr>
          <w:rFonts w:cstheme="minorHAnsi"/>
        </w:rPr>
        <w:t>CAR</w:t>
      </w:r>
      <w:r w:rsidR="00B724CC">
        <w:rPr>
          <w:rFonts w:cstheme="minorHAnsi"/>
        </w:rPr>
        <w:t xml:space="preserve">) </w:t>
      </w:r>
      <w:r w:rsidRPr="00002BA5">
        <w:rPr>
          <w:rFonts w:cstheme="minorHAnsi"/>
        </w:rPr>
        <w:t>T cells via tail vein injection on day 0</w:t>
      </w:r>
      <w:r w:rsidR="00B724CC">
        <w:rPr>
          <w:rFonts w:cstheme="minorHAnsi"/>
        </w:rPr>
        <w:t xml:space="preserve">. Tumor luminescence was measured in anaesthetized mice in a </w:t>
      </w:r>
      <w:proofErr w:type="spellStart"/>
      <w:r w:rsidR="00B724CC">
        <w:rPr>
          <w:rFonts w:cstheme="minorHAnsi"/>
        </w:rPr>
        <w:t>LagoX</w:t>
      </w:r>
      <w:proofErr w:type="spellEnd"/>
      <w:r w:rsidR="00B724CC">
        <w:rPr>
          <w:rFonts w:cstheme="minorHAnsi"/>
        </w:rPr>
        <w:t xml:space="preserve"> device (Spectral Instruments Imaging, Tucson AZ USA). Blood samples were drawn from tail veins every 2 weeks until day 51. In all xenograft studies, </w:t>
      </w:r>
      <w:r w:rsidR="00194708" w:rsidRPr="00002BA5">
        <w:rPr>
          <w:rFonts w:cstheme="minorHAnsi"/>
        </w:rPr>
        <w:t xml:space="preserve">mice were scored daily with luminescence measurements repeated weekly. Mice were sacrificed at pre-determined scoring cutoff (high tumor burden, weight loss, constitution and paresis). Creation of survival plot and statistical analysis was performed via GraphPad Prism v8. Luminescence data was analyzed by Aura Imaging software v4.5 (Spectral Instruments Imaging). </w:t>
      </w:r>
      <w:r w:rsidR="00194708" w:rsidRPr="00002BA5">
        <w:rPr>
          <w:rFonts w:cstheme="minorHAnsi"/>
          <w:color w:val="000000" w:themeColor="text1"/>
        </w:rPr>
        <w:t>Animals were housed according to protocols approved by the Institutional Animal Use Committee in Nordrhein-Westfalen (Germany).</w:t>
      </w:r>
    </w:p>
    <w:p w14:paraId="03DF00BE" w14:textId="77777777" w:rsidR="00101EE5" w:rsidRDefault="00101EE5">
      <w:pPr>
        <w:spacing w:after="0" w:line="480" w:lineRule="auto"/>
        <w:jc w:val="both"/>
        <w:rPr>
          <w:rFonts w:cstheme="minorHAnsi"/>
          <w:color w:val="000000" w:themeColor="text1"/>
        </w:rPr>
      </w:pPr>
    </w:p>
    <w:p w14:paraId="7BC4259B" w14:textId="094F72C1" w:rsidR="00AF3139" w:rsidRDefault="00AF3139">
      <w:pPr>
        <w:spacing w:after="0" w:line="480" w:lineRule="auto"/>
        <w:jc w:val="both"/>
        <w:rPr>
          <w:rFonts w:cstheme="minorHAnsi"/>
          <w:color w:val="000000" w:themeColor="text1"/>
        </w:rPr>
      </w:pPr>
      <w:r>
        <w:rPr>
          <w:rFonts w:cstheme="minorHAnsi"/>
          <w:color w:val="000000" w:themeColor="text1"/>
          <w:u w:val="single"/>
        </w:rPr>
        <w:t>Mouse tissue and blood sample analyses</w:t>
      </w:r>
    </w:p>
    <w:p w14:paraId="1AE79A68" w14:textId="419A6BDE" w:rsidR="00AF3139" w:rsidRPr="00AF3139" w:rsidRDefault="00AF3139">
      <w:pPr>
        <w:spacing w:after="0" w:line="480" w:lineRule="auto"/>
        <w:jc w:val="both"/>
        <w:rPr>
          <w:rFonts w:cstheme="minorHAnsi"/>
          <w:color w:val="000000" w:themeColor="text1"/>
        </w:rPr>
      </w:pPr>
      <w:r>
        <w:rPr>
          <w:rFonts w:cstheme="minorHAnsi"/>
          <w:color w:val="000000" w:themeColor="text1"/>
        </w:rPr>
        <w:t xml:space="preserve">Blood samples from the persistence xenograft study were drawn in heparin-coated capillaries, 50µl of each </w:t>
      </w:r>
      <w:r w:rsidR="00861427">
        <w:rPr>
          <w:rFonts w:cstheme="minorHAnsi"/>
          <w:color w:val="000000" w:themeColor="text1"/>
        </w:rPr>
        <w:t xml:space="preserve">sample </w:t>
      </w:r>
      <w:r>
        <w:rPr>
          <w:rFonts w:cstheme="minorHAnsi"/>
          <w:color w:val="000000" w:themeColor="text1"/>
        </w:rPr>
        <w:t xml:space="preserve">was incubated with BD </w:t>
      </w:r>
      <w:proofErr w:type="spellStart"/>
      <w:r>
        <w:rPr>
          <w:rFonts w:cstheme="minorHAnsi"/>
          <w:color w:val="000000" w:themeColor="text1"/>
        </w:rPr>
        <w:t>PharmLyse</w:t>
      </w:r>
      <w:proofErr w:type="spellEnd"/>
      <w:r>
        <w:rPr>
          <w:rFonts w:cstheme="minorHAnsi"/>
          <w:color w:val="000000" w:themeColor="text1"/>
        </w:rPr>
        <w:t xml:space="preserve"> Lysing buffer according to manufacturer</w:t>
      </w:r>
      <w:r w:rsidR="00047AB5">
        <w:rPr>
          <w:rFonts w:cstheme="minorHAnsi"/>
          <w:color w:val="000000" w:themeColor="text1"/>
        </w:rPr>
        <w:t>’</w:t>
      </w:r>
      <w:r>
        <w:rPr>
          <w:rFonts w:cstheme="minorHAnsi"/>
          <w:color w:val="000000" w:themeColor="text1"/>
        </w:rPr>
        <w:t xml:space="preserve">s guidelines to deplete erythrocytes. Red blood cell depleted samples were then incubated with the following reagents for subsequent FACS analyses: </w:t>
      </w:r>
      <w:r w:rsidRPr="00002BA5">
        <w:rPr>
          <w:rFonts w:cstheme="minorHAnsi"/>
          <w:color w:val="000000" w:themeColor="text1"/>
        </w:rPr>
        <w:t>G4S-linker specific monoclonal PE-conjugated rabbit antibody (E7O2V, Cell Signaling Technology Cat#38907S; RRID:AB_3626304)</w:t>
      </w:r>
      <w:r>
        <w:rPr>
          <w:rFonts w:cstheme="minorHAnsi"/>
          <w:color w:val="000000" w:themeColor="text1"/>
        </w:rPr>
        <w:t xml:space="preserve">, </w:t>
      </w:r>
      <w:r w:rsidRPr="00002BA5">
        <w:rPr>
          <w:rFonts w:cstheme="minorHAnsi"/>
          <w:color w:val="000000" w:themeColor="text1"/>
        </w:rPr>
        <w:t>monoclonal APC-conjugated mouse anti-human CTLA-4 (CD152) specific antibody  (</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369611, RRID:AB_2632873)</w:t>
      </w:r>
      <w:r>
        <w:rPr>
          <w:rFonts w:cstheme="minorHAnsi"/>
          <w:color w:val="000000" w:themeColor="text1"/>
        </w:rPr>
        <w:t xml:space="preserve">, </w:t>
      </w:r>
      <w:r w:rsidRPr="00002BA5">
        <w:rPr>
          <w:rFonts w:cstheme="minorHAnsi"/>
          <w:color w:val="000000" w:themeColor="text1"/>
        </w:rPr>
        <w:t xml:space="preserve">monoclonal FITC-conjugated mouse </w:t>
      </w:r>
      <w:r w:rsidRPr="00002BA5">
        <w:rPr>
          <w:rFonts w:cstheme="minorHAnsi"/>
          <w:color w:val="000000" w:themeColor="text1"/>
        </w:rPr>
        <w:lastRenderedPageBreak/>
        <w:t>anti-human CD3 antibody (</w:t>
      </w:r>
      <w:proofErr w:type="spellStart"/>
      <w:r w:rsidRPr="00002BA5">
        <w:rPr>
          <w:rFonts w:cstheme="minorHAnsi"/>
          <w:color w:val="000000" w:themeColor="text1"/>
        </w:rPr>
        <w:t>BioLegend</w:t>
      </w:r>
      <w:proofErr w:type="spellEnd"/>
      <w:r w:rsidRPr="00002BA5">
        <w:rPr>
          <w:rFonts w:cstheme="minorHAnsi"/>
          <w:color w:val="000000" w:themeColor="text1"/>
        </w:rPr>
        <w:t xml:space="preserve"> Cat# 300440, RRID:AB_2562046)</w:t>
      </w:r>
      <w:r>
        <w:rPr>
          <w:rFonts w:cstheme="minorHAnsi"/>
          <w:color w:val="000000" w:themeColor="text1"/>
        </w:rPr>
        <w:t xml:space="preserve">, </w:t>
      </w:r>
      <w:r w:rsidR="00861427">
        <w:rPr>
          <w:rFonts w:cstheme="minorHAnsi"/>
          <w:color w:val="000000" w:themeColor="text1"/>
        </w:rPr>
        <w:t>monoclonal BV510-conjugated anti-human CD19 antibody (</w:t>
      </w:r>
      <w:proofErr w:type="spellStart"/>
      <w:r w:rsidR="00861427" w:rsidRPr="00861427">
        <w:rPr>
          <w:rFonts w:cstheme="minorHAnsi"/>
          <w:color w:val="000000" w:themeColor="text1"/>
        </w:rPr>
        <w:t>BioLegend</w:t>
      </w:r>
      <w:proofErr w:type="spellEnd"/>
      <w:r w:rsidR="00861427" w:rsidRPr="00861427">
        <w:rPr>
          <w:rFonts w:cstheme="minorHAnsi"/>
          <w:color w:val="000000" w:themeColor="text1"/>
        </w:rPr>
        <w:t xml:space="preserve"> Cat# 302242, RRID:AB_2561668</w:t>
      </w:r>
      <w:r w:rsidR="00861427">
        <w:rPr>
          <w:rFonts w:cstheme="minorHAnsi"/>
          <w:color w:val="000000" w:themeColor="text1"/>
        </w:rPr>
        <w:t>) and 7-AAD (</w:t>
      </w:r>
      <w:proofErr w:type="spellStart"/>
      <w:r w:rsidR="00861427">
        <w:rPr>
          <w:rFonts w:cstheme="minorHAnsi"/>
          <w:color w:val="000000" w:themeColor="text1"/>
        </w:rPr>
        <w:t>Biolegend</w:t>
      </w:r>
      <w:proofErr w:type="spellEnd"/>
      <w:r w:rsidR="00861427">
        <w:rPr>
          <w:rFonts w:cstheme="minorHAnsi"/>
          <w:color w:val="000000" w:themeColor="text1"/>
        </w:rPr>
        <w:t xml:space="preserve"> Cat</w:t>
      </w:r>
      <w:r w:rsidR="00861427">
        <w:t>#</w:t>
      </w:r>
      <w:r w:rsidR="00861427" w:rsidRPr="00861427">
        <w:rPr>
          <w:rFonts w:cstheme="minorHAnsi"/>
          <w:color w:val="000000" w:themeColor="text1"/>
        </w:rPr>
        <w:t>420404</w:t>
      </w:r>
      <w:r w:rsidR="00861427">
        <w:rPr>
          <w:rFonts w:cstheme="minorHAnsi"/>
          <w:color w:val="000000" w:themeColor="text1"/>
        </w:rPr>
        <w:t>)</w:t>
      </w:r>
      <w:r w:rsidRPr="00002BA5">
        <w:rPr>
          <w:rFonts w:cstheme="minorHAnsi"/>
          <w:color w:val="000000" w:themeColor="text1"/>
        </w:rPr>
        <w:t>.</w:t>
      </w:r>
      <w:r w:rsidR="00861427">
        <w:rPr>
          <w:rFonts w:cstheme="minorHAnsi"/>
          <w:color w:val="000000" w:themeColor="text1"/>
        </w:rPr>
        <w:t xml:space="preserve"> For the endpoint analyses of mouse organs, spleen cells, bone marrow cells of the right femur and tumor cells were singularized, counted and 5e5 cells </w:t>
      </w:r>
      <w:r w:rsidR="00AE31E3">
        <w:rPr>
          <w:rFonts w:cstheme="minorHAnsi"/>
          <w:color w:val="000000" w:themeColor="text1"/>
        </w:rPr>
        <w:t>of each sample were</w:t>
      </w:r>
      <w:r w:rsidR="00861427">
        <w:rPr>
          <w:rFonts w:cstheme="minorHAnsi"/>
          <w:color w:val="000000" w:themeColor="text1"/>
        </w:rPr>
        <w:t xml:space="preserve"> stained </w:t>
      </w:r>
      <w:r w:rsidR="00AE31E3">
        <w:rPr>
          <w:rFonts w:cstheme="minorHAnsi"/>
          <w:color w:val="000000" w:themeColor="text1"/>
        </w:rPr>
        <w:t xml:space="preserve">as </w:t>
      </w:r>
      <w:r w:rsidR="00861427">
        <w:rPr>
          <w:rFonts w:cstheme="minorHAnsi"/>
          <w:color w:val="000000" w:themeColor="text1"/>
        </w:rPr>
        <w:t xml:space="preserve">described </w:t>
      </w:r>
      <w:r w:rsidR="00AE31E3">
        <w:rPr>
          <w:rFonts w:cstheme="minorHAnsi"/>
          <w:color w:val="000000" w:themeColor="text1"/>
        </w:rPr>
        <w:t xml:space="preserve">above. </w:t>
      </w:r>
      <w:r w:rsidR="00861427">
        <w:rPr>
          <w:rFonts w:cstheme="minorHAnsi"/>
          <w:color w:val="000000" w:themeColor="text1"/>
        </w:rPr>
        <w:t xml:space="preserve">FACS analyses were performed on Beckman Coulter </w:t>
      </w:r>
      <w:proofErr w:type="spellStart"/>
      <w:r w:rsidR="00861427">
        <w:rPr>
          <w:rFonts w:cstheme="minorHAnsi"/>
          <w:color w:val="000000" w:themeColor="text1"/>
        </w:rPr>
        <w:t>CytoFLEX</w:t>
      </w:r>
      <w:proofErr w:type="spellEnd"/>
      <w:r w:rsidR="00861427">
        <w:rPr>
          <w:rFonts w:cstheme="minorHAnsi"/>
          <w:color w:val="000000" w:themeColor="text1"/>
        </w:rPr>
        <w:t xml:space="preserve"> S flow cytometer.</w:t>
      </w:r>
    </w:p>
    <w:p w14:paraId="22A21422" w14:textId="77777777" w:rsidR="00AF3139" w:rsidRPr="00002BA5" w:rsidRDefault="00AF3139">
      <w:pPr>
        <w:spacing w:after="0" w:line="480" w:lineRule="auto"/>
        <w:jc w:val="both"/>
        <w:rPr>
          <w:rFonts w:cstheme="minorHAnsi"/>
          <w:color w:val="000000" w:themeColor="text1"/>
        </w:rPr>
      </w:pPr>
    </w:p>
    <w:p w14:paraId="1D2C2529" w14:textId="77777777" w:rsidR="00101EE5" w:rsidRPr="00002BA5" w:rsidRDefault="00194708">
      <w:pPr>
        <w:spacing w:after="0" w:line="480" w:lineRule="auto"/>
        <w:jc w:val="both"/>
        <w:rPr>
          <w:rFonts w:cstheme="minorHAnsi"/>
          <w:bCs/>
          <w:color w:val="000000" w:themeColor="text1"/>
          <w:u w:val="single"/>
        </w:rPr>
      </w:pPr>
      <w:r w:rsidRPr="00002BA5">
        <w:rPr>
          <w:rFonts w:cstheme="minorHAnsi"/>
          <w:bCs/>
          <w:color w:val="000000" w:themeColor="text1"/>
          <w:u w:val="single"/>
        </w:rPr>
        <w:t>Quantification and statistical analysis</w:t>
      </w:r>
    </w:p>
    <w:p w14:paraId="419A48D9" w14:textId="77777777" w:rsidR="00101EE5" w:rsidRPr="00002BA5" w:rsidRDefault="00194708">
      <w:pPr>
        <w:spacing w:after="0" w:line="480" w:lineRule="auto"/>
        <w:jc w:val="both"/>
        <w:rPr>
          <w:rFonts w:cstheme="minorHAnsi"/>
          <w:color w:val="000000" w:themeColor="text1"/>
        </w:rPr>
      </w:pPr>
      <w:r w:rsidRPr="00002BA5">
        <w:rPr>
          <w:rFonts w:cstheme="minorHAnsi"/>
          <w:color w:val="000000" w:themeColor="text1"/>
        </w:rPr>
        <w:t>Plots report the arithmetic mean with error bars reporting standard error of the mean where applicable. Where not otherwise noted, statistical significance was evaluated using a two-sided unpaired non-adjusted t-test with significance level alpha = 0.05 (5%). Statistical significance in transcriptomic data was evaluated using a two-sided unpaired non-adjusted Mann-Whitney-U test. Significance levels are displayed according to p-values (ns &gt; 0.05, * ≤ 0.05; ** ≤ 0.01; *** ≤ 0.001; **** ≤ 0.0001). Other statistical parameters (e.g. n) are reported in the figure legends, or in method details for in vivo data.</w:t>
      </w:r>
    </w:p>
    <w:sectPr w:rsidR="00101EE5" w:rsidRPr="00002BA5">
      <w:footerReference w:type="even" r:id="rId8"/>
      <w:footerReference w:type="default" r:id="rId9"/>
      <w:footerReference w:type="first" r:id="rId10"/>
      <w:pgSz w:w="11906" w:h="16838"/>
      <w:pgMar w:top="1134" w:right="850" w:bottom="1134" w:left="1701" w:header="0" w:footer="457" w:gutter="0"/>
      <w:lnNumType w:countBy="1" w:distance="288" w:restart="continuous"/>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72483" w14:textId="77777777" w:rsidR="00194708" w:rsidRDefault="00194708">
      <w:pPr>
        <w:spacing w:after="0" w:line="240" w:lineRule="auto"/>
      </w:pPr>
      <w:r>
        <w:separator/>
      </w:r>
    </w:p>
  </w:endnote>
  <w:endnote w:type="continuationSeparator" w:id="0">
    <w:p w14:paraId="3486EFE1" w14:textId="77777777" w:rsidR="00194708" w:rsidRDefault="00194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panose1 w:val="020B0603030403020204"/>
    <w:charset w:val="00"/>
    <w:family w:val="swiss"/>
    <w:notTrueType/>
    <w:pitch w:val="variable"/>
    <w:sig w:usb0="20000287" w:usb1="00000001" w:usb2="00000000" w:usb3="00000000" w:csb0="0000019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2C33" w14:textId="77777777" w:rsidR="00101EE5" w:rsidRDefault="00101EE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4438"/>
      <w:docPartObj>
        <w:docPartGallery w:val="Page Numbers (Bottom of Page)"/>
        <w:docPartUnique/>
      </w:docPartObj>
    </w:sdtPr>
    <w:sdtEndPr/>
    <w:sdtContent>
      <w:p w14:paraId="1AC30A01" w14:textId="77777777" w:rsidR="00101EE5" w:rsidRDefault="00194708">
        <w:pPr>
          <w:pStyle w:val="Fuzeile"/>
          <w:jc w:val="right"/>
        </w:pPr>
        <w:r>
          <w:fldChar w:fldCharType="begin"/>
        </w:r>
        <w:r>
          <w:instrText xml:space="preserve"> PAGE </w:instrText>
        </w:r>
        <w:r>
          <w:fldChar w:fldCharType="separate"/>
        </w:r>
        <w:r>
          <w:t>20</w:t>
        </w:r>
        <w:r>
          <w:fldChar w:fldCharType="end"/>
        </w:r>
      </w:p>
    </w:sdtContent>
  </w:sdt>
  <w:p w14:paraId="47639278" w14:textId="77777777" w:rsidR="00101EE5" w:rsidRDefault="00101EE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911527"/>
      <w:docPartObj>
        <w:docPartGallery w:val="Page Numbers (Bottom of Page)"/>
        <w:docPartUnique/>
      </w:docPartObj>
    </w:sdtPr>
    <w:sdtEndPr/>
    <w:sdtContent>
      <w:p w14:paraId="04D86EAB" w14:textId="77777777" w:rsidR="00101EE5" w:rsidRDefault="00194708">
        <w:pPr>
          <w:pStyle w:val="Fuzeile"/>
          <w:jc w:val="right"/>
        </w:pPr>
        <w:r>
          <w:fldChar w:fldCharType="begin"/>
        </w:r>
        <w:r>
          <w:instrText xml:space="preserve"> PAGE </w:instrText>
        </w:r>
        <w:r>
          <w:fldChar w:fldCharType="separate"/>
        </w:r>
        <w:r>
          <w:t>20</w:t>
        </w:r>
        <w:r>
          <w:fldChar w:fldCharType="end"/>
        </w:r>
      </w:p>
    </w:sdtContent>
  </w:sdt>
  <w:p w14:paraId="7E1A3C08" w14:textId="77777777" w:rsidR="00101EE5" w:rsidRDefault="00101EE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E60EF" w14:textId="77777777" w:rsidR="00194708" w:rsidRDefault="00194708">
      <w:pPr>
        <w:spacing w:after="0" w:line="240" w:lineRule="auto"/>
      </w:pPr>
      <w:r>
        <w:separator/>
      </w:r>
    </w:p>
  </w:footnote>
  <w:footnote w:type="continuationSeparator" w:id="0">
    <w:p w14:paraId="3E13E9C1" w14:textId="77777777" w:rsidR="00194708" w:rsidRDefault="001947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33BA6"/>
    <w:multiLevelType w:val="multilevel"/>
    <w:tmpl w:val="427E379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6306F68"/>
    <w:multiLevelType w:val="multilevel"/>
    <w:tmpl w:val="867236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F0456E0"/>
    <w:multiLevelType w:val="multilevel"/>
    <w:tmpl w:val="144035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14117008">
    <w:abstractNumId w:val="1"/>
  </w:num>
  <w:num w:numId="2" w16cid:durableId="143668886">
    <w:abstractNumId w:val="0"/>
  </w:num>
  <w:num w:numId="3" w16cid:durableId="2129006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EE5"/>
    <w:rsid w:val="00002BA5"/>
    <w:rsid w:val="00013C3A"/>
    <w:rsid w:val="00047AB5"/>
    <w:rsid w:val="00070CB9"/>
    <w:rsid w:val="000C7574"/>
    <w:rsid w:val="00101EE5"/>
    <w:rsid w:val="0018286B"/>
    <w:rsid w:val="00194708"/>
    <w:rsid w:val="00206F18"/>
    <w:rsid w:val="00211692"/>
    <w:rsid w:val="002871CA"/>
    <w:rsid w:val="00471FAD"/>
    <w:rsid w:val="00537799"/>
    <w:rsid w:val="00637161"/>
    <w:rsid w:val="00692949"/>
    <w:rsid w:val="006A6263"/>
    <w:rsid w:val="0072013B"/>
    <w:rsid w:val="0074243C"/>
    <w:rsid w:val="00773D6A"/>
    <w:rsid w:val="00861427"/>
    <w:rsid w:val="00A13951"/>
    <w:rsid w:val="00AE31E3"/>
    <w:rsid w:val="00AF3139"/>
    <w:rsid w:val="00B24401"/>
    <w:rsid w:val="00B724CC"/>
    <w:rsid w:val="00B97A76"/>
    <w:rsid w:val="00D37AF1"/>
    <w:rsid w:val="00D50DBF"/>
    <w:rsid w:val="00D60F80"/>
    <w:rsid w:val="00DD1806"/>
    <w:rsid w:val="00E269FB"/>
    <w:rsid w:val="00E33990"/>
    <w:rsid w:val="00FC110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B75CA"/>
  <w15:docId w15:val="{2883154D-8638-42F3-9D8E-DEDA6F4AA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793B"/>
    <w:pPr>
      <w:spacing w:after="200" w:line="276" w:lineRule="auto"/>
    </w:pPr>
  </w:style>
  <w:style w:type="paragraph" w:styleId="berschrift1">
    <w:name w:val="heading 1"/>
    <w:basedOn w:val="Standard"/>
    <w:next w:val="Standard"/>
    <w:link w:val="berschrift1Zchn"/>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berschrift2">
    <w:name w:val="heading 2"/>
    <w:basedOn w:val="Standard"/>
    <w:next w:val="Standard"/>
    <w:link w:val="berschrift2Zchn"/>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berschrift3">
    <w:name w:val="heading 3"/>
    <w:basedOn w:val="Standard"/>
    <w:next w:val="Standard"/>
    <w:link w:val="berschrift3Zchn"/>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berschrift4">
    <w:name w:val="heading 4"/>
    <w:basedOn w:val="Standard"/>
    <w:next w:val="Standard"/>
    <w:link w:val="berschrift4Zchn"/>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ascii="Arial" w:eastAsia="Arial" w:hAnsi="Arial" w:cs="Arial"/>
      <w:color w:val="2E74B5" w:themeColor="accent1" w:themeShade="BF"/>
    </w:rPr>
  </w:style>
  <w:style w:type="paragraph" w:styleId="berschrift6">
    <w:name w:val="heading 6"/>
    <w:basedOn w:val="Standard"/>
    <w:next w:val="Standard"/>
    <w:link w:val="berschrift6Zchn"/>
    <w:uiPriority w:val="9"/>
    <w:unhideWhenUsed/>
    <w:qFormat/>
    <w:pPr>
      <w:keepNext/>
      <w:keepLines/>
      <w:spacing w:before="40" w:after="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after="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spacing w:after="0"/>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qFormat/>
    <w:rPr>
      <w:color w:val="666666"/>
    </w:rPr>
  </w:style>
  <w:style w:type="character" w:customStyle="1" w:styleId="berschrift1Zchn">
    <w:name w:val="Überschrift 1 Zchn"/>
    <w:basedOn w:val="Absatz-Standardschriftart"/>
    <w:link w:val="berschrift1"/>
    <w:uiPriority w:val="9"/>
    <w:qFormat/>
    <w:rPr>
      <w:rFonts w:ascii="Arial" w:eastAsia="Arial" w:hAnsi="Arial" w:cs="Arial"/>
      <w:color w:val="2E74B5" w:themeColor="accent1" w:themeShade="BF"/>
      <w:sz w:val="40"/>
      <w:szCs w:val="40"/>
    </w:rPr>
  </w:style>
  <w:style w:type="character" w:customStyle="1" w:styleId="berschrift2Zchn">
    <w:name w:val="Überschrift 2 Zchn"/>
    <w:basedOn w:val="Absatz-Standardschriftart"/>
    <w:link w:val="berschrift2"/>
    <w:uiPriority w:val="9"/>
    <w:qFormat/>
    <w:rPr>
      <w:rFonts w:ascii="Arial" w:eastAsia="Arial" w:hAnsi="Arial" w:cs="Arial"/>
      <w:color w:val="2E74B5" w:themeColor="accent1" w:themeShade="BF"/>
      <w:sz w:val="32"/>
      <w:szCs w:val="32"/>
    </w:rPr>
  </w:style>
  <w:style w:type="character" w:customStyle="1" w:styleId="berschrift3Zchn">
    <w:name w:val="Überschrift 3 Zchn"/>
    <w:basedOn w:val="Absatz-Standardschriftart"/>
    <w:link w:val="berschrift3"/>
    <w:uiPriority w:val="9"/>
    <w:qFormat/>
    <w:rPr>
      <w:rFonts w:ascii="Arial" w:eastAsia="Arial" w:hAnsi="Arial" w:cs="Arial"/>
      <w:color w:val="2E74B5" w:themeColor="accent1" w:themeShade="BF"/>
      <w:sz w:val="28"/>
      <w:szCs w:val="28"/>
    </w:rPr>
  </w:style>
  <w:style w:type="character" w:customStyle="1" w:styleId="berschrift4Zchn">
    <w:name w:val="Überschrift 4 Zchn"/>
    <w:basedOn w:val="Absatz-Standardschriftart"/>
    <w:link w:val="berschrift4"/>
    <w:uiPriority w:val="9"/>
    <w:qFormat/>
    <w:rPr>
      <w:rFonts w:ascii="Arial" w:eastAsia="Arial" w:hAnsi="Arial" w:cs="Arial"/>
      <w:i/>
      <w:iCs/>
      <w:color w:val="2E74B5" w:themeColor="accent1" w:themeShade="BF"/>
    </w:rPr>
  </w:style>
  <w:style w:type="character" w:customStyle="1" w:styleId="berschrift5Zchn">
    <w:name w:val="Überschrift 5 Zchn"/>
    <w:basedOn w:val="Absatz-Standardschriftart"/>
    <w:link w:val="berschrift5"/>
    <w:uiPriority w:val="9"/>
    <w:qFormat/>
    <w:rPr>
      <w:rFonts w:ascii="Arial" w:eastAsia="Arial" w:hAnsi="Arial" w:cs="Arial"/>
      <w:color w:val="2E74B5" w:themeColor="accent1" w:themeShade="BF"/>
    </w:rPr>
  </w:style>
  <w:style w:type="character" w:customStyle="1" w:styleId="berschrift6Zchn">
    <w:name w:val="Überschrift 6 Zchn"/>
    <w:basedOn w:val="Absatz-Standardschriftart"/>
    <w:link w:val="berschrift6"/>
    <w:uiPriority w:val="9"/>
    <w:qFormat/>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qFormat/>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qFormat/>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qFormat/>
    <w:rPr>
      <w:rFonts w:ascii="Arial" w:eastAsia="Arial" w:hAnsi="Arial" w:cs="Arial"/>
      <w:i/>
      <w:iCs/>
      <w:color w:val="272727" w:themeColor="text1" w:themeTint="D8"/>
    </w:rPr>
  </w:style>
  <w:style w:type="character" w:customStyle="1" w:styleId="TitelZchn">
    <w:name w:val="Titel Zchn"/>
    <w:basedOn w:val="Absatz-Standardschriftart"/>
    <w:link w:val="Titel"/>
    <w:uiPriority w:val="10"/>
    <w:qFormat/>
    <w:rPr>
      <w:rFonts w:ascii="Arial" w:eastAsia="Arial" w:hAnsi="Arial" w:cs="Arial"/>
      <w:spacing w:val="-10"/>
      <w:sz w:val="56"/>
      <w:szCs w:val="56"/>
    </w:rPr>
  </w:style>
  <w:style w:type="character" w:customStyle="1" w:styleId="UntertitelZchn">
    <w:name w:val="Untertitel Zchn"/>
    <w:basedOn w:val="Absatz-Standardschriftart"/>
    <w:link w:val="Untertitel"/>
    <w:uiPriority w:val="11"/>
    <w:qFormat/>
    <w:rPr>
      <w:color w:val="595959" w:themeColor="text1" w:themeTint="A6"/>
      <w:spacing w:val="15"/>
      <w:sz w:val="28"/>
      <w:szCs w:val="28"/>
    </w:rPr>
  </w:style>
  <w:style w:type="character" w:customStyle="1" w:styleId="ZitatZchn">
    <w:name w:val="Zitat Zchn"/>
    <w:basedOn w:val="Absatz-Standardschriftart"/>
    <w:link w:val="Zitat"/>
    <w:uiPriority w:val="29"/>
    <w:qFormat/>
    <w:rPr>
      <w:i/>
      <w:iCs/>
      <w:color w:val="404040" w:themeColor="text1" w:themeTint="BF"/>
    </w:rPr>
  </w:style>
  <w:style w:type="character" w:styleId="IntensiveHervorhebung">
    <w:name w:val="Intense Emphasis"/>
    <w:basedOn w:val="Absatz-Standardschriftart"/>
    <w:uiPriority w:val="21"/>
    <w:qFormat/>
    <w:rPr>
      <w:i/>
      <w:iCs/>
      <w:color w:val="2E74B5" w:themeColor="accent1" w:themeShade="BF"/>
    </w:rPr>
  </w:style>
  <w:style w:type="character" w:customStyle="1" w:styleId="IntensivesZitatZchn">
    <w:name w:val="Intensives Zitat Zchn"/>
    <w:basedOn w:val="Absatz-Standardschriftart"/>
    <w:link w:val="IntensivesZitat"/>
    <w:uiPriority w:val="30"/>
    <w:qFormat/>
    <w:rPr>
      <w:i/>
      <w:iCs/>
      <w:color w:val="2E74B5" w:themeColor="accent1" w:themeShade="BF"/>
    </w:rPr>
  </w:style>
  <w:style w:type="character" w:styleId="IntensiverVerweis">
    <w:name w:val="Intense Reference"/>
    <w:basedOn w:val="Absatz-Standardschriftart"/>
    <w:uiPriority w:val="32"/>
    <w:qFormat/>
    <w:rPr>
      <w:b/>
      <w:bCs/>
      <w:smallCaps/>
      <w:color w:val="2E74B5" w:themeColor="accent1" w:themeShade="BF"/>
      <w:spacing w:val="5"/>
    </w:r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KopfzeileZchn">
    <w:name w:val="Kopfzeile Zchn"/>
    <w:basedOn w:val="Absatz-Standardschriftart"/>
    <w:link w:val="Kopfzeile"/>
    <w:uiPriority w:val="99"/>
    <w:qFormat/>
  </w:style>
  <w:style w:type="character" w:customStyle="1" w:styleId="FuzeileZchn">
    <w:name w:val="Fußzeile Zchn"/>
    <w:basedOn w:val="Absatz-Standardschriftart"/>
    <w:link w:val="Fuzeile"/>
    <w:uiPriority w:val="99"/>
    <w:qFormat/>
  </w:style>
  <w:style w:type="character" w:customStyle="1" w:styleId="FunotentextZchn">
    <w:name w:val="Fußnotentext Zchn"/>
    <w:basedOn w:val="Absatz-Standardschriftart"/>
    <w:link w:val="Funotentext"/>
    <w:uiPriority w:val="99"/>
    <w:semiHidden/>
    <w:qFormat/>
    <w:rPr>
      <w:sz w:val="20"/>
      <w:szCs w:val="20"/>
    </w:rPr>
  </w:style>
  <w:style w:type="character" w:customStyle="1" w:styleId="Funotenzeichenuser">
    <w:name w:val="Fußnotenzeichen (user)"/>
    <w:uiPriority w:val="99"/>
    <w:semiHidden/>
    <w:unhideWhenUsed/>
    <w:qFormat/>
    <w:rPr>
      <w:vertAlign w:val="superscript"/>
    </w:rPr>
  </w:style>
  <w:style w:type="character" w:styleId="Funotenzeichen">
    <w:name w:val="footnote reference"/>
    <w:rPr>
      <w:vertAlign w:val="superscript"/>
    </w:rPr>
  </w:style>
  <w:style w:type="character" w:customStyle="1" w:styleId="EndnotentextZchn">
    <w:name w:val="Endnotentext Zchn"/>
    <w:basedOn w:val="Absatz-Standardschriftart"/>
    <w:link w:val="Endnotentext"/>
    <w:uiPriority w:val="99"/>
    <w:semiHidden/>
    <w:qFormat/>
    <w:rPr>
      <w:sz w:val="20"/>
      <w:szCs w:val="20"/>
    </w:rPr>
  </w:style>
  <w:style w:type="character" w:customStyle="1" w:styleId="Endnotenzeichenuser">
    <w:name w:val="Endnotenzeichen (user)"/>
    <w:uiPriority w:val="99"/>
    <w:semiHidden/>
    <w:unhideWhenUsed/>
    <w:qFormat/>
    <w:rPr>
      <w:vertAlign w:val="superscript"/>
    </w:rPr>
  </w:style>
  <w:style w:type="character" w:styleId="Endnotenzeichen">
    <w:name w:val="endnote reference"/>
    <w:rPr>
      <w:vertAlign w:val="superscript"/>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docdata">
    <w:name w:val="docdata"/>
    <w:qFormat/>
  </w:style>
  <w:style w:type="character" w:customStyle="1" w:styleId="KommentartextZchn">
    <w:name w:val="Kommentartext Zchn"/>
    <w:basedOn w:val="Absatz-Standardschriftart"/>
    <w:link w:val="Kommentartext"/>
    <w:uiPriority w:val="99"/>
    <w:semiHidden/>
    <w:qFormat/>
    <w:rPr>
      <w:sz w:val="20"/>
      <w:szCs w:val="20"/>
    </w:rPr>
  </w:style>
  <w:style w:type="character" w:styleId="Kommentarzeichen">
    <w:name w:val="annotation reference"/>
    <w:basedOn w:val="Absatz-Standardschriftart"/>
    <w:uiPriority w:val="99"/>
    <w:semiHidden/>
    <w:unhideWhenUsed/>
    <w:qFormat/>
    <w:rPr>
      <w:sz w:val="16"/>
      <w:szCs w:val="16"/>
    </w:rPr>
  </w:style>
  <w:style w:type="character" w:customStyle="1" w:styleId="A3">
    <w:name w:val="A3"/>
    <w:uiPriority w:val="99"/>
    <w:qFormat/>
    <w:rsid w:val="00CE7042"/>
    <w:rPr>
      <w:rFonts w:cs="Myriad Pro Light"/>
      <w:color w:val="000000"/>
      <w:sz w:val="10"/>
      <w:szCs w:val="10"/>
    </w:rPr>
  </w:style>
  <w:style w:type="character" w:styleId="Zeilennummer">
    <w:name w:val="line number"/>
    <w:basedOn w:val="Absatz-Standardschriftart"/>
    <w:uiPriority w:val="99"/>
    <w:semiHidden/>
    <w:unhideWhenUsed/>
    <w:rsid w:val="00C3550E"/>
  </w:style>
  <w:style w:type="paragraph" w:customStyle="1" w:styleId="berschrift">
    <w:name w:val="Überschrift"/>
    <w:basedOn w:val="Standard"/>
    <w:next w:val="Textkrper"/>
    <w:qFormat/>
    <w:pPr>
      <w:keepNext/>
      <w:spacing w:before="240" w:after="120"/>
    </w:pPr>
    <w:rPr>
      <w:rFonts w:ascii="Carlito" w:eastAsia="Noto Sans SC Regular" w:hAnsi="Carlito" w:cs="Noto Sans"/>
      <w:sz w:val="28"/>
      <w:szCs w:val="28"/>
    </w:rPr>
  </w:style>
  <w:style w:type="paragraph" w:styleId="Textkrper">
    <w:name w:val="Body Text"/>
    <w:basedOn w:val="Standard"/>
    <w:pPr>
      <w:spacing w:after="140"/>
    </w:pPr>
  </w:style>
  <w:style w:type="paragraph" w:styleId="Liste">
    <w:name w:val="List"/>
    <w:basedOn w:val="Textkrper"/>
    <w:rPr>
      <w:rFonts w:cs="Noto Sans"/>
    </w:rPr>
  </w:style>
  <w:style w:type="paragraph" w:styleId="Beschriftung">
    <w:name w:val="caption"/>
    <w:basedOn w:val="Standard"/>
    <w:next w:val="Standard"/>
    <w:uiPriority w:val="35"/>
    <w:unhideWhenUsed/>
    <w:qFormat/>
    <w:pPr>
      <w:spacing w:line="240" w:lineRule="auto"/>
    </w:pPr>
    <w:rPr>
      <w:i/>
      <w:iCs/>
      <w:color w:val="44546A" w:themeColor="text2"/>
      <w:sz w:val="18"/>
      <w:szCs w:val="18"/>
    </w:rPr>
  </w:style>
  <w:style w:type="paragraph" w:customStyle="1" w:styleId="Verzeichnis">
    <w:name w:val="Verzeichnis"/>
    <w:basedOn w:val="Standard"/>
    <w:qFormat/>
    <w:pPr>
      <w:suppressLineNumbers/>
    </w:pPr>
    <w:rPr>
      <w:rFonts w:cs="Noto Sans"/>
    </w:rPr>
  </w:style>
  <w:style w:type="paragraph" w:customStyle="1" w:styleId="berschriftuser">
    <w:name w:val="Überschrift (user)"/>
    <w:basedOn w:val="Standard"/>
    <w:next w:val="Textkrper"/>
    <w:qFormat/>
    <w:pPr>
      <w:keepNext/>
      <w:spacing w:before="240" w:after="120"/>
    </w:pPr>
    <w:rPr>
      <w:rFonts w:ascii="Carlito" w:eastAsia="Noto Sans SC Regular" w:hAnsi="Carlito" w:cs="Noto Sans"/>
      <w:sz w:val="28"/>
      <w:szCs w:val="28"/>
    </w:rPr>
  </w:style>
  <w:style w:type="paragraph" w:customStyle="1" w:styleId="Verzeichnisuser">
    <w:name w:val="Verzeichnis (user)"/>
    <w:basedOn w:val="Standard"/>
    <w:qFormat/>
    <w:pPr>
      <w:suppressLineNumbers/>
    </w:pPr>
    <w:rPr>
      <w:rFonts w:cs="Noto Sans"/>
    </w:rPr>
  </w:style>
  <w:style w:type="paragraph" w:styleId="Titel">
    <w:name w:val="Title"/>
    <w:basedOn w:val="Standard"/>
    <w:next w:val="Standard"/>
    <w:link w:val="TitelZchn"/>
    <w:uiPriority w:val="10"/>
    <w:qFormat/>
    <w:pPr>
      <w:spacing w:after="80" w:line="240" w:lineRule="auto"/>
      <w:contextualSpacing/>
    </w:pPr>
    <w:rPr>
      <w:rFonts w:ascii="Arial" w:eastAsia="Arial" w:hAnsi="Arial" w:cs="Arial"/>
      <w:spacing w:val="-10"/>
      <w:sz w:val="56"/>
      <w:szCs w:val="56"/>
    </w:rPr>
  </w:style>
  <w:style w:type="paragraph" w:styleId="Untertitel">
    <w:name w:val="Subtitle"/>
    <w:basedOn w:val="Standard"/>
    <w:next w:val="Standard"/>
    <w:link w:val="UntertitelZchn"/>
    <w:uiPriority w:val="11"/>
    <w:qFormat/>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paragraph" w:styleId="IntensivesZitat">
    <w:name w:val="Intense Quote"/>
    <w:basedOn w:val="Standard"/>
    <w:next w:val="Standard"/>
    <w:link w:val="IntensivesZitatZchn"/>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paragraph" w:customStyle="1" w:styleId="Kopf-Fuzeileuser">
    <w:name w:val="Kopf-/Fußzeile (user)"/>
    <w:basedOn w:val="Standard"/>
    <w:qFormat/>
  </w:style>
  <w:style w:type="paragraph" w:customStyle="1" w:styleId="Kopf-Fuzeile">
    <w:name w:val="Kopf-/Fußzeile"/>
    <w:basedOn w:val="Standard"/>
    <w:qFormat/>
  </w:style>
  <w:style w:type="paragraph" w:styleId="Kopfzeile">
    <w:name w:val="header"/>
    <w:basedOn w:val="Standard"/>
    <w:link w:val="KopfzeileZchn"/>
    <w:uiPriority w:val="99"/>
    <w:unhideWhenUsed/>
    <w:pPr>
      <w:suppressLineNumbers/>
      <w:tabs>
        <w:tab w:val="center" w:pos="4844"/>
        <w:tab w:val="right" w:pos="9689"/>
      </w:tabs>
      <w:spacing w:after="0" w:line="240" w:lineRule="auto"/>
    </w:pPr>
  </w:style>
  <w:style w:type="paragraph" w:styleId="Fuzeile">
    <w:name w:val="footer"/>
    <w:basedOn w:val="Standard"/>
    <w:link w:val="FuzeileZchn"/>
    <w:uiPriority w:val="99"/>
    <w:unhideWhenUsed/>
    <w:pPr>
      <w:suppressLineNumbers/>
      <w:tabs>
        <w:tab w:val="center" w:pos="4844"/>
        <w:tab w:val="right" w:pos="9689"/>
      </w:tabs>
      <w:spacing w:after="0" w:line="240" w:lineRule="auto"/>
    </w:pPr>
  </w:style>
  <w:style w:type="paragraph" w:styleId="Funotentext">
    <w:name w:val="footnote text"/>
    <w:basedOn w:val="Standard"/>
    <w:link w:val="FunotentextZchn"/>
    <w:uiPriority w:val="99"/>
    <w:semiHidden/>
    <w:unhideWhenUsed/>
    <w:pPr>
      <w:spacing w:after="0" w:line="240" w:lineRule="auto"/>
    </w:pPr>
    <w:rPr>
      <w:sz w:val="20"/>
      <w:szCs w:val="20"/>
    </w:rPr>
  </w:style>
  <w:style w:type="paragraph" w:styleId="Endnotentext">
    <w:name w:val="endnote text"/>
    <w:basedOn w:val="Standard"/>
    <w:link w:val="EndnotentextZchn"/>
    <w:uiPriority w:val="99"/>
    <w:semiHidden/>
    <w:unhideWhenUsed/>
    <w:pPr>
      <w:spacing w:after="0" w:line="240" w:lineRule="auto"/>
    </w:pPr>
    <w:rPr>
      <w:sz w:val="20"/>
      <w:szCs w:val="20"/>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dexberschrift">
    <w:name w:val="index heading"/>
    <w:basedOn w:val="berschriftuser"/>
  </w:style>
  <w:style w:type="paragraph" w:styleId="Inhaltsverzeichnisberschrift">
    <w:name w:val="TOC Heading"/>
    <w:uiPriority w:val="39"/>
    <w:unhideWhenUsed/>
    <w:qFormat/>
    <w:pPr>
      <w:spacing w:after="200" w:line="276" w:lineRule="auto"/>
    </w:pPr>
  </w:style>
  <w:style w:type="paragraph" w:styleId="Abbildungsverzeichnis">
    <w:name w:val="table of figures"/>
    <w:basedOn w:val="Standard"/>
    <w:next w:val="Standard"/>
    <w:uiPriority w:val="99"/>
    <w:unhideWhenUsed/>
    <w:pPr>
      <w:spacing w:after="0"/>
    </w:pPr>
  </w:style>
  <w:style w:type="paragraph" w:styleId="KeinLeerraum">
    <w:name w:val="No Spacing"/>
    <w:basedOn w:val="Standard"/>
    <w:uiPriority w:val="1"/>
    <w:qFormat/>
    <w:pPr>
      <w:spacing w:after="0" w:line="240" w:lineRule="auto"/>
    </w:pPr>
  </w:style>
  <w:style w:type="paragraph" w:styleId="Listenabsatz">
    <w:name w:val="List Paragraph"/>
    <w:basedOn w:val="Standard"/>
    <w:uiPriority w:val="34"/>
    <w:qFormat/>
    <w:pPr>
      <w:ind w:left="720"/>
      <w:contextualSpacing/>
    </w:pPr>
  </w:style>
  <w:style w:type="paragraph" w:styleId="Kommentartext">
    <w:name w:val="annotation text"/>
    <w:basedOn w:val="Standard"/>
    <w:link w:val="KommentartextZchn"/>
    <w:uiPriority w:val="99"/>
    <w:semiHidden/>
    <w:unhideWhenUsed/>
    <w:pPr>
      <w:spacing w:line="240" w:lineRule="auto"/>
    </w:pPr>
    <w:rPr>
      <w:sz w:val="20"/>
      <w:szCs w:val="20"/>
    </w:rPr>
  </w:style>
  <w:style w:type="paragraph" w:styleId="berarbeitung">
    <w:name w:val="Revision"/>
    <w:uiPriority w:val="99"/>
    <w:semiHidden/>
    <w:qFormat/>
    <w:rsid w:val="006660BB"/>
  </w:style>
  <w:style w:type="paragraph" w:customStyle="1" w:styleId="Default">
    <w:name w:val="Default"/>
    <w:qFormat/>
    <w:rsid w:val="00CE7042"/>
    <w:rPr>
      <w:rFonts w:ascii="Myriad Pro Light" w:eastAsia="Arial" w:hAnsi="Myriad Pro Light" w:cs="Myriad Pro Light"/>
      <w:color w:val="000000"/>
      <w:sz w:val="24"/>
      <w:szCs w:val="24"/>
      <w:lang w:val="de-DE"/>
    </w:rPr>
  </w:style>
  <w:style w:type="paragraph" w:customStyle="1" w:styleId="Pa16">
    <w:name w:val="Pa16"/>
    <w:basedOn w:val="Default"/>
    <w:next w:val="Default"/>
    <w:uiPriority w:val="99"/>
    <w:qFormat/>
    <w:rsid w:val="00CE7042"/>
    <w:pPr>
      <w:spacing w:line="151" w:lineRule="atLeast"/>
    </w:pPr>
    <w:rPr>
      <w:rFonts w:cstheme="minorBidi"/>
      <w:color w:val="auto"/>
    </w:rPr>
  </w:style>
  <w:style w:type="paragraph" w:customStyle="1" w:styleId="Pa18">
    <w:name w:val="Pa18"/>
    <w:basedOn w:val="Default"/>
    <w:next w:val="Default"/>
    <w:uiPriority w:val="99"/>
    <w:qFormat/>
    <w:rsid w:val="00CE7042"/>
    <w:pPr>
      <w:spacing w:line="151" w:lineRule="atLeast"/>
    </w:pPr>
    <w:rPr>
      <w:rFonts w:cstheme="minorBidi"/>
      <w:color w:val="auto"/>
    </w:rPr>
  </w:style>
  <w:style w:type="paragraph" w:customStyle="1" w:styleId="Pa5">
    <w:name w:val="Pa5"/>
    <w:basedOn w:val="Default"/>
    <w:next w:val="Default"/>
    <w:uiPriority w:val="99"/>
    <w:qFormat/>
    <w:rsid w:val="00CE7042"/>
    <w:pPr>
      <w:spacing w:line="151" w:lineRule="atLeast"/>
    </w:pPr>
    <w:rPr>
      <w:rFonts w:cstheme="minorBidi"/>
      <w:color w:val="auto"/>
    </w:rPr>
  </w:style>
  <w:style w:type="paragraph" w:customStyle="1" w:styleId="Pa17">
    <w:name w:val="Pa17"/>
    <w:basedOn w:val="Default"/>
    <w:next w:val="Default"/>
    <w:uiPriority w:val="99"/>
    <w:qFormat/>
    <w:rsid w:val="00CE7042"/>
    <w:pPr>
      <w:spacing w:line="151" w:lineRule="atLeast"/>
    </w:pPr>
    <w:rPr>
      <w:rFonts w:cstheme="minorBidi"/>
      <w:color w:val="auto"/>
    </w:rPr>
  </w:style>
  <w:style w:type="paragraph" w:customStyle="1" w:styleId="Pa10">
    <w:name w:val="Pa10"/>
    <w:basedOn w:val="Default"/>
    <w:next w:val="Default"/>
    <w:uiPriority w:val="99"/>
    <w:qFormat/>
    <w:rsid w:val="00CE7042"/>
    <w:pPr>
      <w:spacing w:line="207" w:lineRule="atLeast"/>
    </w:pPr>
    <w:rPr>
      <w:rFonts w:cstheme="minorBidi"/>
      <w:color w:val="auto"/>
    </w:rPr>
  </w:style>
  <w:style w:type="numbering" w:customStyle="1" w:styleId="KeineListeuser">
    <w:name w:val="Keine Liste (user)"/>
    <w:uiPriority w:val="99"/>
    <w:semiHidden/>
    <w:unhideWhenUsed/>
    <w:qFormat/>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rPr>
      <w:tblPr/>
      <w:tcPr>
        <w:tcBorders>
          <w:bottom w:val="single" w:sz="12" w:space="0" w:color="5B9BD5"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rPr>
      <w:tblPr/>
      <w:tcPr>
        <w:tcBorders>
          <w:bottom w:val="single" w:sz="12" w:space="0" w:color="4472C4"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DDEAF6" w:themeFill="accent1" w:themeFillTint="34"/>
      </w:tcPr>
    </w:tblStylePr>
    <w:tblStylePr w:type="band1Horz">
      <w:rPr>
        <w:sz w:val="22"/>
      </w:rPr>
      <w:tblPr/>
      <w:tcPr>
        <w:shd w:val="clear" w:color="DDEAF6" w:fill="DDEAF6"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DDEAF6" w:themeFill="accent1" w:themeFillTint="34"/>
      </w:tcPr>
    </w:tblStylePr>
    <w:tblStylePr w:type="band1Horz">
      <w:rPr>
        <w:sz w:val="22"/>
      </w:rPr>
      <w:tblPr/>
      <w:tcPr>
        <w:shd w:val="clear" w:color="DDEAF6" w:fill="DDEAF6"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rPr>
      <w:tblPr/>
      <w:tcPr>
        <w:tcBorders>
          <w:top w:val="single" w:sz="4" w:space="0" w:color="5B9BD5" w:themeColor="accent1"/>
        </w:tcBorders>
      </w:tcPr>
    </w:tblStylePr>
    <w:tblStylePr w:type="firstCol">
      <w:rPr>
        <w:b/>
      </w:rPr>
    </w:tblStylePr>
    <w:tblStylePr w:type="lastCol">
      <w:rPr>
        <w:b/>
      </w:rPr>
    </w:tblStylePr>
    <w:tblStylePr w:type="band1Vert">
      <w:rPr>
        <w:sz w:val="22"/>
      </w:rPr>
      <w:tblPr/>
      <w:tcPr>
        <w:shd w:val="clear" w:color="DEEBF6" w:fill="DEEBF6" w:themeFill="accent1" w:themeFillTint="32"/>
      </w:tcPr>
    </w:tblStylePr>
    <w:tblStylePr w:type="band1Horz">
      <w:rPr>
        <w:sz w:val="22"/>
      </w:rPr>
      <w:tblPr/>
      <w:tcPr>
        <w:shd w:val="clear" w:color="DEEBF6" w:fill="DEEBF6"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rPr>
      <w:tblPr/>
      <w:tcPr>
        <w:tcBorders>
          <w:top w:val="single" w:sz="4" w:space="0" w:color="4472C4" w:themeColor="accent5"/>
        </w:tcBorders>
      </w:tcPr>
    </w:tblStylePr>
    <w:tblStylePr w:type="firstCol">
      <w:rPr>
        <w:b/>
      </w:rPr>
    </w:tblStylePr>
    <w:tblStylePr w:type="lastCol">
      <w:rPr>
        <w:b/>
      </w:r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5B9BD5" w:themeFill="accent1"/>
      </w:tcPr>
    </w:tblStylePr>
    <w:tblStylePr w:type="lastRow">
      <w:rPr>
        <w:b/>
        <w:sz w:val="22"/>
      </w:rPr>
      <w:tblPr/>
      <w:tcPr>
        <w:tcBorders>
          <w:top w:val="single" w:sz="4" w:space="0" w:color="FFFFFF" w:themeColor="light1"/>
        </w:tcBorders>
        <w:shd w:val="clear" w:color="5B9BD5" w:fill="5B9BD5" w:themeFill="accent1"/>
      </w:tcPr>
    </w:tblStylePr>
    <w:tblStylePr w:type="firstCol">
      <w:rPr>
        <w:b/>
        <w:sz w:val="22"/>
      </w:rPr>
      <w:tblPr/>
      <w:tcPr>
        <w:shd w:val="clear" w:color="5B9BD5" w:fill="5B9BD5" w:themeFill="accent1"/>
      </w:tcPr>
    </w:tblStylePr>
    <w:tblStylePr w:type="lastCol">
      <w:rPr>
        <w:b/>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ED7D31" w:themeFill="accent2"/>
      </w:tcPr>
    </w:tblStylePr>
    <w:tblStylePr w:type="lastRow">
      <w:rPr>
        <w:b/>
        <w:sz w:val="22"/>
      </w:rPr>
      <w:tblPr/>
      <w:tcPr>
        <w:tcBorders>
          <w:top w:val="single" w:sz="4" w:space="0" w:color="FFFFFF" w:themeColor="light1"/>
        </w:tcBorders>
        <w:shd w:val="clear" w:color="ED7D31" w:fill="ED7D31" w:themeFill="accent2"/>
      </w:tcPr>
    </w:tblStylePr>
    <w:tblStylePr w:type="firstCol">
      <w:rPr>
        <w:b/>
        <w:sz w:val="22"/>
      </w:rPr>
      <w:tblPr/>
      <w:tcPr>
        <w:shd w:val="clear" w:color="ED7D31" w:fill="ED7D31" w:themeFill="accent2"/>
      </w:tcPr>
    </w:tblStylePr>
    <w:tblStylePr w:type="lastCol">
      <w:rPr>
        <w:b/>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A5A5A5" w:themeFill="accent3"/>
      </w:tcPr>
    </w:tblStylePr>
    <w:tblStylePr w:type="lastRow">
      <w:rPr>
        <w:b/>
        <w:sz w:val="22"/>
      </w:rPr>
      <w:tblPr/>
      <w:tcPr>
        <w:tcBorders>
          <w:top w:val="single" w:sz="4" w:space="0" w:color="FFFFFF" w:themeColor="light1"/>
        </w:tcBorders>
        <w:shd w:val="clear" w:color="A5A5A5" w:fill="A5A5A5" w:themeFill="accent3"/>
      </w:tcPr>
    </w:tblStylePr>
    <w:tblStylePr w:type="firstCol">
      <w:rPr>
        <w:b/>
        <w:sz w:val="22"/>
      </w:rPr>
      <w:tblPr/>
      <w:tcPr>
        <w:shd w:val="clear" w:color="A5A5A5" w:fill="A5A5A5" w:themeFill="accent3"/>
      </w:tcPr>
    </w:tblStylePr>
    <w:tblStylePr w:type="lastCol">
      <w:rPr>
        <w:b/>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FFC000" w:themeFill="accent4"/>
      </w:tcPr>
    </w:tblStylePr>
    <w:tblStylePr w:type="lastRow">
      <w:rPr>
        <w:b/>
        <w:sz w:val="22"/>
      </w:rPr>
      <w:tblPr/>
      <w:tcPr>
        <w:tcBorders>
          <w:top w:val="single" w:sz="4" w:space="0" w:color="FFFFFF" w:themeColor="light1"/>
        </w:tcBorders>
        <w:shd w:val="clear" w:color="FFC000" w:fill="FFC000" w:themeFill="accent4"/>
      </w:tcPr>
    </w:tblStylePr>
    <w:tblStylePr w:type="firstCol">
      <w:rPr>
        <w:b/>
        <w:sz w:val="22"/>
      </w:rPr>
      <w:tblPr/>
      <w:tcPr>
        <w:shd w:val="clear" w:color="FFC000" w:fill="FFC000" w:themeFill="accent4"/>
      </w:tcPr>
    </w:tblStylePr>
    <w:tblStylePr w:type="lastCol">
      <w:rPr>
        <w:b/>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4472C4" w:themeFill="accent5"/>
      </w:tcPr>
    </w:tblStylePr>
    <w:tblStylePr w:type="lastRow">
      <w:rPr>
        <w:b/>
        <w:sz w:val="22"/>
      </w:rPr>
      <w:tblPr/>
      <w:tcPr>
        <w:tcBorders>
          <w:top w:val="single" w:sz="4" w:space="0" w:color="FFFFFF" w:themeColor="light1"/>
        </w:tcBorders>
        <w:shd w:val="clear" w:color="4472C4" w:fill="4472C4" w:themeFill="accent5"/>
      </w:tcPr>
    </w:tblStylePr>
    <w:tblStylePr w:type="firstCol">
      <w:rPr>
        <w:b/>
        <w:sz w:val="22"/>
      </w:rPr>
      <w:tblPr/>
      <w:tcPr>
        <w:shd w:val="clear" w:color="4472C4" w:fill="4472C4" w:themeFill="accent5"/>
      </w:tcPr>
    </w:tblStylePr>
    <w:tblStylePr w:type="lastCol">
      <w:rPr>
        <w:b/>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70AD47" w:themeFill="accent6"/>
      </w:tcPr>
    </w:tblStylePr>
    <w:tblStylePr w:type="lastRow">
      <w:rPr>
        <w:b/>
        <w:sz w:val="22"/>
      </w:rPr>
      <w:tblPr/>
      <w:tcPr>
        <w:tcBorders>
          <w:top w:val="single" w:sz="4" w:space="0" w:color="FFFFFF" w:themeColor="light1"/>
        </w:tcBorders>
        <w:shd w:val="clear" w:color="70AD47" w:fill="70AD47" w:themeFill="accent6"/>
      </w:tcPr>
    </w:tblStylePr>
    <w:tblStylePr w:type="firstCol">
      <w:rPr>
        <w:b/>
        <w:sz w:val="22"/>
      </w:rPr>
      <w:tblPr/>
      <w:tcPr>
        <w:shd w:val="clear" w:color="70AD47" w:fill="70AD47" w:themeFill="accent6"/>
      </w:tcPr>
    </w:tblStylePr>
    <w:tblStylePr w:type="lastCol">
      <w:rPr>
        <w:b/>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D5E5F4" w:themeFill="accent1" w:themeFillTint="40"/>
      </w:tcPr>
    </w:tblStylePr>
    <w:tblStylePr w:type="band1Horz">
      <w:rPr>
        <w:sz w:val="22"/>
      </w:rPr>
      <w:tblPr/>
      <w:tcPr>
        <w:shd w:val="clear" w:color="D5E5F4" w:fill="D5E5F4"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CFDBF0" w:themeFill="accent5" w:themeFillTint="40"/>
      </w:tcPr>
    </w:tblStylePr>
    <w:tblStylePr w:type="band1Horz">
      <w:rPr>
        <w:sz w:val="22"/>
      </w:rPr>
      <w:tblPr/>
      <w:tcPr>
        <w:shd w:val="clear" w:color="CFDBF0" w:fill="CFDB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sz w:val="22"/>
      </w:rPr>
      <w:tblPr/>
      <w:tcPr>
        <w:shd w:val="clear" w:color="5B9BD5" w:fill="5B9BD5"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1"/>
          <w:right w:val="single" w:sz="4" w:space="0" w:color="5B9BD5" w:themeColor="accent1"/>
        </w:tcBorders>
      </w:tcPr>
    </w:tblStylePr>
    <w:tblStylePr w:type="band1Horz">
      <w:rPr>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4B184"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C9C9C9"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D865"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sz w:val="22"/>
      </w:rPr>
      <w:tblPr/>
      <w:tcPr>
        <w:shd w:val="clear" w:color="8DA9DB" w:fill="8DA9DB"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5"/>
          <w:right w:val="single" w:sz="4" w:space="0" w:color="4472C4" w:themeColor="accent5"/>
        </w:tcBorders>
      </w:tcPr>
    </w:tblStylePr>
    <w:tblStylePr w:type="band1Horz">
      <w:rPr>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A9D08E"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sz w:val="22"/>
      </w:rPr>
      <w:tblPr/>
      <w:tcPr>
        <w:shd w:val="clear" w:color="5B9BD5" w:fill="5B9BD5" w:themeFill="accent1"/>
      </w:tcPr>
    </w:tblStylePr>
    <w:tblStylePr w:type="lastRow">
      <w:rPr>
        <w:b/>
      </w:rPr>
    </w:tblStylePr>
    <w:tblStylePr w:type="firstCol">
      <w:rPr>
        <w:b/>
      </w:rPr>
    </w:tblStylePr>
    <w:tblStylePr w:type="lastCol">
      <w:rPr>
        <w:b/>
      </w:rPr>
    </w:tblStylePr>
    <w:tblStylePr w:type="band1Vert">
      <w:rPr>
        <w:sz w:val="22"/>
      </w:rPr>
      <w:tblPr/>
      <w:tcPr>
        <w:shd w:val="clear" w:color="D5E5F4" w:fill="D5E5F4" w:themeFill="accent1" w:themeFillTint="40"/>
      </w:tcPr>
    </w:tblStylePr>
    <w:tblStylePr w:type="band1Horz">
      <w:rPr>
        <w:sz w:val="22"/>
      </w:rPr>
      <w:tblPr/>
      <w:tcPr>
        <w:shd w:val="clear" w:color="D5E5F4" w:fill="D5E5F4"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ED7D31"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A5A5A5"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C000"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sz w:val="22"/>
      </w:rPr>
      <w:tblPr/>
      <w:tcPr>
        <w:shd w:val="clear" w:color="4472C4" w:fill="4472C4" w:themeFill="accent5"/>
      </w:tcPr>
    </w:tblStylePr>
    <w:tblStylePr w:type="lastRow">
      <w:rPr>
        <w:b/>
      </w:rPr>
    </w:tblStylePr>
    <w:tblStylePr w:type="firstCol">
      <w:rPr>
        <w:b/>
      </w:rPr>
    </w:tblStylePr>
    <w:tblStylePr w:type="lastCol">
      <w:rPr>
        <w:b/>
      </w:rPr>
    </w:tblStylePr>
    <w:tblStylePr w:type="band1Vert">
      <w:rPr>
        <w:sz w:val="22"/>
      </w:rPr>
      <w:tblPr/>
      <w:tcPr>
        <w:shd w:val="clear" w:color="CFDBF0" w:fill="CFDBF0" w:themeFill="accent5" w:themeFillTint="40"/>
      </w:tcPr>
    </w:tblStylePr>
    <w:tblStylePr w:type="band1Horz">
      <w:rPr>
        <w:sz w:val="22"/>
      </w:rPr>
      <w:tblPr/>
      <w:tcPr>
        <w:shd w:val="clear" w:color="CFDBF0" w:fill="CFDB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70AD47"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NormaleTabelle"/>
    <w:uiPriority w:val="99"/>
    <w:rPr>
      <w:sz w:val="20"/>
      <w:szCs w:val="20"/>
      <w:lang w:val="de-DE" w:eastAsia="de-DE"/>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NormaleTabelle"/>
    <w:uiPriority w:val="99"/>
    <w:rPr>
      <w:sz w:val="20"/>
      <w:szCs w:val="20"/>
      <w:lang w:val="de-DE" w:eastAsia="de-DE"/>
    </w:rPr>
    <w:tblPr>
      <w:tblStyleRowBandSize w:val="1"/>
      <w:tblStyleColBandSize w:val="1"/>
    </w:tblPr>
    <w:tblStylePr w:type="firstRow">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tblStylePr w:type="firstCol">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band1Vert">
      <w:rPr>
        <w:sz w:val="22"/>
      </w:rPr>
    </w:tblStylePr>
    <w:tblStylePr w:type="band2Vert">
      <w:rPr>
        <w:sz w:val="22"/>
      </w:rPr>
      <w:tblPr/>
      <w:tcPr>
        <w:shd w:val="clear" w:color="CBDFF1" w:fill="CBDFF1" w:themeFill="accent1" w:themeFillTint="50"/>
      </w:tcPr>
    </w:tblStylePr>
    <w:tblStylePr w:type="band1Horz">
      <w:rPr>
        <w:sz w:val="22"/>
      </w:rPr>
    </w:tblStylePr>
    <w:tblStylePr w:type="band2Horz">
      <w:rPr>
        <w:sz w:val="22"/>
      </w:rPr>
      <w:tblPr/>
      <w:tcPr>
        <w:shd w:val="clear" w:color="CBDFF1" w:fill="CBDFF1" w:themeFill="accent1" w:themeFillTint="50"/>
      </w:tcPr>
    </w:tblStylePr>
  </w:style>
  <w:style w:type="table" w:customStyle="1" w:styleId="Lined-Accent2">
    <w:name w:val="Lined - Accent 2"/>
    <w:basedOn w:val="NormaleTabelle"/>
    <w:uiPriority w:val="99"/>
    <w:rPr>
      <w:sz w:val="20"/>
      <w:szCs w:val="20"/>
      <w:lang w:val="de-DE" w:eastAsia="de-DE"/>
    </w:rPr>
    <w:tblPr>
      <w:tblStyleRowBandSize w:val="1"/>
      <w:tblStyleColBandSize w:val="1"/>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Lined-Accent3">
    <w:name w:val="Lined - Accent 3"/>
    <w:basedOn w:val="NormaleTabelle"/>
    <w:uiPriority w:val="99"/>
    <w:rPr>
      <w:sz w:val="20"/>
      <w:szCs w:val="20"/>
      <w:lang w:val="de-DE" w:eastAsia="de-DE"/>
    </w:rPr>
    <w:tblPr>
      <w:tblStyleRowBandSize w:val="1"/>
      <w:tblStyleColBandSize w:val="1"/>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Lined-Accent4">
    <w:name w:val="Lined - Accent 4"/>
    <w:basedOn w:val="NormaleTabelle"/>
    <w:uiPriority w:val="99"/>
    <w:rPr>
      <w:sz w:val="20"/>
      <w:szCs w:val="20"/>
      <w:lang w:val="de-DE" w:eastAsia="de-DE"/>
    </w:rPr>
    <w:tblPr>
      <w:tblStyleRowBandSize w:val="1"/>
      <w:tblStyleColBandSize w:val="1"/>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Lined-Accent5">
    <w:name w:val="Lined - Accent 5"/>
    <w:basedOn w:val="NormaleTabelle"/>
    <w:uiPriority w:val="99"/>
    <w:rPr>
      <w:sz w:val="20"/>
      <w:szCs w:val="20"/>
      <w:lang w:val="de-DE" w:eastAsia="de-DE"/>
    </w:rPr>
    <w:tblPr>
      <w:tblStyleRowBandSize w:val="1"/>
      <w:tblStyleColBandSize w:val="1"/>
    </w:tblPr>
    <w:tblStylePr w:type="firstRow">
      <w:rPr>
        <w:sz w:val="22"/>
      </w:rPr>
      <w:tblPr/>
      <w:tcPr>
        <w:shd w:val="clear" w:color="4472C4" w:fill="4472C4" w:themeFill="accent5"/>
      </w:tcPr>
    </w:tblStylePr>
    <w:tblStylePr w:type="lastRow">
      <w:rPr>
        <w:sz w:val="22"/>
      </w:rPr>
      <w:tblPr/>
      <w:tcPr>
        <w:shd w:val="clear" w:color="4472C4" w:fill="4472C4" w:themeFill="accent5"/>
      </w:tcPr>
    </w:tblStylePr>
    <w:tblStylePr w:type="firstCol">
      <w:rPr>
        <w:sz w:val="22"/>
      </w:rPr>
      <w:tblPr/>
      <w:tcPr>
        <w:shd w:val="clear" w:color="4472C4" w:fill="4472C4" w:themeFill="accent5"/>
      </w:tcPr>
    </w:tblStylePr>
    <w:tblStylePr w:type="lastCol">
      <w:rPr>
        <w:sz w:val="22"/>
      </w:rPr>
      <w:tblPr/>
      <w:tcPr>
        <w:shd w:val="clear" w:color="4472C4" w:fill="4472C4" w:themeFill="accent5"/>
      </w:tcPr>
    </w:tblStylePr>
    <w:tblStylePr w:type="band1Vert">
      <w:rPr>
        <w:sz w:val="22"/>
      </w:rPr>
    </w:tblStylePr>
    <w:tblStylePr w:type="band2Vert">
      <w:rPr>
        <w:sz w:val="22"/>
      </w:rPr>
      <w:tblPr/>
      <w:tcPr>
        <w:shd w:val="clear" w:color="D8E2F3" w:fill="D8E2F3" w:themeFill="accent5" w:themeFillTint="34"/>
      </w:tcPr>
    </w:tblStylePr>
    <w:tblStylePr w:type="band1Horz">
      <w:rPr>
        <w:sz w:val="22"/>
      </w:rPr>
    </w:tblStylePr>
    <w:tblStylePr w:type="band2Horz">
      <w:rPr>
        <w:sz w:val="22"/>
      </w:rPr>
      <w:tblPr/>
      <w:tcPr>
        <w:shd w:val="clear" w:color="D8E2F3" w:fill="D8E2F3" w:themeFill="accent5" w:themeFillTint="34"/>
      </w:tcPr>
    </w:tblStylePr>
  </w:style>
  <w:style w:type="table" w:customStyle="1" w:styleId="Lined-Accent6">
    <w:name w:val="Lined - Accent 6"/>
    <w:basedOn w:val="NormaleTabelle"/>
    <w:uiPriority w:val="99"/>
    <w:rPr>
      <w:sz w:val="20"/>
      <w:szCs w:val="20"/>
      <w:lang w:val="de-DE" w:eastAsia="de-DE"/>
    </w:rPr>
    <w:tblPr>
      <w:tblStyleRowBandSize w:val="1"/>
      <w:tblStyleColBandSize w:val="1"/>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Lined-Accent">
    <w:name w:val="Bordered &amp; Lined - Accent"/>
    <w:basedOn w:val="NormaleTabelle"/>
    <w:uiPriority w:val="99"/>
    <w:rPr>
      <w:sz w:val="2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NormaleTabelle"/>
    <w:uiPriority w:val="99"/>
    <w:rPr>
      <w:sz w:val="20"/>
      <w:szCs w:val="20"/>
      <w:lang w:val="de-DE" w:eastAsia="de-DE"/>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tblStylePr w:type="firstCol">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band1Vert">
      <w:rPr>
        <w:sz w:val="22"/>
      </w:rPr>
    </w:tblStylePr>
    <w:tblStylePr w:type="band2Vert">
      <w:rPr>
        <w:sz w:val="22"/>
      </w:rPr>
      <w:tblPr/>
      <w:tcPr>
        <w:shd w:val="clear" w:color="CBDFF1" w:fill="CBDFF1" w:themeFill="accent1" w:themeFillTint="50"/>
      </w:tcPr>
    </w:tblStylePr>
    <w:tblStylePr w:type="band1Horz">
      <w:rPr>
        <w:sz w:val="22"/>
      </w:rPr>
    </w:tblStylePr>
    <w:tblStylePr w:type="band2Horz">
      <w:rPr>
        <w:sz w:val="22"/>
      </w:rPr>
      <w:tblPr/>
      <w:tcPr>
        <w:shd w:val="clear" w:color="CBDFF1" w:fill="CBDFF1" w:themeFill="accent1" w:themeFillTint="50"/>
      </w:tcPr>
    </w:tblStylePr>
  </w:style>
  <w:style w:type="table" w:customStyle="1" w:styleId="BorderedLined-Accent2">
    <w:name w:val="Bordered &amp; Lined - Accent 2"/>
    <w:basedOn w:val="NormaleTabelle"/>
    <w:uiPriority w:val="99"/>
    <w:rPr>
      <w:sz w:val="20"/>
      <w:szCs w:val="20"/>
      <w:lang w:val="de-DE" w:eastAsia="de-D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BorderedLined-Accent3">
    <w:name w:val="Bordered &amp; Lined - Accent 3"/>
    <w:basedOn w:val="NormaleTabelle"/>
    <w:uiPriority w:val="99"/>
    <w:rPr>
      <w:sz w:val="20"/>
      <w:szCs w:val="20"/>
      <w:lang w:val="de-DE" w:eastAsia="de-D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BorderedLined-Accent4">
    <w:name w:val="Bordered &amp; Lined - Accent 4"/>
    <w:basedOn w:val="NormaleTabelle"/>
    <w:uiPriority w:val="99"/>
    <w:rPr>
      <w:sz w:val="20"/>
      <w:szCs w:val="20"/>
      <w:lang w:val="de-DE" w:eastAsia="de-D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BorderedLined-Accent5">
    <w:name w:val="Bordered &amp; Lined - Accent 5"/>
    <w:basedOn w:val="NormaleTabelle"/>
    <w:uiPriority w:val="99"/>
    <w:rPr>
      <w:sz w:val="20"/>
      <w:szCs w:val="20"/>
      <w:lang w:val="de-DE" w:eastAsia="de-DE"/>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sz w:val="22"/>
      </w:rPr>
      <w:tblPr/>
      <w:tcPr>
        <w:shd w:val="clear" w:color="4472C4" w:fill="4472C4" w:themeFill="accent5"/>
      </w:tcPr>
    </w:tblStylePr>
    <w:tblStylePr w:type="lastRow">
      <w:rPr>
        <w:sz w:val="22"/>
      </w:rPr>
      <w:tblPr/>
      <w:tcPr>
        <w:shd w:val="clear" w:color="4472C4" w:fill="4472C4" w:themeFill="accent5"/>
      </w:tcPr>
    </w:tblStylePr>
    <w:tblStylePr w:type="firstCol">
      <w:rPr>
        <w:sz w:val="22"/>
      </w:rPr>
      <w:tblPr/>
      <w:tcPr>
        <w:shd w:val="clear" w:color="4472C4" w:fill="4472C4" w:themeFill="accent5"/>
      </w:tcPr>
    </w:tblStylePr>
    <w:tblStylePr w:type="lastCol">
      <w:rPr>
        <w:sz w:val="22"/>
      </w:rPr>
      <w:tblPr/>
      <w:tcPr>
        <w:shd w:val="clear" w:color="4472C4" w:fill="4472C4" w:themeFill="accent5"/>
      </w:tcPr>
    </w:tblStylePr>
    <w:tblStylePr w:type="band1Vert">
      <w:rPr>
        <w:sz w:val="22"/>
      </w:rPr>
    </w:tblStylePr>
    <w:tblStylePr w:type="band2Vert">
      <w:rPr>
        <w:sz w:val="22"/>
      </w:rPr>
      <w:tblPr/>
      <w:tcPr>
        <w:shd w:val="clear" w:color="D8E2F3" w:fill="D8E2F3" w:themeFill="accent5" w:themeFillTint="34"/>
      </w:tcPr>
    </w:tblStylePr>
    <w:tblStylePr w:type="band1Horz">
      <w:rPr>
        <w:sz w:val="22"/>
      </w:rPr>
    </w:tblStylePr>
    <w:tblStylePr w:type="band2Horz">
      <w:rPr>
        <w:sz w:val="22"/>
      </w:rPr>
      <w:tblPr/>
      <w:tcPr>
        <w:shd w:val="clear" w:color="D8E2F3" w:fill="D8E2F3" w:themeFill="accent5" w:themeFillTint="34"/>
      </w:tcPr>
    </w:tblStylePr>
  </w:style>
  <w:style w:type="table" w:customStyle="1" w:styleId="BorderedLined-Accent6">
    <w:name w:val="Bordered &amp; Lined - Accent 6"/>
    <w:basedOn w:val="NormaleTabelle"/>
    <w:uiPriority w:val="99"/>
    <w:rPr>
      <w:sz w:val="20"/>
      <w:szCs w:val="20"/>
      <w:lang w:val="de-DE" w:eastAsia="de-D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sz w:val="22"/>
      </w:rPr>
      <w:tblPr/>
      <w:tcPr>
        <w:tcBorders>
          <w:bottom w:val="single" w:sz="12" w:space="0" w:color="5B9BD5" w:themeColor="accent1"/>
        </w:tcBorders>
      </w:tcPr>
    </w:tblStylePr>
    <w:tblStylePr w:type="lastRow">
      <w:rPr>
        <w:sz w:val="22"/>
      </w:rPr>
      <w:tblPr/>
      <w:tcPr>
        <w:tcBorders>
          <w:top w:val="single" w:sz="12" w:space="0" w:color="5B9BD5" w:themeColor="accent1"/>
        </w:tcBorders>
      </w:tcPr>
    </w:tblStylePr>
    <w:tblStylePr w:type="firstCol">
      <w:rPr>
        <w:sz w:val="22"/>
      </w:rPr>
    </w:tblStylePr>
    <w:tblStylePr w:type="lastCol">
      <w:rPr>
        <w:sz w:val="22"/>
      </w:rPr>
      <w:tblPr/>
      <w:tcPr>
        <w:tcBorders>
          <w:left w:val="single" w:sz="12" w:space="0" w:color="5B9BD5" w:themeColor="accent1"/>
        </w:tcBorders>
      </w:tc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sz w:val="22"/>
      </w:rPr>
      <w:tblPr/>
      <w:tcPr>
        <w:tcBorders>
          <w:bottom w:val="single" w:sz="12" w:space="0" w:color="4472C4" w:themeColor="accent5"/>
        </w:tcBorders>
      </w:tcPr>
    </w:tblStylePr>
    <w:tblStylePr w:type="lastRow">
      <w:rPr>
        <w:sz w:val="22"/>
      </w:rPr>
      <w:tblPr/>
      <w:tcPr>
        <w:tcBorders>
          <w:top w:val="single" w:sz="12" w:space="0" w:color="4472C4" w:themeColor="accent5"/>
        </w:tcBorders>
      </w:tcPr>
    </w:tblStylePr>
    <w:tblStylePr w:type="firstCol">
      <w:rPr>
        <w:sz w:val="22"/>
      </w:rPr>
    </w:tblStylePr>
    <w:tblStylePr w:type="lastCol">
      <w:rPr>
        <w:sz w:val="22"/>
      </w:rPr>
      <w:tblPr/>
      <w:tcPr>
        <w:tcBorders>
          <w:left w:val="single" w:sz="12" w:space="0" w:color="4472C4" w:themeColor="accent5"/>
        </w:tcBorders>
      </w:tc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63186">
      <w:bodyDiv w:val="1"/>
      <w:marLeft w:val="0"/>
      <w:marRight w:val="0"/>
      <w:marTop w:val="0"/>
      <w:marBottom w:val="0"/>
      <w:divBdr>
        <w:top w:val="none" w:sz="0" w:space="0" w:color="auto"/>
        <w:left w:val="none" w:sz="0" w:space="0" w:color="auto"/>
        <w:bottom w:val="none" w:sz="0" w:space="0" w:color="auto"/>
        <w:right w:val="none" w:sz="0" w:space="0" w:color="auto"/>
      </w:divBdr>
      <w:divsChild>
        <w:div w:id="11275478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New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6350" cap="flat" cmpd="sng" algn="ctr"/>
        <a:ln w="12700" cap="flat" cmpd="sng" algn="ctr"/>
        <a:ln w="19050" cap="flat" cmpd="sng" algn="ctr"/>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10BC1-90CA-4A11-A719-A44E6E664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2594</Words>
  <Characters>16345</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Riet</dc:creator>
  <dc:description/>
  <cp:lastModifiedBy>Tobias Riet</cp:lastModifiedBy>
  <cp:revision>9</cp:revision>
  <dcterms:created xsi:type="dcterms:W3CDTF">2026-05-06T11:21:00Z</dcterms:created>
  <dcterms:modified xsi:type="dcterms:W3CDTF">2026-05-07T14:19:00Z</dcterms:modified>
  <dc:language>de-DE</dc:language>
</cp:coreProperties>
</file>