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50A6" w14:textId="1EF3AB0F" w:rsidR="00113E7C" w:rsidRPr="00B03D43" w:rsidRDefault="00716614">
      <w:pPr>
        <w:rPr>
          <w:rFonts w:ascii="Times New Roman" w:hAnsi="Times New Roman"/>
          <w:color w:val="000000" w:themeColor="text1"/>
          <w:sz w:val="24"/>
        </w:rPr>
      </w:pPr>
      <w:bookmarkStart w:id="0" w:name="_Hlk233815668"/>
      <w:r w:rsidRPr="00B03D43">
        <w:rPr>
          <w:noProof/>
          <w:color w:val="000000" w:themeColor="text1"/>
        </w:rPr>
        <w:drawing>
          <wp:anchor distT="0" distB="0" distL="114300" distR="114300" simplePos="0" relativeHeight="251678208" behindDoc="0" locked="0" layoutInCell="1" allowOverlap="1" wp14:anchorId="44B71E01" wp14:editId="123EA586">
            <wp:simplePos x="1135117" y="945931"/>
            <wp:positionH relativeFrom="margin">
              <wp:align>center</wp:align>
            </wp:positionH>
            <wp:positionV relativeFrom="margin">
              <wp:align>top</wp:align>
            </wp:positionV>
            <wp:extent cx="6840000" cy="4501257"/>
            <wp:effectExtent l="0" t="0" r="0" b="0"/>
            <wp:wrapSquare wrapText="bothSides"/>
            <wp:docPr id="16924396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4501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45037" w:rsidRPr="00B03D43">
        <w:rPr>
          <w:rFonts w:ascii="Times New Roman" w:hAnsi="Times New Roman"/>
          <w:b/>
          <w:bCs/>
          <w:color w:val="000000" w:themeColor="text1"/>
          <w:sz w:val="24"/>
        </w:rPr>
        <w:t xml:space="preserve"> Supplementary Figure 1 UMAP Visualization of Integrated Single-Cell RNA Sequencing Data.</w:t>
      </w:r>
    </w:p>
    <w:p w14:paraId="53F739A4" w14:textId="1B36D807" w:rsidR="00113E7C" w:rsidRPr="00B03D43" w:rsidRDefault="00000000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(A)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 UMAP plot of clustered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scRNA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>-seq data from merged samples.</w:t>
      </w:r>
    </w:p>
    <w:p w14:paraId="3C9D1B54" w14:textId="303EDF62" w:rsidR="004834EC" w:rsidRPr="00B03D43" w:rsidRDefault="00716614">
      <w:pPr>
        <w:rPr>
          <w:rFonts w:ascii="Times New Roman" w:hAnsi="Times New Roman"/>
          <w:b/>
          <w:bCs/>
          <w:color w:val="000000" w:themeColor="text1"/>
          <w:sz w:val="24"/>
        </w:rPr>
      </w:pPr>
      <w:r w:rsidRPr="00B03D43">
        <w:rPr>
          <w:noProof/>
          <w:color w:val="000000" w:themeColor="text1"/>
        </w:rPr>
        <w:lastRenderedPageBreak/>
        <w:drawing>
          <wp:anchor distT="0" distB="0" distL="114300" distR="114300" simplePos="0" relativeHeight="251679232" behindDoc="0" locked="0" layoutInCell="1" allowOverlap="1" wp14:anchorId="00D8AAA4" wp14:editId="7E976D07">
            <wp:simplePos x="1135117" y="977462"/>
            <wp:positionH relativeFrom="margin">
              <wp:align>center</wp:align>
            </wp:positionH>
            <wp:positionV relativeFrom="margin">
              <wp:align>center</wp:align>
            </wp:positionV>
            <wp:extent cx="6840000" cy="9888601"/>
            <wp:effectExtent l="0" t="0" r="0" b="0"/>
            <wp:wrapSquare wrapText="bothSides"/>
            <wp:docPr id="8827417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988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037" w:rsidRPr="00B03D43">
        <w:rPr>
          <w:rFonts w:ascii="Times New Roman" w:hAnsi="Times New Roman"/>
          <w:b/>
          <w:bCs/>
          <w:color w:val="000000" w:themeColor="text1"/>
          <w:sz w:val="24"/>
        </w:rPr>
        <w:t xml:space="preserve"> </w:t>
      </w:r>
    </w:p>
    <w:p w14:paraId="6259A786" w14:textId="66C2855F" w:rsidR="00113E7C" w:rsidRPr="00B03D43" w:rsidRDefault="00845037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lastRenderedPageBreak/>
        <w:t xml:space="preserve">Supplementary Figure 2 Inference of CNV and Analysis of </w:t>
      </w:r>
      <w:proofErr w:type="spellStart"/>
      <w:r w:rsidR="002B5004" w:rsidRPr="00B03D43">
        <w:rPr>
          <w:rFonts w:ascii="Times New Roman" w:hAnsi="Times New Roman"/>
          <w:b/>
          <w:bCs/>
          <w:color w:val="000000" w:themeColor="text1"/>
          <w:sz w:val="24"/>
        </w:rPr>
        <w:t>pseudotemporal</w:t>
      </w:r>
      <w:proofErr w:type="spellEnd"/>
      <w:r w:rsidR="002B5004" w:rsidRPr="00B03D43">
        <w:rPr>
          <w:rFonts w:ascii="Times New Roman" w:hAnsi="Times New Roman"/>
          <w:b/>
          <w:bCs/>
          <w:color w:val="000000" w:themeColor="text1"/>
          <w:sz w:val="24"/>
        </w:rPr>
        <w:t xml:space="preserve"> ordering</w:t>
      </w:r>
      <w:r w:rsidRPr="00B03D43">
        <w:rPr>
          <w:rFonts w:ascii="Times New Roman" w:hAnsi="Times New Roman"/>
          <w:b/>
          <w:bCs/>
          <w:color w:val="000000" w:themeColor="text1"/>
          <w:sz w:val="24"/>
        </w:rPr>
        <w:t xml:space="preserve"> in Bladder Cancer Cells.</w:t>
      </w:r>
    </w:p>
    <w:p w14:paraId="5B67F17F" w14:textId="7969DF18" w:rsidR="00113E7C" w:rsidRPr="00B03D43" w:rsidRDefault="00000000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(A)</w:t>
      </w:r>
      <w:r w:rsidRPr="00B03D43">
        <w:rPr>
          <w:rFonts w:ascii="Times New Roman" w:hAnsi="Times New Roman"/>
          <w:color w:val="000000" w:themeColor="text1"/>
          <w:sz w:val="24"/>
        </w:rPr>
        <w:t> Heatmap of</w:t>
      </w:r>
      <w:r w:rsidR="00FB0245" w:rsidRPr="00B03D43">
        <w:rPr>
          <w:rFonts w:ascii="Times New Roman" w:hAnsi="Times New Roman" w:hint="eastAsia"/>
          <w:color w:val="000000" w:themeColor="text1"/>
          <w:sz w:val="24"/>
        </w:rPr>
        <w:t xml:space="preserve"> </w:t>
      </w:r>
      <w:r w:rsidRPr="00B03D43">
        <w:rPr>
          <w:rFonts w:ascii="Times New Roman" w:hAnsi="Times New Roman"/>
          <w:color w:val="000000" w:themeColor="text1"/>
          <w:sz w:val="24"/>
        </w:rPr>
        <w:t>CNV in bladder cancer epithelial cells.</w:t>
      </w:r>
    </w:p>
    <w:p w14:paraId="023798AD" w14:textId="77777777" w:rsidR="00113E7C" w:rsidRPr="00B03D43" w:rsidRDefault="00000000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(B)</w:t>
      </w:r>
      <w:r w:rsidRPr="00B03D43">
        <w:rPr>
          <w:rFonts w:ascii="Times New Roman" w:hAnsi="Times New Roman"/>
          <w:color w:val="000000" w:themeColor="text1"/>
          <w:sz w:val="24"/>
        </w:rPr>
        <w:t> Violin plots showing total CNV scores for each cell type.</w:t>
      </w:r>
    </w:p>
    <w:p w14:paraId="65A2CF9C" w14:textId="77777777" w:rsidR="00113E7C" w:rsidRPr="00B03D43" w:rsidRDefault="00000000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(C)</w:t>
      </w:r>
      <w:r w:rsidRPr="00B03D43">
        <w:rPr>
          <w:rFonts w:ascii="Times New Roman" w:hAnsi="Times New Roman"/>
          <w:color w:val="000000" w:themeColor="text1"/>
          <w:sz w:val="24"/>
        </w:rPr>
        <w:t> UMAP plot showing the clustering distribution of epithelial cells. Each dot represents a single cell, with different colors indicating different clusters.</w:t>
      </w:r>
    </w:p>
    <w:p w14:paraId="49228589" w14:textId="3E679672" w:rsidR="00113E7C" w:rsidRPr="00B03D43" w:rsidRDefault="00000000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(D)</w:t>
      </w:r>
      <w:r w:rsidRPr="00B03D43">
        <w:rPr>
          <w:rFonts w:ascii="Times New Roman" w:hAnsi="Times New Roman"/>
          <w:color w:val="000000" w:themeColor="text1"/>
          <w:sz w:val="24"/>
        </w:rPr>
        <w:t> </w:t>
      </w:r>
      <w:r w:rsidR="0089014A" w:rsidRPr="00B03D43">
        <w:rPr>
          <w:rFonts w:ascii="Times New Roman" w:hAnsi="Times New Roman"/>
          <w:color w:val="000000" w:themeColor="text1"/>
          <w:sz w:val="24"/>
        </w:rPr>
        <w:t xml:space="preserve">Distribution of components in the </w:t>
      </w:r>
      <w:proofErr w:type="spellStart"/>
      <w:r w:rsidR="0089014A" w:rsidRPr="00B03D43">
        <w:rPr>
          <w:rFonts w:ascii="Times New Roman" w:hAnsi="Times New Roman"/>
          <w:color w:val="000000" w:themeColor="text1"/>
          <w:sz w:val="24"/>
        </w:rPr>
        <w:t>pseudotemporal</w:t>
      </w:r>
      <w:proofErr w:type="spellEnd"/>
      <w:r w:rsidR="0089014A" w:rsidRPr="00B03D43">
        <w:rPr>
          <w:rFonts w:ascii="Times New Roman" w:hAnsi="Times New Roman"/>
          <w:color w:val="000000" w:themeColor="text1"/>
          <w:sz w:val="24"/>
        </w:rPr>
        <w:t xml:space="preserve"> ordering space.</w:t>
      </w:r>
    </w:p>
    <w:p w14:paraId="104601B5" w14:textId="7F90EA67" w:rsidR="00113E7C" w:rsidRPr="00B03D43" w:rsidRDefault="00000000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(E)</w:t>
      </w:r>
      <w:r w:rsidRPr="00B03D43">
        <w:rPr>
          <w:rFonts w:ascii="Times New Roman" w:hAnsi="Times New Roman"/>
          <w:color w:val="000000" w:themeColor="text1"/>
          <w:sz w:val="24"/>
        </w:rPr>
        <w:t> </w:t>
      </w:r>
      <w:proofErr w:type="spellStart"/>
      <w:r w:rsidR="0089014A" w:rsidRPr="00B03D43">
        <w:rPr>
          <w:rFonts w:ascii="Times New Roman" w:hAnsi="Times New Roman" w:hint="eastAsia"/>
          <w:color w:val="000000" w:themeColor="text1"/>
          <w:sz w:val="24"/>
        </w:rPr>
        <w:t>Pseudotemporal</w:t>
      </w:r>
      <w:proofErr w:type="spellEnd"/>
      <w:r w:rsidR="0089014A" w:rsidRPr="00B03D43">
        <w:rPr>
          <w:rFonts w:ascii="Times New Roman" w:hAnsi="Times New Roman" w:hint="eastAsia"/>
          <w:color w:val="000000" w:themeColor="text1"/>
          <w:sz w:val="24"/>
        </w:rPr>
        <w:t xml:space="preserve"> ordering of tumor cells with different CNV levels inferred by Monocle2 (colored by CNV level and shown in facets).</w:t>
      </w:r>
    </w:p>
    <w:p w14:paraId="4E6B2CB8" w14:textId="7803FFA0" w:rsidR="00113E7C" w:rsidRPr="00B03D43" w:rsidRDefault="00000000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(F</w:t>
      </w:r>
      <w:r w:rsidR="0089014A"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 xml:space="preserve">) </w:t>
      </w:r>
      <w:proofErr w:type="spellStart"/>
      <w:r w:rsidR="0089014A" w:rsidRPr="00B03D43">
        <w:rPr>
          <w:rFonts w:ascii="Times New Roman" w:hAnsi="Times New Roman" w:hint="eastAsia"/>
          <w:color w:val="000000" w:themeColor="text1"/>
          <w:sz w:val="24"/>
        </w:rPr>
        <w:t>Pseudotemporal</w:t>
      </w:r>
      <w:proofErr w:type="spellEnd"/>
      <w:r w:rsidR="0089014A" w:rsidRPr="00B03D43">
        <w:rPr>
          <w:rFonts w:ascii="Times New Roman" w:hAnsi="Times New Roman" w:hint="eastAsia"/>
          <w:color w:val="000000" w:themeColor="text1"/>
          <w:sz w:val="24"/>
        </w:rPr>
        <w:t xml:space="preserve"> ordering of tumor cells with different CNV levels inferred by Monocle2 (colored by sample type and shown in facets).</w:t>
      </w:r>
    </w:p>
    <w:p w14:paraId="709256A3" w14:textId="6BAC74CA" w:rsidR="004834EC" w:rsidRPr="00B03D43" w:rsidRDefault="00716614">
      <w:pPr>
        <w:rPr>
          <w:rFonts w:ascii="Times New Roman" w:hAnsi="Times New Roman"/>
          <w:b/>
          <w:bCs/>
          <w:color w:val="000000" w:themeColor="text1"/>
          <w:sz w:val="24"/>
        </w:rPr>
      </w:pPr>
      <w:r w:rsidRPr="00B03D43">
        <w:rPr>
          <w:noProof/>
          <w:color w:val="000000" w:themeColor="text1"/>
        </w:rPr>
        <w:lastRenderedPageBreak/>
        <w:drawing>
          <wp:anchor distT="0" distB="0" distL="114300" distR="114300" simplePos="0" relativeHeight="251680256" behindDoc="0" locked="0" layoutInCell="1" allowOverlap="1" wp14:anchorId="097AB820" wp14:editId="351EEDD9">
            <wp:simplePos x="1135117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6840000" cy="9888601"/>
            <wp:effectExtent l="0" t="0" r="0" b="0"/>
            <wp:wrapSquare wrapText="bothSides"/>
            <wp:docPr id="171139206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988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45037" w:rsidRPr="00B03D43">
        <w:rPr>
          <w:rFonts w:ascii="Times New Roman" w:hAnsi="Times New Roman"/>
          <w:b/>
          <w:bCs/>
          <w:color w:val="000000" w:themeColor="text1"/>
          <w:sz w:val="24"/>
        </w:rPr>
        <w:t xml:space="preserve"> </w:t>
      </w:r>
    </w:p>
    <w:p w14:paraId="15C4226B" w14:textId="722E2D72" w:rsidR="00113E7C" w:rsidRPr="00B03D43" w:rsidRDefault="00845037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lastRenderedPageBreak/>
        <w:t>Supplementary Figure 3 Cell-Cell Communication and Metabolic Characteristics of HCNV Tumor Cells.</w:t>
      </w:r>
    </w:p>
    <w:p w14:paraId="7EB2B626" w14:textId="18FC37CE" w:rsidR="00113E7C" w:rsidRPr="00B03D43" w:rsidRDefault="00000000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(A)</w:t>
      </w:r>
      <w:r w:rsidRPr="00B03D43">
        <w:rPr>
          <w:rFonts w:ascii="Times New Roman" w:hAnsi="Times New Roman"/>
          <w:color w:val="000000" w:themeColor="text1"/>
          <w:sz w:val="24"/>
        </w:rPr>
        <w:t> Detailed view of ligand-receptor interactions.</w:t>
      </w:r>
    </w:p>
    <w:p w14:paraId="6D571E6F" w14:textId="4E4CDC69" w:rsidR="00113E7C" w:rsidRPr="00B03D43" w:rsidRDefault="00000000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(B)</w:t>
      </w:r>
      <w:r w:rsidRPr="00B03D43">
        <w:rPr>
          <w:rFonts w:ascii="Times New Roman" w:hAnsi="Times New Roman"/>
          <w:color w:val="000000" w:themeColor="text1"/>
          <w:sz w:val="24"/>
        </w:rPr>
        <w:t> Scatter plot of outgoing vs. incoming signal strength for each cell type. Dot size represents the number of interactions.</w:t>
      </w:r>
    </w:p>
    <w:p w14:paraId="009F72CD" w14:textId="2A4CE341" w:rsidR="00113E7C" w:rsidRPr="00B03D43" w:rsidRDefault="00000000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(C)</w:t>
      </w:r>
      <w:r w:rsidRPr="00B03D43">
        <w:rPr>
          <w:rFonts w:ascii="Times New Roman" w:hAnsi="Times New Roman"/>
          <w:color w:val="000000" w:themeColor="text1"/>
          <w:sz w:val="24"/>
        </w:rPr>
        <w:t> Metabolic pathway enrichment analysis for tumor cells with different CNV levels.</w:t>
      </w:r>
    </w:p>
    <w:p w14:paraId="3A3FED74" w14:textId="20F8CD98" w:rsidR="00DA5807" w:rsidRPr="00B03D43" w:rsidRDefault="00716614">
      <w:pPr>
        <w:rPr>
          <w:rFonts w:ascii="Times New Roman" w:hAnsi="Times New Roman"/>
          <w:color w:val="000000" w:themeColor="text1"/>
          <w:sz w:val="24"/>
        </w:rPr>
      </w:pPr>
      <w:bookmarkStart w:id="1" w:name="_Hlk233809334"/>
      <w:r w:rsidRPr="00B03D43">
        <w:rPr>
          <w:noProof/>
          <w:color w:val="000000" w:themeColor="text1"/>
        </w:rPr>
        <w:drawing>
          <wp:anchor distT="0" distB="0" distL="114300" distR="114300" simplePos="0" relativeHeight="251681280" behindDoc="0" locked="0" layoutInCell="1" allowOverlap="1" wp14:anchorId="4379791E" wp14:editId="41ECD11C">
            <wp:simplePos x="0" y="0"/>
            <wp:positionH relativeFrom="margin">
              <wp:align>center</wp:align>
            </wp:positionH>
            <wp:positionV relativeFrom="paragraph">
              <wp:posOffset>87187</wp:posOffset>
            </wp:positionV>
            <wp:extent cx="6840000" cy="2788375"/>
            <wp:effectExtent l="0" t="0" r="0" b="0"/>
            <wp:wrapTopAndBottom/>
            <wp:docPr id="389009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278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6B553" w14:textId="77777777" w:rsidR="008D5F9F" w:rsidRPr="00B03D43" w:rsidRDefault="00DA5807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Supplementary Figure 4.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Orthogonal validation of HCNV activity using bulk-level copy-number alteration data from TCGA-BLCA. </w:t>
      </w:r>
    </w:p>
    <w:p w14:paraId="2CCB225B" w14:textId="77777777" w:rsidR="008D5F9F" w:rsidRPr="00B03D43" w:rsidRDefault="00DA5807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(A)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Bar plot comparing the fraction of genome FGA between the high- and low-HCNV-activity groups.</w:t>
      </w:r>
    </w:p>
    <w:p w14:paraId="31B77390" w14:textId="1F27B643" w:rsidR="00C70684" w:rsidRPr="00B03D43" w:rsidRDefault="00DA5807" w:rsidP="00C70684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(B)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Diverging bar plot comparing the fraction of genome gained (FGG, red) and fraction of genome lost (FGL, blue) between the high- and low-HCNV-activity groups. Data are presented as mean ± SD. Statistical significance was assessed by the Wilcoxon </w:t>
      </w:r>
      <w:r w:rsidRPr="00B03D43">
        <w:rPr>
          <w:rFonts w:ascii="Times New Roman" w:hAnsi="Times New Roman"/>
          <w:color w:val="000000" w:themeColor="text1"/>
          <w:sz w:val="24"/>
        </w:rPr>
        <w:lastRenderedPageBreak/>
        <w:t>rank-sum test (***p &lt; 0.001).</w:t>
      </w:r>
      <w:r w:rsidR="00C70684" w:rsidRPr="00B03D43">
        <w:rPr>
          <w:noProof/>
          <w:color w:val="000000" w:themeColor="text1"/>
        </w:rPr>
        <w:t xml:space="preserve"> </w:t>
      </w:r>
      <w:r w:rsidR="00C70684" w:rsidRPr="00B03D43">
        <w:rPr>
          <w:noProof/>
          <w:color w:val="000000" w:themeColor="text1"/>
        </w:rPr>
        <w:drawing>
          <wp:anchor distT="0" distB="0" distL="114300" distR="114300" simplePos="0" relativeHeight="251693568" behindDoc="0" locked="0" layoutInCell="1" allowOverlap="1" wp14:anchorId="1D5A2F74" wp14:editId="27DB325C">
            <wp:simplePos x="1135117" y="977462"/>
            <wp:positionH relativeFrom="margin">
              <wp:align>center</wp:align>
            </wp:positionH>
            <wp:positionV relativeFrom="margin">
              <wp:align>center</wp:align>
            </wp:positionV>
            <wp:extent cx="6840000" cy="9888601"/>
            <wp:effectExtent l="0" t="0" r="0" b="0"/>
            <wp:wrapSquare wrapText="bothSides"/>
            <wp:docPr id="78685790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988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D93659" w14:textId="642B310B" w:rsidR="00C70684" w:rsidRPr="00B03D43" w:rsidRDefault="00C70684" w:rsidP="00C70684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lastRenderedPageBreak/>
        <w:t xml:space="preserve">Supplementary Figure 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5</w:t>
      </w:r>
      <w:r w:rsidRPr="00B03D43">
        <w:rPr>
          <w:rFonts w:ascii="Times New Roman" w:hAnsi="Times New Roman"/>
          <w:b/>
          <w:bCs/>
          <w:color w:val="000000" w:themeColor="text1"/>
          <w:sz w:val="24"/>
        </w:rPr>
        <w:t>. Clinical translational tools and prognostic validation of the pathological risk model.</w:t>
      </w:r>
    </w:p>
    <w:p w14:paraId="5906E8C5" w14:textId="77777777" w:rsidR="00C70684" w:rsidRPr="00B03D43" w:rsidRDefault="00C70684" w:rsidP="00C70684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color w:val="000000" w:themeColor="text1"/>
          <w:sz w:val="24"/>
        </w:rPr>
        <w:t>(A) Representative H&amp;E-stained whole-slide images from the independent ZZU-BLCA external validation cohort showing high-risk and low-risk score cases, with red boxes indicating regions of interest (ROIs).</w:t>
      </w:r>
    </w:p>
    <w:p w14:paraId="791CB1BE" w14:textId="77777777" w:rsidR="00C70684" w:rsidRPr="00B03D43" w:rsidRDefault="00C70684" w:rsidP="00C70684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(B–C)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Forest plots of univariate (</w:t>
      </w:r>
      <w:r w:rsidRPr="00B03D43">
        <w:rPr>
          <w:rFonts w:ascii="Times New Roman" w:hAnsi="Times New Roman" w:hint="eastAsia"/>
          <w:color w:val="000000" w:themeColor="text1"/>
          <w:sz w:val="24"/>
        </w:rPr>
        <w:t>B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) </w:t>
      </w:r>
      <w:r w:rsidRPr="00B03D43">
        <w:rPr>
          <w:rFonts w:ascii="Times New Roman" w:hAnsi="Times New Roman" w:hint="eastAsia"/>
          <w:color w:val="000000" w:themeColor="text1"/>
          <w:sz w:val="24"/>
        </w:rPr>
        <w:t xml:space="preserve">and </w:t>
      </w:r>
      <w:r w:rsidRPr="00B03D43">
        <w:rPr>
          <w:rFonts w:ascii="Times New Roman" w:hAnsi="Times New Roman"/>
          <w:color w:val="000000" w:themeColor="text1"/>
          <w:sz w:val="24"/>
        </w:rPr>
        <w:t>multivariate (</w:t>
      </w:r>
      <w:r w:rsidRPr="00B03D43">
        <w:rPr>
          <w:rFonts w:ascii="Times New Roman" w:hAnsi="Times New Roman" w:hint="eastAsia"/>
          <w:color w:val="000000" w:themeColor="text1"/>
          <w:sz w:val="24"/>
        </w:rPr>
        <w:t>C</w:t>
      </w:r>
      <w:proofErr w:type="gramStart"/>
      <w:r w:rsidRPr="00B03D43">
        <w:rPr>
          <w:rFonts w:ascii="Times New Roman" w:hAnsi="Times New Roman"/>
          <w:color w:val="000000" w:themeColor="text1"/>
          <w:sz w:val="24"/>
        </w:rPr>
        <w:t xml:space="preserve">) </w:t>
      </w:r>
      <w:r w:rsidRPr="00B03D43">
        <w:rPr>
          <w:rFonts w:ascii="Times New Roman" w:hAnsi="Times New Roman" w:hint="eastAsia"/>
          <w:color w:val="000000" w:themeColor="text1"/>
          <w:sz w:val="24"/>
        </w:rPr>
        <w:t xml:space="preserve"> </w:t>
      </w:r>
      <w:r w:rsidRPr="00B03D43">
        <w:rPr>
          <w:rFonts w:ascii="Times New Roman" w:hAnsi="Times New Roman"/>
          <w:color w:val="000000" w:themeColor="text1"/>
          <w:sz w:val="24"/>
        </w:rPr>
        <w:t>Cox</w:t>
      </w:r>
      <w:proofErr w:type="gramEnd"/>
      <w:r w:rsidRPr="00B03D43">
        <w:rPr>
          <w:rFonts w:ascii="Times New Roman" w:hAnsi="Times New Roman"/>
          <w:color w:val="000000" w:themeColor="text1"/>
          <w:sz w:val="24"/>
        </w:rPr>
        <w:t xml:space="preserve"> regression analyses for overall survival in the TCGA-BLCA cohort. The risk score was significantly associated with overall survival (univariate: HR = 2.14, 95% CI: 1.61–2.84, p &lt; 0.001) and remained an independent prognostic factor after adjusting for age, sex, and TNM stage (multivariate: HR = 2.1</w:t>
      </w:r>
      <w:r w:rsidRPr="00B03D43">
        <w:rPr>
          <w:rFonts w:ascii="Times New Roman" w:hAnsi="Times New Roman" w:hint="eastAsia"/>
          <w:color w:val="000000" w:themeColor="text1"/>
          <w:sz w:val="24"/>
        </w:rPr>
        <w:t>8</w:t>
      </w:r>
      <w:r w:rsidRPr="00B03D43">
        <w:rPr>
          <w:rFonts w:ascii="Times New Roman" w:hAnsi="Times New Roman"/>
          <w:color w:val="000000" w:themeColor="text1"/>
          <w:sz w:val="24"/>
        </w:rPr>
        <w:t>, 95% CI: 1.</w:t>
      </w:r>
      <w:r w:rsidRPr="00B03D43">
        <w:rPr>
          <w:rFonts w:ascii="Times New Roman" w:hAnsi="Times New Roman" w:hint="eastAsia"/>
          <w:color w:val="000000" w:themeColor="text1"/>
          <w:sz w:val="24"/>
        </w:rPr>
        <w:t>58</w:t>
      </w:r>
      <w:r w:rsidRPr="00B03D43">
        <w:rPr>
          <w:rFonts w:ascii="Times New Roman" w:hAnsi="Times New Roman"/>
          <w:color w:val="000000" w:themeColor="text1"/>
          <w:sz w:val="24"/>
        </w:rPr>
        <w:t>–</w:t>
      </w:r>
      <w:r w:rsidRPr="00B03D43">
        <w:rPr>
          <w:rFonts w:ascii="Times New Roman" w:hAnsi="Times New Roman" w:hint="eastAsia"/>
          <w:color w:val="000000" w:themeColor="text1"/>
          <w:sz w:val="24"/>
        </w:rPr>
        <w:t>3.03</w:t>
      </w:r>
      <w:r w:rsidRPr="00B03D43">
        <w:rPr>
          <w:rFonts w:ascii="Times New Roman" w:hAnsi="Times New Roman"/>
          <w:color w:val="000000" w:themeColor="text1"/>
          <w:sz w:val="24"/>
        </w:rPr>
        <w:t>, p &lt; 0.001).</w:t>
      </w:r>
    </w:p>
    <w:p w14:paraId="5CDBC09B" w14:textId="77777777" w:rsidR="00C70684" w:rsidRPr="00B03D43" w:rsidRDefault="00C70684" w:rsidP="00C70684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D</w:t>
      </w:r>
      <w:r w:rsidRPr="00B03D43">
        <w:rPr>
          <w:rFonts w:ascii="Times New Roman" w:hAnsi="Times New Roman"/>
          <w:b/>
          <w:bCs/>
          <w:color w:val="000000" w:themeColor="text1"/>
          <w:sz w:val="24"/>
        </w:rPr>
        <w:t>)</w:t>
      </w:r>
      <w:r w:rsidRPr="00B03D43">
        <w:rPr>
          <w:rFonts w:ascii="Times New Roman" w:hAnsi="Times New Roman"/>
          <w:color w:val="000000" w:themeColor="text1"/>
          <w:sz w:val="24"/>
        </w:rPr>
        <w:t> Nomogram for predicting 1-year, 3-year, and 5-year OS rates.</w:t>
      </w:r>
    </w:p>
    <w:p w14:paraId="7578DA70" w14:textId="77777777" w:rsidR="00C70684" w:rsidRPr="00B03D43" w:rsidRDefault="00C70684" w:rsidP="00C70684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E</w:t>
      </w:r>
      <w:r w:rsidRPr="00B03D43">
        <w:rPr>
          <w:rFonts w:ascii="Times New Roman" w:hAnsi="Times New Roman"/>
          <w:b/>
          <w:bCs/>
          <w:color w:val="000000" w:themeColor="text1"/>
          <w:sz w:val="24"/>
        </w:rPr>
        <w:t>)</w:t>
      </w:r>
      <w:r w:rsidRPr="00B03D43">
        <w:rPr>
          <w:rFonts w:ascii="Times New Roman" w:hAnsi="Times New Roman"/>
          <w:color w:val="000000" w:themeColor="text1"/>
          <w:sz w:val="24"/>
        </w:rPr>
        <w:t> Concordance index (C-index) of the multivariate prediction model including the risk score at different time points.</w:t>
      </w:r>
    </w:p>
    <w:p w14:paraId="3860FC9D" w14:textId="77777777" w:rsidR="00C70684" w:rsidRPr="00B03D43" w:rsidRDefault="00C70684" w:rsidP="00C70684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F</w:t>
      </w:r>
      <w:r w:rsidRPr="00B03D43">
        <w:rPr>
          <w:rFonts w:ascii="Times New Roman" w:hAnsi="Times New Roman"/>
          <w:b/>
          <w:bCs/>
          <w:color w:val="000000" w:themeColor="text1"/>
          <w:sz w:val="24"/>
        </w:rPr>
        <w:t>)</w:t>
      </w:r>
      <w:r w:rsidRPr="00B03D43">
        <w:rPr>
          <w:rFonts w:ascii="Times New Roman" w:hAnsi="Times New Roman"/>
          <w:color w:val="000000" w:themeColor="text1"/>
          <w:sz w:val="24"/>
        </w:rPr>
        <w:t> Calibration curves comparing the nomogram-predicted survival probabilities with actual observed survival.</w:t>
      </w:r>
    </w:p>
    <w:p w14:paraId="7BC7EBAC" w14:textId="77777777" w:rsidR="00C70684" w:rsidRPr="00B03D43" w:rsidRDefault="00C70684" w:rsidP="00C70684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G</w:t>
      </w:r>
      <w:r w:rsidRPr="00B03D43">
        <w:rPr>
          <w:rFonts w:ascii="Times New Roman" w:hAnsi="Times New Roman"/>
          <w:b/>
          <w:bCs/>
          <w:color w:val="000000" w:themeColor="text1"/>
          <w:sz w:val="24"/>
        </w:rPr>
        <w:t>)</w:t>
      </w:r>
      <w:r w:rsidRPr="00B03D43">
        <w:rPr>
          <w:rFonts w:ascii="Times New Roman" w:hAnsi="Times New Roman"/>
          <w:color w:val="000000" w:themeColor="text1"/>
          <w:sz w:val="24"/>
        </w:rPr>
        <w:t> Decision curve analysis evaluating the clinical net benefit of the model across different threshold probabilities.</w:t>
      </w:r>
    </w:p>
    <w:p w14:paraId="3FA9211E" w14:textId="77777777" w:rsidR="00C70684" w:rsidRPr="00B03D43" w:rsidRDefault="00C70684" w:rsidP="00C70684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H</w:t>
      </w:r>
      <w:r w:rsidRPr="00B03D43">
        <w:rPr>
          <w:rFonts w:ascii="Times New Roman" w:hAnsi="Times New Roman"/>
          <w:b/>
          <w:bCs/>
          <w:color w:val="000000" w:themeColor="text1"/>
          <w:sz w:val="24"/>
        </w:rPr>
        <w:t>)</w:t>
      </w:r>
      <w:r w:rsidRPr="00B03D43">
        <w:rPr>
          <w:rFonts w:ascii="Times New Roman" w:hAnsi="Times New Roman"/>
          <w:color w:val="000000" w:themeColor="text1"/>
          <w:sz w:val="24"/>
        </w:rPr>
        <w:t> Correlation network diagram between HCNV signature genes and key pathological image features used for modeling.</w:t>
      </w:r>
    </w:p>
    <w:p w14:paraId="56684AA6" w14:textId="77777777" w:rsidR="00C70684" w:rsidRPr="00B03D43" w:rsidRDefault="00C70684" w:rsidP="00C70684">
      <w:pPr>
        <w:rPr>
          <w:rFonts w:ascii="Times New Roman" w:hAnsi="Times New Roman"/>
          <w:b/>
          <w:bCs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 xml:space="preserve"> </w:t>
      </w:r>
    </w:p>
    <w:p w14:paraId="31765CBE" w14:textId="7A049878" w:rsidR="00DA5807" w:rsidRPr="00B03D43" w:rsidRDefault="00DA5807">
      <w:pPr>
        <w:rPr>
          <w:rFonts w:ascii="Times New Roman" w:hAnsi="Times New Roman"/>
          <w:color w:val="000000" w:themeColor="text1"/>
          <w:sz w:val="24"/>
        </w:rPr>
      </w:pPr>
    </w:p>
    <w:bookmarkEnd w:id="1"/>
    <w:p w14:paraId="1A588FDD" w14:textId="6CEFEF1D" w:rsidR="004834EC" w:rsidRPr="00B03D43" w:rsidRDefault="005B1803">
      <w:pPr>
        <w:rPr>
          <w:rFonts w:ascii="Times New Roman" w:hAnsi="Times New Roman"/>
          <w:b/>
          <w:bCs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lastRenderedPageBreak/>
        <w:t xml:space="preserve"> </w:t>
      </w:r>
      <w:r w:rsidR="00716614" w:rsidRPr="00B03D43">
        <w:rPr>
          <w:noProof/>
          <w:color w:val="000000" w:themeColor="text1"/>
        </w:rPr>
        <w:drawing>
          <wp:anchor distT="0" distB="0" distL="114300" distR="114300" simplePos="0" relativeHeight="251682304" behindDoc="0" locked="0" layoutInCell="1" allowOverlap="1" wp14:anchorId="6AD856EB" wp14:editId="40E590B2">
            <wp:simplePos x="1135117" y="977462"/>
            <wp:positionH relativeFrom="margin">
              <wp:align>center</wp:align>
            </wp:positionH>
            <wp:positionV relativeFrom="margin">
              <wp:align>center</wp:align>
            </wp:positionV>
            <wp:extent cx="6840000" cy="9888601"/>
            <wp:effectExtent l="0" t="0" r="0" b="0"/>
            <wp:wrapSquare wrapText="bothSides"/>
            <wp:docPr id="5700905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988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C240D5" w14:textId="3266911E" w:rsidR="00113E7C" w:rsidRPr="00B03D43" w:rsidRDefault="006E161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233805114"/>
      <w:r w:rsidRPr="00B03D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Figure </w:t>
      </w:r>
      <w:r w:rsidR="00C70684" w:rsidRPr="00B03D4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6</w:t>
      </w:r>
      <w:r w:rsidRPr="00B03D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B03D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Interpretability analysis of the multimodal AI pathological model using SHAP and Grad-CAM.</w:t>
      </w:r>
    </w:p>
    <w:p w14:paraId="7A5D831E" w14:textId="77777777" w:rsidR="006E1615" w:rsidRPr="00B03D43" w:rsidRDefault="006E1615" w:rsidP="006E161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3D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Feature ranking by mean absolute SHAP values in descending order: ResNet129, ResNet393, ResNet187, ResNet28, ResNet242, and </w:t>
      </w:r>
      <w:proofErr w:type="spellStart"/>
      <w:r w:rsidRPr="00B03D43">
        <w:rPr>
          <w:rFonts w:ascii="Times New Roman" w:hAnsi="Times New Roman" w:cs="Times New Roman"/>
          <w:color w:val="000000" w:themeColor="text1"/>
          <w:sz w:val="24"/>
          <w:szCs w:val="24"/>
        </w:rPr>
        <w:t>Total_Intensity_PercentMaximal_OrigGray</w:t>
      </w:r>
      <w:proofErr w:type="spellEnd"/>
      <w:r w:rsidRPr="00B03D4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07C0B02" w14:textId="77777777" w:rsidR="006E1615" w:rsidRPr="00B03D43" w:rsidRDefault="006E1615" w:rsidP="006E161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3D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(B) SHAP value distributions across patients. </w:t>
      </w:r>
    </w:p>
    <w:p w14:paraId="61BF4855" w14:textId="77777777" w:rsidR="006E1615" w:rsidRPr="00B03D43" w:rsidRDefault="006E1615" w:rsidP="006E161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3D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(C) SHAP dependence plots highlighting interactions among the six features included in the model: ResNet129, ResNet393, ResNet187, ResNet28, ResNet242, and </w:t>
      </w:r>
      <w:proofErr w:type="spellStart"/>
      <w:r w:rsidRPr="00B03D43">
        <w:rPr>
          <w:rFonts w:ascii="Times New Roman" w:hAnsi="Times New Roman" w:cs="Times New Roman"/>
          <w:color w:val="000000" w:themeColor="text1"/>
          <w:sz w:val="24"/>
          <w:szCs w:val="24"/>
        </w:rPr>
        <w:t>Total_Intensity_PercentMaximal_OrigGray</w:t>
      </w:r>
      <w:proofErr w:type="spellEnd"/>
      <w:r w:rsidRPr="00B03D4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246C16B" w14:textId="77777777" w:rsidR="006E1615" w:rsidRPr="00B03D43" w:rsidRDefault="006E1615" w:rsidP="006E161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3D43">
        <w:rPr>
          <w:rFonts w:ascii="Times New Roman" w:hAnsi="Times New Roman" w:cs="Times New Roman"/>
          <w:color w:val="000000" w:themeColor="text1"/>
          <w:sz w:val="24"/>
          <w:szCs w:val="24"/>
        </w:rPr>
        <w:t>(D) Decision plots of cumulative feature contributions for three representative high-risk patients (left) and three low-risk patients (right). Red and blue represent positive and negative contributions to risk scores, respectively.</w:t>
      </w:r>
    </w:p>
    <w:p w14:paraId="6F76E5DB" w14:textId="77777777" w:rsidR="006E1615" w:rsidRPr="00B03D43" w:rsidRDefault="006E1615" w:rsidP="006E161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3D43">
        <w:rPr>
          <w:rFonts w:ascii="Times New Roman" w:hAnsi="Times New Roman" w:cs="Times New Roman"/>
          <w:color w:val="000000" w:themeColor="text1"/>
          <w:sz w:val="24"/>
          <w:szCs w:val="24"/>
        </w:rPr>
        <w:t>(E) Grad-CAM heatmap overlays on representative patches. The left panel shows three representative high-risk patients, and the right panel shows three representative low-risk patients. Each patch is annotated with a corresponding Grad-CAM heatmap overlay, highlighting regions of interest identified by the deep learning model.</w:t>
      </w:r>
    </w:p>
    <w:bookmarkEnd w:id="2"/>
    <w:p w14:paraId="48D92DD2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28FE0F35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75E5F793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492844C8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3A94B45B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7274B069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095A429A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02BFF702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05F8E18E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4E51B971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3CEE344D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0F6CFC06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0CDA33A5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400233E2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570DE83C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64ECB080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036DCAE0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4E726A7B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3E59BE77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7CF94D8A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18A62A10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09CEB98E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59E12F3E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207CDFC0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3599856F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78A74712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76F10071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34EBD655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023EE414" w14:textId="77777777" w:rsidR="00D52079" w:rsidRPr="00B03D43" w:rsidRDefault="00D52079" w:rsidP="00D52079">
      <w:pPr>
        <w:rPr>
          <w:rFonts w:ascii="Times New Roman" w:hAnsi="Times New Roman"/>
          <w:b/>
          <w:bCs/>
          <w:color w:val="000000" w:themeColor="text1"/>
          <w:sz w:val="24"/>
        </w:rPr>
        <w:sectPr w:rsidR="00D52079" w:rsidRPr="00B03D4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0C63A87" w14:textId="64AA0E9C" w:rsidR="00D52079" w:rsidRPr="00B03D43" w:rsidRDefault="00D52079" w:rsidP="00D5207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lastRenderedPageBreak/>
        <w:t>S</w:t>
      </w:r>
      <w:r w:rsidRPr="00B03D43">
        <w:rPr>
          <w:rFonts w:ascii="Times New Roman" w:hAnsi="Times New Roman"/>
          <w:b/>
          <w:bCs/>
          <w:color w:val="000000" w:themeColor="text1"/>
          <w:sz w:val="24"/>
        </w:rPr>
        <w:t xml:space="preserve">upplementary Figure 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7</w:t>
      </w:r>
      <w:r w:rsidRPr="00B03D43">
        <w:rPr>
          <w:rFonts w:ascii="Times New Roman" w:hAnsi="Times New Roman"/>
          <w:b/>
          <w:bCs/>
          <w:color w:val="000000" w:themeColor="text1"/>
          <w:sz w:val="24"/>
        </w:rPr>
        <w:t xml:space="preserve"> Association of Risk Score with Tumor Immune Infiltration and Drug Sensitivity.</w:t>
      </w:r>
    </w:p>
    <w:p w14:paraId="0FC01DE5" w14:textId="77777777" w:rsidR="00D52079" w:rsidRPr="00B03D43" w:rsidRDefault="00D52079" w:rsidP="00D5207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(A)</w:t>
      </w:r>
      <w:r w:rsidRPr="00B03D43">
        <w:rPr>
          <w:rFonts w:ascii="Times New Roman" w:hAnsi="Times New Roman"/>
          <w:color w:val="000000" w:themeColor="text1"/>
          <w:sz w:val="24"/>
        </w:rPr>
        <w:t> AUC values indicating higher sensitivity of high-risk score patients to PI-103 and BRD9647.</w:t>
      </w:r>
    </w:p>
    <w:p w14:paraId="58478D4B" w14:textId="77777777" w:rsidR="00D52079" w:rsidRPr="00B03D43" w:rsidRDefault="00D52079" w:rsidP="00D5207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(B)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 AUC values indicating higher sensitivity of high-risk score patients to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teniposide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>, atorvastatin, mitoxantrone, and anguidine.</w:t>
      </w:r>
    </w:p>
    <w:p w14:paraId="4C044B70" w14:textId="77777777" w:rsidR="00D52079" w:rsidRPr="00B03D43" w:rsidRDefault="00D52079" w:rsidP="00D5207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(C)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 Heatmap showing the association of immune cell infiltration abundances (estimated by multiple algorithms: EPIC,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MCPcounter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 xml:space="preserve">,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Quantiseq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>, etc.) with HCNV activity and clinicopathological features.</w:t>
      </w:r>
      <w:r w:rsidRPr="00B03D43">
        <w:rPr>
          <w:rFonts w:ascii="Segoe UI" w:hAnsi="Segoe UI" w:cs="Segoe UI"/>
          <w:color w:val="000000" w:themeColor="text1"/>
          <w:shd w:val="clear" w:color="auto" w:fill="FFFFFF"/>
        </w:rPr>
        <w:t xml:space="preserve"> </w:t>
      </w:r>
      <w:r w:rsidRPr="00B03D43">
        <w:rPr>
          <w:rFonts w:ascii="Times New Roman" w:hAnsi="Times New Roman"/>
          <w:color w:val="000000" w:themeColor="text1"/>
          <w:sz w:val="24"/>
        </w:rPr>
        <w:t>*p &lt; 0.05, **p &lt; 0.01, ***p &lt; 0.001</w:t>
      </w:r>
    </w:p>
    <w:p w14:paraId="2A92ADAF" w14:textId="03E45A60" w:rsidR="006E1615" w:rsidRPr="00B03D43" w:rsidRDefault="00716614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noProof/>
          <w:color w:val="000000" w:themeColor="text1"/>
        </w:rPr>
        <w:drawing>
          <wp:anchor distT="0" distB="0" distL="114300" distR="114300" simplePos="0" relativeHeight="251684352" behindDoc="0" locked="0" layoutInCell="1" allowOverlap="1" wp14:anchorId="368B7AE3" wp14:editId="7573D442">
            <wp:simplePos x="1135117" y="2774731"/>
            <wp:positionH relativeFrom="margin">
              <wp:align>center</wp:align>
            </wp:positionH>
            <wp:positionV relativeFrom="margin">
              <wp:align>top</wp:align>
            </wp:positionV>
            <wp:extent cx="6840000" cy="6450484"/>
            <wp:effectExtent l="0" t="0" r="0" b="7620"/>
            <wp:wrapSquare wrapText="bothSides"/>
            <wp:docPr id="10632283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645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CD29A9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41C094C1" w14:textId="77777777" w:rsidR="00D52079" w:rsidRPr="00B03D43" w:rsidRDefault="00D52079">
      <w:pPr>
        <w:rPr>
          <w:rFonts w:ascii="Times New Roman" w:hAnsi="Times New Roman"/>
          <w:color w:val="000000" w:themeColor="text1"/>
          <w:sz w:val="24"/>
        </w:rPr>
        <w:sectPr w:rsidR="00D52079" w:rsidRPr="00B03D4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7FF3048" w14:textId="0F23CB82" w:rsidR="00782B5B" w:rsidRPr="00B03D43" w:rsidRDefault="00716614">
      <w:pPr>
        <w:rPr>
          <w:rFonts w:ascii="Times New Roman" w:hAnsi="Times New Roman"/>
          <w:color w:val="000000" w:themeColor="text1"/>
          <w:sz w:val="24"/>
        </w:rPr>
      </w:pPr>
      <w:bookmarkStart w:id="3" w:name="_Hlk233814627"/>
      <w:r w:rsidRPr="00B03D43">
        <w:rPr>
          <w:noProof/>
          <w:color w:val="000000" w:themeColor="text1"/>
        </w:rPr>
        <w:lastRenderedPageBreak/>
        <w:drawing>
          <wp:anchor distT="0" distB="0" distL="114300" distR="114300" simplePos="0" relativeHeight="251685376" behindDoc="0" locked="0" layoutInCell="1" allowOverlap="1" wp14:anchorId="5A134D99" wp14:editId="330C2F00">
            <wp:simplePos x="1135117" y="1008993"/>
            <wp:positionH relativeFrom="margin">
              <wp:align>center</wp:align>
            </wp:positionH>
            <wp:positionV relativeFrom="margin">
              <wp:align>top</wp:align>
            </wp:positionV>
            <wp:extent cx="6840000" cy="5174881"/>
            <wp:effectExtent l="0" t="0" r="0" b="6985"/>
            <wp:wrapSquare wrapText="bothSides"/>
            <wp:docPr id="142282276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517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2B5B" w:rsidRPr="00B03D43">
        <w:rPr>
          <w:rFonts w:ascii="Times New Roman" w:hAnsi="Times New Roman"/>
          <w:b/>
          <w:bCs/>
          <w:color w:val="000000" w:themeColor="text1"/>
          <w:sz w:val="24"/>
        </w:rPr>
        <w:t>Supplementary Figure 8.</w:t>
      </w:r>
      <w:r w:rsidR="00782B5B" w:rsidRPr="00B03D43">
        <w:rPr>
          <w:rFonts w:ascii="Times New Roman" w:hAnsi="Times New Roman"/>
          <w:color w:val="000000" w:themeColor="text1"/>
          <w:sz w:val="24"/>
        </w:rPr>
        <w:t xml:space="preserve"> Parallel clinicopathological evaluation of DPM3 to support the selection of RTN3 as the definitive hub gene. </w:t>
      </w:r>
    </w:p>
    <w:p w14:paraId="12F02D80" w14:textId="19DF3025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(A)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Unpaired comparison of DPM3 expression between normal and tumor tissues in TCGA-BLCA. </w:t>
      </w:r>
    </w:p>
    <w:p w14:paraId="76C23A6B" w14:textId="3CF14499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(B)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Paired comparison of DPM3 expression between matched normal and tumor tissues. </w:t>
      </w:r>
    </w:p>
    <w:p w14:paraId="298364D8" w14:textId="3E9F7396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(C)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Kaplan–Meier curve for progression-free survival in the high vs. low DPM3 expression groups. </w:t>
      </w:r>
    </w:p>
    <w:p w14:paraId="661B6123" w14:textId="2C906D2B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(D)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Kaplan–Meier curve for overall survival showing that high DPM3 expression is associated with favorable prognosis. </w:t>
      </w:r>
    </w:p>
    <w:p w14:paraId="631E8636" w14:textId="77777777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(E)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Kaplan–Meier curve for disease-specific survival showing that high DPM3 expression is associated with favorable prognosis. </w:t>
      </w:r>
    </w:p>
    <w:p w14:paraId="655666CD" w14:textId="77777777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(F)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Association of DPM3 expression with T stage. </w:t>
      </w:r>
    </w:p>
    <w:p w14:paraId="680FF3F6" w14:textId="77777777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(G)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Association of DPM3 expression with N stage. </w:t>
      </w:r>
    </w:p>
    <w:p w14:paraId="298DB723" w14:textId="77777777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(H)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Association of DPM3 expression with M stage. </w:t>
      </w:r>
    </w:p>
    <w:p w14:paraId="3919F1BA" w14:textId="15605A71" w:rsidR="006E1615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(I)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Association of DPM3 expression with clinical stage.</w:t>
      </w:r>
    </w:p>
    <w:bookmarkEnd w:id="3"/>
    <w:p w14:paraId="6A62648C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3A9B91AD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4568C8E8" w14:textId="307A415D" w:rsidR="006E1615" w:rsidRPr="00B03D43" w:rsidRDefault="00716614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noProof/>
          <w:color w:val="000000" w:themeColor="text1"/>
        </w:rPr>
        <w:lastRenderedPageBreak/>
        <w:drawing>
          <wp:anchor distT="0" distB="0" distL="114300" distR="114300" simplePos="0" relativeHeight="251686400" behindDoc="0" locked="0" layoutInCell="1" allowOverlap="1" wp14:anchorId="604B37E4" wp14:editId="7308C8CC">
            <wp:simplePos x="1135117" y="977462"/>
            <wp:positionH relativeFrom="margin">
              <wp:align>center</wp:align>
            </wp:positionH>
            <wp:positionV relativeFrom="margin">
              <wp:align>center</wp:align>
            </wp:positionV>
            <wp:extent cx="6840000" cy="9073335"/>
            <wp:effectExtent l="0" t="0" r="0" b="0"/>
            <wp:wrapSquare wrapText="bothSides"/>
            <wp:docPr id="137245424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907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584584" w14:textId="5321E9CE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bookmarkStart w:id="4" w:name="_Hlk233809286"/>
      <w:bookmarkStart w:id="5" w:name="_Hlk233812861"/>
      <w:r w:rsidRPr="00B03D43">
        <w:rPr>
          <w:rFonts w:ascii="Times New Roman" w:hAnsi="Times New Roman"/>
          <w:b/>
          <w:bCs/>
          <w:color w:val="000000" w:themeColor="text1"/>
          <w:sz w:val="24"/>
        </w:rPr>
        <w:lastRenderedPageBreak/>
        <w:t>Supplementary Figure 9.</w:t>
      </w:r>
      <w:bookmarkEnd w:id="4"/>
      <w:r w:rsidRPr="00B03D43">
        <w:rPr>
          <w:rFonts w:ascii="Times New Roman" w:hAnsi="Times New Roman"/>
          <w:color w:val="000000" w:themeColor="text1"/>
          <w:sz w:val="24"/>
        </w:rPr>
        <w:t xml:space="preserve"> Correlation network analysis and independent single-cell validation of RTN3 enrichment in HCNV cells. </w:t>
      </w:r>
    </w:p>
    <w:p w14:paraId="6A1F9371" w14:textId="77777777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(A)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Scatter plot showing the ranking and correlation of HCNV signature genes with the pathological risk score. </w:t>
      </w:r>
    </w:p>
    <w:p w14:paraId="35A22EB5" w14:textId="77777777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(B)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Correlation heatmap between key pathological imaging features and HCNV characteristic genes. </w:t>
      </w:r>
    </w:p>
    <w:p w14:paraId="5A14AB35" w14:textId="65F902F8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(C–E)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UMAP plots of the independent single-cell validation cohort (GSE277524). (C) Colored by sample source. (D) Colored by tissue type (primary vs. recurrent). (E) Colored by annotated cell types. </w:t>
      </w:r>
    </w:p>
    <w:p w14:paraId="4E51656B" w14:textId="77777777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bookmarkStart w:id="6" w:name="_Hlk233809270"/>
      <w:r w:rsidRPr="00B03D43">
        <w:rPr>
          <w:rFonts w:ascii="Times New Roman" w:hAnsi="Times New Roman"/>
          <w:b/>
          <w:bCs/>
          <w:color w:val="000000" w:themeColor="text1"/>
          <w:sz w:val="24"/>
        </w:rPr>
        <w:t>(F)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InferCNV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 xml:space="preserve"> heatmap in the independent single-cell validation cohort (GSE277524). </w:t>
      </w:r>
    </w:p>
    <w:bookmarkEnd w:id="6"/>
    <w:p w14:paraId="2E5262CD" w14:textId="77777777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(G)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Raincloud plots showing RTN3 expression across LCNV, MCNV, and HCNV groups in the independent validation cohort. </w:t>
      </w:r>
    </w:p>
    <w:p w14:paraId="3CB697DF" w14:textId="77777777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(H)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ROC curve of RTN3 for distinguishing HCNV from LCNV in the independent validation cohort (AUC = 0.893). </w:t>
      </w:r>
    </w:p>
    <w:p w14:paraId="77EC4265" w14:textId="77777777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(I)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Raincloud plots of RTN3 expression across LCNV, MCNV, and HCNV in the integrated single-cell Discovery cohort. </w:t>
      </w:r>
    </w:p>
    <w:p w14:paraId="72C784DE" w14:textId="77777777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(J)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ROC curve of RTN3 for distinguishing HCNV from LCNV in the integrated Discovery cohort (AUC = 0.878). </w:t>
      </w:r>
    </w:p>
    <w:p w14:paraId="3D5795BD" w14:textId="77777777" w:rsidR="00782B5B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(K)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Raincloud plots of RTN3 expression across LCNV, MCNV, and HCNV for each Discovery dataset: Horowitz, GSE130001, GSE135337, GSE222315, GSE211388, and PRJNA662018. </w:t>
      </w:r>
    </w:p>
    <w:p w14:paraId="1D01847E" w14:textId="65F87436" w:rsidR="006E1615" w:rsidRPr="00B03D43" w:rsidRDefault="00782B5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(L)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ROC curves of RTN3 for distinguishing HCNV from LCNV in each Discovery dataset: Horowitz (0.658), GSE130001 (0.900), GSE135337 (0.822), GSE222315 (0.765), GSE211388 (</w:t>
      </w:r>
      <w:r w:rsidR="001928A5" w:rsidRPr="00B03D43">
        <w:rPr>
          <w:rFonts w:ascii="Times New Roman" w:hAnsi="Times New Roman" w:hint="eastAsia"/>
          <w:color w:val="000000" w:themeColor="text1"/>
          <w:sz w:val="24"/>
        </w:rPr>
        <w:t>0.678</w:t>
      </w:r>
      <w:r w:rsidRPr="00B03D43">
        <w:rPr>
          <w:rFonts w:ascii="Times New Roman" w:hAnsi="Times New Roman"/>
          <w:color w:val="000000" w:themeColor="text1"/>
          <w:sz w:val="24"/>
        </w:rPr>
        <w:t>), and PRJNA662018 (0.800).</w:t>
      </w:r>
    </w:p>
    <w:bookmarkEnd w:id="5"/>
    <w:p w14:paraId="077760BC" w14:textId="77777777" w:rsidR="006E1615" w:rsidRPr="00B03D43" w:rsidRDefault="006E1615">
      <w:pPr>
        <w:rPr>
          <w:rFonts w:ascii="Times New Roman" w:hAnsi="Times New Roman"/>
          <w:color w:val="000000" w:themeColor="text1"/>
          <w:sz w:val="24"/>
        </w:rPr>
      </w:pPr>
    </w:p>
    <w:p w14:paraId="4AFBFA4C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7C90FBD9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561B0A3A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2FDEACFE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5A201814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2644325F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29070CC3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12162DB6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0E6F3551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1BC15DBC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78F1CD19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5AFC0BC8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0EACBD80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42CC19AE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0737FCD9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331C304A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3E5A89EB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1FF8768D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12EDA2BB" w14:textId="77777777" w:rsidR="0095583E" w:rsidRPr="00B03D43" w:rsidRDefault="0095583E">
      <w:pPr>
        <w:rPr>
          <w:rFonts w:ascii="Times New Roman" w:hAnsi="Times New Roman"/>
          <w:color w:val="000000" w:themeColor="text1"/>
          <w:sz w:val="24"/>
        </w:rPr>
      </w:pPr>
    </w:p>
    <w:p w14:paraId="13F29C27" w14:textId="7C5166DD" w:rsidR="004E715A" w:rsidRPr="00B03D43" w:rsidRDefault="00716614" w:rsidP="004E715A">
      <w:pPr>
        <w:rPr>
          <w:rFonts w:ascii="Times New Roman" w:hAnsi="Times New Roman"/>
          <w:color w:val="000000" w:themeColor="text1"/>
          <w:sz w:val="24"/>
        </w:rPr>
      </w:pPr>
      <w:bookmarkStart w:id="7" w:name="_Hlk233800441"/>
      <w:bookmarkStart w:id="8" w:name="_Hlk233813039"/>
      <w:r w:rsidRPr="00B03D43">
        <w:rPr>
          <w:noProof/>
          <w:color w:val="000000" w:themeColor="text1"/>
        </w:rPr>
        <w:lastRenderedPageBreak/>
        <w:drawing>
          <wp:anchor distT="0" distB="0" distL="114300" distR="114300" simplePos="0" relativeHeight="251687424" behindDoc="0" locked="0" layoutInCell="1" allowOverlap="1" wp14:anchorId="111384FB" wp14:editId="34BA8839">
            <wp:simplePos x="0" y="0"/>
            <wp:positionH relativeFrom="margin">
              <wp:posOffset>-782087</wp:posOffset>
            </wp:positionH>
            <wp:positionV relativeFrom="margin">
              <wp:posOffset>-88900</wp:posOffset>
            </wp:positionV>
            <wp:extent cx="6840000" cy="5564397"/>
            <wp:effectExtent l="0" t="0" r="0" b="0"/>
            <wp:wrapSquare wrapText="bothSides"/>
            <wp:docPr id="46631199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5564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715A" w:rsidRPr="00B03D43">
        <w:rPr>
          <w:rFonts w:ascii="Times New Roman" w:hAnsi="Times New Roman"/>
          <w:b/>
          <w:bCs/>
          <w:color w:val="000000" w:themeColor="text1"/>
          <w:sz w:val="24"/>
        </w:rPr>
        <w:t>Supplementary Figure 10. Bidirectional validation of RTN3-mediated immunosuppressive microenvironment remodeling.</w:t>
      </w:r>
    </w:p>
    <w:p w14:paraId="5D5D3159" w14:textId="77777777" w:rsidR="004E715A" w:rsidRPr="00B03D43" w:rsidRDefault="004E715A" w:rsidP="004E715A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(A, B)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Western blot (A) and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qRT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>-PCR (B) analysis of M2 macrophage polarization markers (CD206, CD163, and Arg1) in macrophages treated with conditioned medium (CM) from RTN3-knockdown UMUC3 cells.</w:t>
      </w:r>
    </w:p>
    <w:p w14:paraId="5B3B117A" w14:textId="77777777" w:rsidR="004E715A" w:rsidRPr="00B03D43" w:rsidRDefault="004E715A" w:rsidP="004E715A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(C, D)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Western blot (C) and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qRT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>-PCR (D) analysis of cancer-associated fibroblast (CAF) activation markers (SMA, FAP, and CD29) in fibroblasts treated with CM from RTN3-knockdown UMUC3 cells.</w:t>
      </w:r>
    </w:p>
    <w:p w14:paraId="041A4F9D" w14:textId="77777777" w:rsidR="004E715A" w:rsidRPr="00B03D43" w:rsidRDefault="004E715A" w:rsidP="004E715A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(E, F)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Western blot (E) and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qRT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>-PCR (F) analysis of M2 macrophage polarization markers in macrophages treated with CM from RTN3-overexpressing T24 cells.</w:t>
      </w:r>
    </w:p>
    <w:p w14:paraId="006CE8CB" w14:textId="71C9A9C9" w:rsidR="004E715A" w:rsidRPr="00B03D43" w:rsidRDefault="004E715A" w:rsidP="004E715A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(G, H)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Western blot (G) and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qRT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>-PCR (H) analysis of M2 macrophage polarization markers in macrophages treated with CM from RTN3-overexpressing UMUC3 cells.</w:t>
      </w:r>
    </w:p>
    <w:p w14:paraId="6D2B7468" w14:textId="77777777" w:rsidR="004E715A" w:rsidRPr="00B03D43" w:rsidRDefault="004E715A" w:rsidP="004E715A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(I, J)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Western blot (I) and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qRT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>-PCR (J) analysis of CAF activation markers in fibroblasts treated with CM from RTN3-overexpressing T24 cells.</w:t>
      </w:r>
    </w:p>
    <w:p w14:paraId="371DB09F" w14:textId="77777777" w:rsidR="004E715A" w:rsidRPr="00B03D43" w:rsidRDefault="004E715A" w:rsidP="004E715A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(K, L)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Western blot (K) and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qRT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>-PCR (L) analysis of CAF activation markers in fibroblasts treated with CM from RTN3-overexpressing UMUC3 cells. *p &lt; 0.05, **p &lt; 0.01, ***p &lt; 0.001.</w:t>
      </w:r>
    </w:p>
    <w:bookmarkEnd w:id="7"/>
    <w:p w14:paraId="3B95B0FF" w14:textId="34FBC61F" w:rsidR="00EF1349" w:rsidRPr="00B03D43" w:rsidRDefault="00EF1349">
      <w:pPr>
        <w:rPr>
          <w:rFonts w:ascii="Times New Roman" w:hAnsi="Times New Roman"/>
          <w:color w:val="000000" w:themeColor="text1"/>
          <w:sz w:val="24"/>
        </w:rPr>
        <w:sectPr w:rsidR="00EF1349" w:rsidRPr="00B03D4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8E5DE89" w14:textId="30690627" w:rsidR="006E1615" w:rsidRPr="00B03D43" w:rsidRDefault="00716614">
      <w:pPr>
        <w:rPr>
          <w:rFonts w:ascii="Times New Roman" w:hAnsi="Times New Roman"/>
          <w:color w:val="000000" w:themeColor="text1"/>
          <w:sz w:val="24"/>
        </w:rPr>
      </w:pPr>
      <w:bookmarkStart w:id="9" w:name="_Hlk233813067"/>
      <w:r w:rsidRPr="00B03D43">
        <w:rPr>
          <w:noProof/>
          <w:color w:val="000000" w:themeColor="text1"/>
        </w:rPr>
        <w:lastRenderedPageBreak/>
        <w:drawing>
          <wp:anchor distT="0" distB="0" distL="114300" distR="114300" simplePos="0" relativeHeight="251688448" behindDoc="0" locked="0" layoutInCell="1" allowOverlap="1" wp14:anchorId="7DB02F35" wp14:editId="278F04DE">
            <wp:simplePos x="1148316" y="978195"/>
            <wp:positionH relativeFrom="margin">
              <wp:align>center</wp:align>
            </wp:positionH>
            <wp:positionV relativeFrom="margin">
              <wp:align>center</wp:align>
            </wp:positionV>
            <wp:extent cx="6840000" cy="9867190"/>
            <wp:effectExtent l="0" t="0" r="0" b="1270"/>
            <wp:wrapSquare wrapText="bothSides"/>
            <wp:docPr id="126543284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986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DC00CE" w14:textId="77777777" w:rsidR="00EF1349" w:rsidRPr="00B03D43" w:rsidRDefault="00EF1349" w:rsidP="00EF1349">
      <w:pPr>
        <w:rPr>
          <w:rFonts w:ascii="Times New Roman" w:hAnsi="Times New Roman"/>
          <w:b/>
          <w:bCs/>
          <w:color w:val="000000" w:themeColor="text1"/>
          <w:sz w:val="24"/>
        </w:rPr>
      </w:pP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lastRenderedPageBreak/>
        <w:t>Supplementary Figure 11. Bidirectional functional validation of RTN3 in bladder cancer cells.</w:t>
      </w:r>
    </w:p>
    <w:p w14:paraId="1617D719" w14:textId="77777777" w:rsidR="00EF1349" w:rsidRPr="00B03D43" w:rsidRDefault="00EF1349" w:rsidP="00EF134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(A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–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 xml:space="preserve">B) </w:t>
      </w:r>
      <w:r w:rsidRPr="00B03D43">
        <w:rPr>
          <w:rFonts w:ascii="Times New Roman" w:hAnsi="Times New Roman" w:hint="eastAsia"/>
          <w:color w:val="000000" w:themeColor="text1"/>
          <w:sz w:val="24"/>
        </w:rPr>
        <w:t>CCK-8 assays showing the effect of RTN3 knockdown on proliferation in T24 (A) and UMUC3 (B).</w:t>
      </w:r>
    </w:p>
    <w:p w14:paraId="2BA3A204" w14:textId="77777777" w:rsidR="00EF1349" w:rsidRPr="00B03D43" w:rsidRDefault="00EF1349" w:rsidP="00EF134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(C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–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 xml:space="preserve">D) </w:t>
      </w:r>
      <w:r w:rsidRPr="00B03D43">
        <w:rPr>
          <w:rFonts w:ascii="Times New Roman" w:hAnsi="Times New Roman" w:hint="eastAsia"/>
          <w:color w:val="000000" w:themeColor="text1"/>
          <w:sz w:val="24"/>
        </w:rPr>
        <w:t>CCK-8 assays showing the effect of RTN3 overexpression on proliferation in T24 (C) and UMUC3 (D).</w:t>
      </w:r>
    </w:p>
    <w:p w14:paraId="3F8B3551" w14:textId="77777777" w:rsidR="00EF1349" w:rsidRPr="00B03D43" w:rsidRDefault="00EF1349" w:rsidP="004E715A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(E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–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F)</w:t>
      </w:r>
      <w:r w:rsidRPr="00B03D43">
        <w:rPr>
          <w:rFonts w:ascii="Times New Roman" w:hAnsi="Times New Roman" w:hint="eastAsia"/>
          <w:color w:val="000000" w:themeColor="text1"/>
          <w:sz w:val="24"/>
        </w:rPr>
        <w:t xml:space="preserve"> Colony formation assays (E) and quantification (F) showing RTN3 knockdown inhibits clonogenicity.</w:t>
      </w:r>
    </w:p>
    <w:p w14:paraId="5A89314D" w14:textId="77777777" w:rsidR="00EF1349" w:rsidRPr="00B03D43" w:rsidRDefault="00EF1349" w:rsidP="00EF134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(G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–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H)</w:t>
      </w:r>
      <w:r w:rsidRPr="00B03D43">
        <w:rPr>
          <w:rFonts w:ascii="Times New Roman" w:hAnsi="Times New Roman" w:hint="eastAsia"/>
          <w:color w:val="000000" w:themeColor="text1"/>
          <w:sz w:val="24"/>
        </w:rPr>
        <w:t xml:space="preserve"> Colony formation assays (G) and quantification (H) showing RTN3 overexpression promotes clonogenicity.</w:t>
      </w:r>
    </w:p>
    <w:p w14:paraId="5C353EBF" w14:textId="394CEF3F" w:rsidR="00EF1349" w:rsidRPr="00B03D43" w:rsidRDefault="00EF1349" w:rsidP="00EF134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(I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–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J)</w:t>
      </w:r>
      <w:r w:rsidRPr="00B03D43">
        <w:rPr>
          <w:rFonts w:ascii="Times New Roman" w:hAnsi="Times New Roman" w:hint="eastAsia"/>
          <w:color w:val="000000" w:themeColor="text1"/>
          <w:sz w:val="24"/>
        </w:rPr>
        <w:t xml:space="preserve"> </w:t>
      </w:r>
      <w:proofErr w:type="spellStart"/>
      <w:r w:rsidRPr="00B03D43">
        <w:rPr>
          <w:rFonts w:ascii="Times New Roman" w:hAnsi="Times New Roman" w:hint="eastAsia"/>
          <w:color w:val="000000" w:themeColor="text1"/>
          <w:sz w:val="24"/>
        </w:rPr>
        <w:t>Transwell</w:t>
      </w:r>
      <w:proofErr w:type="spellEnd"/>
      <w:r w:rsidRPr="00B03D43">
        <w:rPr>
          <w:rFonts w:ascii="Times New Roman" w:hAnsi="Times New Roman" w:hint="eastAsia"/>
          <w:color w:val="000000" w:themeColor="text1"/>
          <w:sz w:val="24"/>
        </w:rPr>
        <w:t xml:space="preserve"> migration assays (I) and quantification (J) showing RTN3 knockdown inhibits migration.</w:t>
      </w:r>
      <w:r w:rsidR="00646A25" w:rsidRPr="00B03D43">
        <w:rPr>
          <w:color w:val="000000" w:themeColor="text1"/>
        </w:rPr>
        <w:t xml:space="preserve"> </w:t>
      </w:r>
      <w:r w:rsidR="00646A25" w:rsidRPr="00B03D43">
        <w:rPr>
          <w:rFonts w:ascii="Times New Roman" w:hAnsi="Times New Roman"/>
          <w:color w:val="000000" w:themeColor="text1"/>
          <w:sz w:val="24"/>
        </w:rPr>
        <w:t>Scale bar =</w:t>
      </w:r>
      <w:r w:rsidR="004C4BA3" w:rsidRPr="00B03D43">
        <w:rPr>
          <w:rFonts w:ascii="Times New Roman" w:hAnsi="Times New Roman" w:hint="eastAsia"/>
          <w:color w:val="000000" w:themeColor="text1"/>
          <w:sz w:val="24"/>
        </w:rPr>
        <w:t>100</w:t>
      </w:r>
      <w:r w:rsidR="004C4BA3" w:rsidRPr="00B03D43">
        <w:rPr>
          <w:rFonts w:ascii="Times New Roman" w:eastAsia="等线" w:hAnsi="Times New Roman" w:cs="Times New Roman"/>
          <w:color w:val="000000" w:themeColor="text1"/>
          <w:sz w:val="24"/>
        </w:rPr>
        <w:t>μ</w:t>
      </w:r>
      <w:r w:rsidR="004C4BA3" w:rsidRPr="00B03D43">
        <w:rPr>
          <w:rFonts w:ascii="Times New Roman" w:hAnsi="Times New Roman" w:hint="eastAsia"/>
          <w:color w:val="000000" w:themeColor="text1"/>
          <w:sz w:val="24"/>
        </w:rPr>
        <w:t>m.</w:t>
      </w:r>
    </w:p>
    <w:p w14:paraId="01B5152F" w14:textId="52FED272" w:rsidR="00EF1349" w:rsidRPr="00B03D43" w:rsidRDefault="00EF1349" w:rsidP="00EF134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(K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–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 xml:space="preserve">L) </w:t>
      </w:r>
      <w:proofErr w:type="spellStart"/>
      <w:r w:rsidRPr="00B03D43">
        <w:rPr>
          <w:rFonts w:ascii="Times New Roman" w:hAnsi="Times New Roman" w:hint="eastAsia"/>
          <w:color w:val="000000" w:themeColor="text1"/>
          <w:sz w:val="24"/>
        </w:rPr>
        <w:t>Transwell</w:t>
      </w:r>
      <w:proofErr w:type="spellEnd"/>
      <w:r w:rsidRPr="00B03D43">
        <w:rPr>
          <w:rFonts w:ascii="Times New Roman" w:hAnsi="Times New Roman" w:hint="eastAsia"/>
          <w:color w:val="000000" w:themeColor="text1"/>
          <w:sz w:val="24"/>
        </w:rPr>
        <w:t xml:space="preserve"> migration assays (K) and quantification (L) showing RTN3 overexpression promotes migration.</w:t>
      </w:r>
      <w:r w:rsidR="004C4BA3" w:rsidRPr="00B03D43">
        <w:rPr>
          <w:rFonts w:ascii="Times New Roman" w:hAnsi="Times New Roman"/>
          <w:color w:val="000000" w:themeColor="text1"/>
          <w:sz w:val="24"/>
        </w:rPr>
        <w:t xml:space="preserve"> Scale bar =</w:t>
      </w:r>
      <w:r w:rsidR="004C4BA3" w:rsidRPr="00B03D43">
        <w:rPr>
          <w:rFonts w:ascii="Times New Roman" w:hAnsi="Times New Roman" w:hint="eastAsia"/>
          <w:color w:val="000000" w:themeColor="text1"/>
          <w:sz w:val="24"/>
        </w:rPr>
        <w:t>100</w:t>
      </w:r>
      <w:r w:rsidR="004C4BA3" w:rsidRPr="00B03D43">
        <w:rPr>
          <w:rFonts w:ascii="Times New Roman" w:eastAsia="等线" w:hAnsi="Times New Roman" w:cs="Times New Roman"/>
          <w:color w:val="000000" w:themeColor="text1"/>
          <w:sz w:val="24"/>
        </w:rPr>
        <w:t>μ</w:t>
      </w:r>
      <w:r w:rsidR="004C4BA3" w:rsidRPr="00B03D43">
        <w:rPr>
          <w:rFonts w:ascii="Times New Roman" w:hAnsi="Times New Roman" w:hint="eastAsia"/>
          <w:color w:val="000000" w:themeColor="text1"/>
          <w:sz w:val="24"/>
        </w:rPr>
        <w:t>m.</w:t>
      </w:r>
    </w:p>
    <w:p w14:paraId="1AFA5FDA" w14:textId="34B414E5" w:rsidR="00EF1349" w:rsidRPr="00B03D43" w:rsidRDefault="00EF1349" w:rsidP="00EF134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(M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–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 xml:space="preserve">P) </w:t>
      </w:r>
      <w:r w:rsidRPr="00B03D43">
        <w:rPr>
          <w:rFonts w:ascii="Times New Roman" w:hAnsi="Times New Roman" w:hint="eastAsia"/>
          <w:color w:val="000000" w:themeColor="text1"/>
          <w:sz w:val="24"/>
        </w:rPr>
        <w:t>Wound healing assays and quantification showing RTN3 knockdown inhibits migration in T24 (M, N) and UMUC3 (O, P).</w:t>
      </w:r>
      <w:r w:rsidR="004C4BA3" w:rsidRPr="00B03D43">
        <w:rPr>
          <w:rFonts w:ascii="Times New Roman" w:hAnsi="Times New Roman"/>
          <w:color w:val="000000" w:themeColor="text1"/>
          <w:sz w:val="24"/>
        </w:rPr>
        <w:t xml:space="preserve"> Scale bar =</w:t>
      </w:r>
      <w:r w:rsidR="004C4BA3" w:rsidRPr="00B03D43">
        <w:rPr>
          <w:rFonts w:ascii="Times New Roman" w:hAnsi="Times New Roman" w:hint="eastAsia"/>
          <w:color w:val="000000" w:themeColor="text1"/>
          <w:sz w:val="24"/>
        </w:rPr>
        <w:t>500</w:t>
      </w:r>
      <w:r w:rsidR="004C4BA3" w:rsidRPr="00B03D43">
        <w:rPr>
          <w:rFonts w:ascii="Times New Roman" w:eastAsia="等线" w:hAnsi="Times New Roman" w:cs="Times New Roman"/>
          <w:color w:val="000000" w:themeColor="text1"/>
          <w:sz w:val="24"/>
        </w:rPr>
        <w:t>μ</w:t>
      </w:r>
      <w:r w:rsidR="004C4BA3" w:rsidRPr="00B03D43">
        <w:rPr>
          <w:rFonts w:ascii="Times New Roman" w:hAnsi="Times New Roman" w:hint="eastAsia"/>
          <w:color w:val="000000" w:themeColor="text1"/>
          <w:sz w:val="24"/>
        </w:rPr>
        <w:t>m.</w:t>
      </w:r>
    </w:p>
    <w:p w14:paraId="4E082E91" w14:textId="4A059B2A" w:rsidR="006E1615" w:rsidRPr="00B03D43" w:rsidRDefault="00EF1349" w:rsidP="00EF134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(Q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–</w:t>
      </w:r>
      <w:r w:rsidRPr="00B03D43">
        <w:rPr>
          <w:rFonts w:ascii="Times New Roman" w:hAnsi="Times New Roman" w:hint="eastAsia"/>
          <w:b/>
          <w:bCs/>
          <w:color w:val="000000" w:themeColor="text1"/>
          <w:sz w:val="24"/>
        </w:rPr>
        <w:t>T)</w:t>
      </w:r>
      <w:r w:rsidRPr="00B03D43">
        <w:rPr>
          <w:rFonts w:ascii="Times New Roman" w:hAnsi="Times New Roman" w:hint="eastAsia"/>
          <w:color w:val="000000" w:themeColor="text1"/>
          <w:sz w:val="24"/>
        </w:rPr>
        <w:t xml:space="preserve"> Wound healing assays and quantification showing RTN3 overexpression promotes migration in T24 (Q, R) and UMUC3 (S, T). </w:t>
      </w:r>
      <w:r w:rsidR="004C4BA3" w:rsidRPr="00B03D43">
        <w:rPr>
          <w:rFonts w:ascii="Times New Roman" w:hAnsi="Times New Roman"/>
          <w:color w:val="000000" w:themeColor="text1"/>
          <w:sz w:val="24"/>
        </w:rPr>
        <w:t>Scale bar =</w:t>
      </w:r>
      <w:r w:rsidR="004C4BA3" w:rsidRPr="00B03D43">
        <w:rPr>
          <w:rFonts w:ascii="Times New Roman" w:hAnsi="Times New Roman" w:hint="eastAsia"/>
          <w:color w:val="000000" w:themeColor="text1"/>
          <w:sz w:val="24"/>
        </w:rPr>
        <w:t>500</w:t>
      </w:r>
      <w:r w:rsidR="004C4BA3" w:rsidRPr="00B03D43">
        <w:rPr>
          <w:rFonts w:ascii="Times New Roman" w:eastAsia="等线" w:hAnsi="Times New Roman" w:cs="Times New Roman"/>
          <w:color w:val="000000" w:themeColor="text1"/>
          <w:sz w:val="24"/>
        </w:rPr>
        <w:t>μ</w:t>
      </w:r>
      <w:r w:rsidR="004C4BA3" w:rsidRPr="00B03D43">
        <w:rPr>
          <w:rFonts w:ascii="Times New Roman" w:hAnsi="Times New Roman" w:hint="eastAsia"/>
          <w:color w:val="000000" w:themeColor="text1"/>
          <w:sz w:val="24"/>
        </w:rPr>
        <w:t>m.</w:t>
      </w:r>
      <w:r w:rsidRPr="00B03D43">
        <w:rPr>
          <w:rFonts w:ascii="Times New Roman" w:hAnsi="Times New Roman" w:hint="eastAsia"/>
          <w:color w:val="000000" w:themeColor="text1"/>
          <w:sz w:val="24"/>
        </w:rPr>
        <w:t>*p &lt; 0.05, **p &lt; 0.01, ***p &lt; 0.001.</w:t>
      </w:r>
    </w:p>
    <w:bookmarkEnd w:id="8"/>
    <w:p w14:paraId="58661505" w14:textId="77777777" w:rsidR="00065A7B" w:rsidRPr="00B03D43" w:rsidRDefault="00065A7B">
      <w:pPr>
        <w:rPr>
          <w:rFonts w:ascii="Times New Roman" w:hAnsi="Times New Roman"/>
          <w:color w:val="000000" w:themeColor="text1"/>
          <w:sz w:val="24"/>
        </w:rPr>
        <w:sectPr w:rsidR="00065A7B" w:rsidRPr="00B03D4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C493640" w14:textId="40CF1032" w:rsidR="006E1615" w:rsidRPr="00B03D43" w:rsidRDefault="00716614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noProof/>
          <w:color w:val="000000" w:themeColor="text1"/>
        </w:rPr>
        <w:lastRenderedPageBreak/>
        <w:drawing>
          <wp:anchor distT="0" distB="0" distL="114300" distR="114300" simplePos="0" relativeHeight="251689472" behindDoc="0" locked="0" layoutInCell="1" allowOverlap="1" wp14:anchorId="6B816A9F" wp14:editId="1548DE90">
            <wp:simplePos x="1148316" y="978195"/>
            <wp:positionH relativeFrom="margin">
              <wp:align>center</wp:align>
            </wp:positionH>
            <wp:positionV relativeFrom="margin">
              <wp:align>center</wp:align>
            </wp:positionV>
            <wp:extent cx="6840000" cy="9867190"/>
            <wp:effectExtent l="0" t="0" r="0" b="1270"/>
            <wp:wrapSquare wrapText="bothSides"/>
            <wp:docPr id="3023599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986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CEA6E8" w14:textId="77777777" w:rsidR="00065A7B" w:rsidRPr="00B03D43" w:rsidRDefault="00065A7B">
      <w:pPr>
        <w:rPr>
          <w:rFonts w:ascii="Times New Roman" w:hAnsi="Times New Roman"/>
          <w:b/>
          <w:bCs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lastRenderedPageBreak/>
        <w:t xml:space="preserve">Supplementary Figure 12. Rescue experiments confirming RTN3 as a causal driver of malignant phenotypes in bladder cancer cells. </w:t>
      </w:r>
    </w:p>
    <w:p w14:paraId="6ECB7C80" w14:textId="77777777" w:rsidR="00065A7B" w:rsidRPr="00B03D43" w:rsidRDefault="00065A7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(A–B)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CCK-8 assays showing the rescue effect of RTN3 re-expression on the proliferation of T24 (A) and UMUC3 (B) cells with RTN3 knockdown. </w:t>
      </w:r>
    </w:p>
    <w:p w14:paraId="78A0E146" w14:textId="77777777" w:rsidR="00065A7B" w:rsidRPr="00B03D43" w:rsidRDefault="00065A7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(C–D)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Colony formation assays (C) and quantitative analysis (D) showing the rescue effect of RTN3 re-expression on the clonogenic ability of T24 and UMUC3 cells with RTN3 knockdown. </w:t>
      </w:r>
    </w:p>
    <w:p w14:paraId="486764AB" w14:textId="5EDD595A" w:rsidR="00065A7B" w:rsidRPr="00B03D43" w:rsidRDefault="00065A7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(E–F)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Transwell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 xml:space="preserve"> migration assays (E) and quantitative analysis (F) showing the rescue effect of RTN3 re-expression on the migration of T24 and UMUC3 cells with RTN3 knockdown.</w:t>
      </w:r>
      <w:r w:rsidR="00C04986" w:rsidRPr="00B03D43">
        <w:rPr>
          <w:rFonts w:ascii="Times New Roman" w:hAnsi="Times New Roman"/>
          <w:color w:val="000000" w:themeColor="text1"/>
          <w:sz w:val="24"/>
        </w:rPr>
        <w:t xml:space="preserve"> Scale bar =</w:t>
      </w:r>
      <w:r w:rsidR="00C04986" w:rsidRPr="00B03D43">
        <w:rPr>
          <w:rFonts w:ascii="Times New Roman" w:hAnsi="Times New Roman" w:hint="eastAsia"/>
          <w:color w:val="000000" w:themeColor="text1"/>
          <w:sz w:val="24"/>
        </w:rPr>
        <w:t>100</w:t>
      </w:r>
      <w:r w:rsidR="00C04986" w:rsidRPr="00B03D43">
        <w:rPr>
          <w:rFonts w:ascii="Times New Roman" w:eastAsia="等线" w:hAnsi="Times New Roman" w:cs="Times New Roman"/>
          <w:color w:val="000000" w:themeColor="text1"/>
          <w:sz w:val="24"/>
        </w:rPr>
        <w:t>μ</w:t>
      </w:r>
      <w:r w:rsidR="00C04986" w:rsidRPr="00B03D43">
        <w:rPr>
          <w:rFonts w:ascii="Times New Roman" w:hAnsi="Times New Roman" w:hint="eastAsia"/>
          <w:color w:val="000000" w:themeColor="text1"/>
          <w:sz w:val="24"/>
        </w:rPr>
        <w:t>m.</w:t>
      </w:r>
    </w:p>
    <w:p w14:paraId="023DA6E2" w14:textId="6CB9C263" w:rsidR="006E1615" w:rsidRPr="00B03D43" w:rsidRDefault="00065A7B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(G–J)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Wound healing assays (G, I) and quantitative analysis (H, J) showing the rescue effect of RTN3 re-expression on the migratory capacity of T24 (G, H) and UMUC3 (I, J) cells with RTN3 knockdown. </w:t>
      </w:r>
      <w:r w:rsidR="00C04986" w:rsidRPr="00B03D43">
        <w:rPr>
          <w:rFonts w:ascii="Times New Roman" w:hAnsi="Times New Roman"/>
          <w:color w:val="000000" w:themeColor="text1"/>
          <w:sz w:val="24"/>
        </w:rPr>
        <w:t>Scale bar =</w:t>
      </w:r>
      <w:r w:rsidR="00C04986" w:rsidRPr="00B03D43">
        <w:rPr>
          <w:rFonts w:ascii="Times New Roman" w:hAnsi="Times New Roman" w:hint="eastAsia"/>
          <w:color w:val="000000" w:themeColor="text1"/>
          <w:sz w:val="24"/>
        </w:rPr>
        <w:t>500</w:t>
      </w:r>
      <w:r w:rsidR="00C04986" w:rsidRPr="00B03D43">
        <w:rPr>
          <w:rFonts w:ascii="Times New Roman" w:eastAsia="等线" w:hAnsi="Times New Roman" w:cs="Times New Roman"/>
          <w:color w:val="000000" w:themeColor="text1"/>
          <w:sz w:val="24"/>
        </w:rPr>
        <w:t>μ</w:t>
      </w:r>
      <w:r w:rsidR="00C04986" w:rsidRPr="00B03D43">
        <w:rPr>
          <w:rFonts w:ascii="Times New Roman" w:hAnsi="Times New Roman" w:hint="eastAsia"/>
          <w:color w:val="000000" w:themeColor="text1"/>
          <w:sz w:val="24"/>
        </w:rPr>
        <w:t>m.</w:t>
      </w:r>
      <w:r w:rsidRPr="00B03D43">
        <w:rPr>
          <w:rFonts w:ascii="Times New Roman" w:hAnsi="Times New Roman"/>
          <w:color w:val="000000" w:themeColor="text1"/>
          <w:sz w:val="24"/>
        </w:rPr>
        <w:t>**p &lt; 0.01, ***p &lt; 0.001.</w:t>
      </w:r>
    </w:p>
    <w:bookmarkEnd w:id="9"/>
    <w:p w14:paraId="08A0675E" w14:textId="77777777" w:rsidR="00065A7B" w:rsidRPr="00B03D43" w:rsidRDefault="00065A7B">
      <w:pPr>
        <w:rPr>
          <w:rFonts w:ascii="Times New Roman" w:hAnsi="Times New Roman"/>
          <w:color w:val="000000" w:themeColor="text1"/>
          <w:sz w:val="24"/>
        </w:rPr>
      </w:pPr>
    </w:p>
    <w:p w14:paraId="7B5DD104" w14:textId="77777777" w:rsidR="00065A7B" w:rsidRPr="00B03D43" w:rsidRDefault="00065A7B">
      <w:pPr>
        <w:rPr>
          <w:rFonts w:ascii="Times New Roman" w:hAnsi="Times New Roman"/>
          <w:color w:val="000000" w:themeColor="text1"/>
          <w:sz w:val="24"/>
        </w:rPr>
      </w:pPr>
    </w:p>
    <w:p w14:paraId="0199D85C" w14:textId="77777777" w:rsidR="00237F39" w:rsidRPr="00B03D43" w:rsidRDefault="00237F39">
      <w:pPr>
        <w:rPr>
          <w:rFonts w:ascii="Times New Roman" w:hAnsi="Times New Roman"/>
          <w:color w:val="000000" w:themeColor="text1"/>
          <w:sz w:val="24"/>
        </w:rPr>
        <w:sectPr w:rsidR="00237F39" w:rsidRPr="00B03D4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DDFD4CA" w14:textId="25AF4925" w:rsidR="00237F39" w:rsidRPr="00B03D43" w:rsidRDefault="00716614">
      <w:pPr>
        <w:rPr>
          <w:rFonts w:ascii="Times New Roman" w:hAnsi="Times New Roman"/>
          <w:b/>
          <w:bCs/>
          <w:color w:val="000000" w:themeColor="text1"/>
          <w:sz w:val="24"/>
        </w:rPr>
      </w:pPr>
      <w:bookmarkStart w:id="10" w:name="_Hlk233813254"/>
      <w:r w:rsidRPr="00B03D43">
        <w:rPr>
          <w:noProof/>
          <w:color w:val="000000" w:themeColor="text1"/>
        </w:rPr>
        <w:lastRenderedPageBreak/>
        <w:drawing>
          <wp:anchor distT="0" distB="0" distL="114300" distR="114300" simplePos="0" relativeHeight="251690496" behindDoc="0" locked="0" layoutInCell="1" allowOverlap="1" wp14:anchorId="2F234E98" wp14:editId="608CD15E">
            <wp:simplePos x="1148316" y="999460"/>
            <wp:positionH relativeFrom="margin">
              <wp:align>center</wp:align>
            </wp:positionH>
            <wp:positionV relativeFrom="margin">
              <wp:align>top</wp:align>
            </wp:positionV>
            <wp:extent cx="6840000" cy="3646463"/>
            <wp:effectExtent l="0" t="0" r="0" b="0"/>
            <wp:wrapSquare wrapText="bothSides"/>
            <wp:docPr id="56331272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3646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7F39" w:rsidRPr="00B03D43">
        <w:rPr>
          <w:rFonts w:ascii="Times New Roman" w:hAnsi="Times New Roman"/>
          <w:b/>
          <w:bCs/>
          <w:color w:val="000000" w:themeColor="text1"/>
          <w:sz w:val="24"/>
        </w:rPr>
        <w:t xml:space="preserve">Supplementary Figure 13. RTN3 overexpression promotes gemcitabine resistance and rescue experiments confirm its causal role in chemoresistance. </w:t>
      </w:r>
    </w:p>
    <w:p w14:paraId="5155EAF9" w14:textId="77777777" w:rsidR="00237F39" w:rsidRPr="00B03D43" w:rsidRDefault="00237F3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(A, B)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Dose–response curves showing that RTN3 overexpression increases the IC50 of gemcitabine in parental T24 (A) and UMUC3 (B) cells compared with vector controls. </w:t>
      </w:r>
    </w:p>
    <w:p w14:paraId="4ECFB0C3" w14:textId="77777777" w:rsidR="00237F39" w:rsidRPr="00B03D43" w:rsidRDefault="00237F3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(C, D)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CCK-8 assays showing the rescue effect of RTN3 re-expression on the proliferation of T24-R (C) and UMUC3-R (D) cells with RTN3 knockdown. </w:t>
      </w:r>
    </w:p>
    <w:p w14:paraId="4152B9E5" w14:textId="77777777" w:rsidR="00237F39" w:rsidRPr="00B03D43" w:rsidRDefault="00237F3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(E)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Colony formation assays showing the rescue effect of RTN3 re-expression on the clonogenic ability of T24-R and UMUC3-R cells with RTN3 knockdown. </w:t>
      </w:r>
    </w:p>
    <w:p w14:paraId="7F6FD30E" w14:textId="10BD181D" w:rsidR="00065A7B" w:rsidRPr="00B03D43" w:rsidRDefault="00237F39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(F)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Quantitative analysis of relative colony formation activity in T24-R and UMUC3-R cells. **p &lt; 0.01, ***p &lt; 0.001.</w:t>
      </w:r>
    </w:p>
    <w:bookmarkEnd w:id="10"/>
    <w:p w14:paraId="37ACCAE7" w14:textId="77777777" w:rsidR="00065A7B" w:rsidRPr="00B03D43" w:rsidRDefault="00065A7B">
      <w:pPr>
        <w:rPr>
          <w:rFonts w:ascii="Times New Roman" w:hAnsi="Times New Roman"/>
          <w:color w:val="000000" w:themeColor="text1"/>
          <w:sz w:val="24"/>
        </w:rPr>
      </w:pPr>
    </w:p>
    <w:p w14:paraId="6D9C0DB3" w14:textId="77777777" w:rsidR="005E1CBF" w:rsidRPr="00B03D43" w:rsidRDefault="005E1CBF">
      <w:pPr>
        <w:rPr>
          <w:rFonts w:ascii="Times New Roman" w:hAnsi="Times New Roman"/>
          <w:color w:val="000000" w:themeColor="text1"/>
          <w:sz w:val="24"/>
        </w:rPr>
      </w:pPr>
    </w:p>
    <w:p w14:paraId="582CDA21" w14:textId="77777777" w:rsidR="005E1CBF" w:rsidRPr="00B03D43" w:rsidRDefault="005E1CBF">
      <w:pPr>
        <w:rPr>
          <w:rFonts w:ascii="Times New Roman" w:hAnsi="Times New Roman"/>
          <w:color w:val="000000" w:themeColor="text1"/>
          <w:sz w:val="24"/>
        </w:rPr>
      </w:pPr>
    </w:p>
    <w:p w14:paraId="7B1253E3" w14:textId="77777777" w:rsidR="005E1CBF" w:rsidRPr="00B03D43" w:rsidRDefault="005E1CBF">
      <w:pPr>
        <w:rPr>
          <w:rFonts w:ascii="Times New Roman" w:hAnsi="Times New Roman"/>
          <w:color w:val="000000" w:themeColor="text1"/>
          <w:sz w:val="24"/>
        </w:rPr>
        <w:sectPr w:rsidR="005E1CBF" w:rsidRPr="00B03D4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C717032" w14:textId="6E74B695" w:rsidR="005E1CBF" w:rsidRPr="00B03D43" w:rsidRDefault="00A41262">
      <w:pPr>
        <w:rPr>
          <w:rFonts w:ascii="Times New Roman" w:hAnsi="Times New Roman"/>
          <w:b/>
          <w:bCs/>
          <w:color w:val="000000" w:themeColor="text1"/>
          <w:sz w:val="24"/>
        </w:rPr>
      </w:pPr>
      <w:bookmarkStart w:id="11" w:name="_Hlk233802487"/>
      <w:r w:rsidRPr="00B03D43">
        <w:rPr>
          <w:noProof/>
          <w:color w:val="000000" w:themeColor="text1"/>
        </w:rPr>
        <w:lastRenderedPageBreak/>
        <w:drawing>
          <wp:anchor distT="0" distB="0" distL="114300" distR="114300" simplePos="0" relativeHeight="251691520" behindDoc="0" locked="0" layoutInCell="1" allowOverlap="1" wp14:anchorId="3D513576" wp14:editId="59777ED7">
            <wp:simplePos x="1143000" y="1003300"/>
            <wp:positionH relativeFrom="margin">
              <wp:align>center</wp:align>
            </wp:positionH>
            <wp:positionV relativeFrom="margin">
              <wp:align>top</wp:align>
            </wp:positionV>
            <wp:extent cx="6840000" cy="5571808"/>
            <wp:effectExtent l="0" t="0" r="0" b="0"/>
            <wp:wrapSquare wrapText="bothSides"/>
            <wp:docPr id="8199418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557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1CBF" w:rsidRPr="00B03D43">
        <w:rPr>
          <w:rFonts w:ascii="Times New Roman" w:hAnsi="Times New Roman"/>
          <w:b/>
          <w:bCs/>
          <w:color w:val="000000" w:themeColor="text1"/>
          <w:sz w:val="24"/>
        </w:rPr>
        <w:t xml:space="preserve">Supplementary Figure 14. Bidirectional and rescue validation of RTN3-mediated glycolytic reprogramming. </w:t>
      </w:r>
    </w:p>
    <w:p w14:paraId="4CE58D27" w14:textId="77777777" w:rsidR="005E1CBF" w:rsidRPr="00B03D43" w:rsidRDefault="005E1CBF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(A, B)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qRT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 xml:space="preserve">-PCR analysis of PKM2, GLUT1, and LDHA mRNA expression in T24 (A) and UMUC3 (B) cells after RTN3 knockdown. </w:t>
      </w:r>
    </w:p>
    <w:p w14:paraId="4558E939" w14:textId="77777777" w:rsidR="005E1CBF" w:rsidRPr="00B03D43" w:rsidRDefault="005E1CBF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(C, D)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Western blot (C) and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qRT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 xml:space="preserve">-PCR (D) analysis of PKM2, LDHA, and GLUT1 expression in T24 cells after RTN3 overexpression. </w:t>
      </w:r>
    </w:p>
    <w:bookmarkEnd w:id="11"/>
    <w:p w14:paraId="0DE64246" w14:textId="77777777" w:rsidR="005E1CBF" w:rsidRPr="00B03D43" w:rsidRDefault="005E1CBF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(E, F)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Western blot (E) and </w:t>
      </w:r>
      <w:proofErr w:type="spellStart"/>
      <w:r w:rsidRPr="00B03D43">
        <w:rPr>
          <w:rFonts w:ascii="Times New Roman" w:hAnsi="Times New Roman"/>
          <w:color w:val="000000" w:themeColor="text1"/>
          <w:sz w:val="24"/>
        </w:rPr>
        <w:t>qRT</w:t>
      </w:r>
      <w:proofErr w:type="spellEnd"/>
      <w:r w:rsidRPr="00B03D43">
        <w:rPr>
          <w:rFonts w:ascii="Times New Roman" w:hAnsi="Times New Roman"/>
          <w:color w:val="000000" w:themeColor="text1"/>
          <w:sz w:val="24"/>
        </w:rPr>
        <w:t xml:space="preserve">-PCR (F) analysis of PKM2, LDHA, and GLUT1 expression in UMUC3 cells after RTN3 overexpression. </w:t>
      </w:r>
    </w:p>
    <w:p w14:paraId="0C0BC344" w14:textId="77777777" w:rsidR="005E1CBF" w:rsidRPr="00B03D43" w:rsidRDefault="005E1CBF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(G, H)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Western blot analysis of RTN3, PKM2, LDHA, and GLUT1 protein expression in T24-R (G) and UMUC3-R (H) cells after RTN3 knockdown and rescue. </w:t>
      </w:r>
    </w:p>
    <w:p w14:paraId="784A7292" w14:textId="77777777" w:rsidR="005E1CBF" w:rsidRPr="00B03D43" w:rsidRDefault="005E1CBF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(I, J)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Relative lactate production (I) and glucose uptake (J) in T24-R cells after RTN3 knockdown and rescue under gemcitabine pressure. </w:t>
      </w:r>
    </w:p>
    <w:p w14:paraId="1638B9CC" w14:textId="2C4B8B4D" w:rsidR="005E1CBF" w:rsidRPr="00B03D43" w:rsidRDefault="005E1CBF">
      <w:pPr>
        <w:rPr>
          <w:rFonts w:ascii="Times New Roman" w:hAnsi="Times New Roman"/>
          <w:color w:val="000000" w:themeColor="text1"/>
          <w:sz w:val="24"/>
        </w:rPr>
      </w:pPr>
      <w:r w:rsidRPr="00B03D43">
        <w:rPr>
          <w:rFonts w:ascii="Times New Roman" w:hAnsi="Times New Roman"/>
          <w:b/>
          <w:bCs/>
          <w:color w:val="000000" w:themeColor="text1"/>
          <w:sz w:val="24"/>
        </w:rPr>
        <w:t>(K, L)</w:t>
      </w:r>
      <w:r w:rsidRPr="00B03D43">
        <w:rPr>
          <w:rFonts w:ascii="Times New Roman" w:hAnsi="Times New Roman"/>
          <w:color w:val="000000" w:themeColor="text1"/>
          <w:sz w:val="24"/>
        </w:rPr>
        <w:t xml:space="preserve"> Relative lactate production (K) and glucose uptake (L) in UMUC3-R cells after RTN3 knockdown and rescue under gemcitabine pressure. *p &lt; 0.05, **p &lt; 0.01, ***p &lt; 0.001.</w:t>
      </w:r>
    </w:p>
    <w:bookmarkEnd w:id="0"/>
    <w:p w14:paraId="432B9C27" w14:textId="77777777" w:rsidR="005E1CBF" w:rsidRPr="00B03D43" w:rsidRDefault="005E1CBF">
      <w:pPr>
        <w:rPr>
          <w:rFonts w:ascii="Times New Roman" w:hAnsi="Times New Roman"/>
          <w:color w:val="000000" w:themeColor="text1"/>
          <w:sz w:val="24"/>
        </w:rPr>
      </w:pPr>
    </w:p>
    <w:sectPr w:rsidR="005E1CBF" w:rsidRPr="00B03D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515C2" w14:textId="77777777" w:rsidR="00DF1100" w:rsidRDefault="00DF1100" w:rsidP="007012D5">
      <w:pPr>
        <w:rPr>
          <w:rFonts w:hint="eastAsia"/>
        </w:rPr>
      </w:pPr>
      <w:r>
        <w:separator/>
      </w:r>
    </w:p>
  </w:endnote>
  <w:endnote w:type="continuationSeparator" w:id="0">
    <w:p w14:paraId="7F8BCA7D" w14:textId="77777777" w:rsidR="00DF1100" w:rsidRDefault="00DF1100" w:rsidP="007012D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C2348" w14:textId="77777777" w:rsidR="00DF1100" w:rsidRDefault="00DF1100" w:rsidP="007012D5">
      <w:pPr>
        <w:rPr>
          <w:rFonts w:hint="eastAsia"/>
        </w:rPr>
      </w:pPr>
      <w:r>
        <w:separator/>
      </w:r>
    </w:p>
  </w:footnote>
  <w:footnote w:type="continuationSeparator" w:id="0">
    <w:p w14:paraId="6AB0A2B7" w14:textId="77777777" w:rsidR="00DF1100" w:rsidRDefault="00DF1100" w:rsidP="007012D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C367C"/>
    <w:multiLevelType w:val="multilevel"/>
    <w:tmpl w:val="5E5C367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975477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hinese Std GBT7714 (numeric)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tvpwfepv5sxdbe2pvpv9xfysssvp9xt2sfa&quot;&gt;My EndNote 12&lt;record-ids&gt;&lt;item&gt;127&lt;/item&gt;&lt;item&gt;217&lt;/item&gt;&lt;item&gt;228&lt;/item&gt;&lt;item&gt;229&lt;/item&gt;&lt;item&gt;230&lt;/item&gt;&lt;item&gt;231&lt;/item&gt;&lt;item&gt;232&lt;/item&gt;&lt;item&gt;233&lt;/item&gt;&lt;item&gt;235&lt;/item&gt;&lt;item&gt;236&lt;/item&gt;&lt;item&gt;237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6&lt;/item&gt;&lt;item&gt;257&lt;/item&gt;&lt;item&gt;258&lt;/item&gt;&lt;item&gt;259&lt;/item&gt;&lt;item&gt;260&lt;/item&gt;&lt;item&gt;262&lt;/item&gt;&lt;item&gt;263&lt;/item&gt;&lt;item&gt;264&lt;/item&gt;&lt;item&gt;265&lt;/item&gt;&lt;item&gt;266&lt;/item&gt;&lt;item&gt;267&lt;/item&gt;&lt;item&gt;268&lt;/item&gt;&lt;item&gt;269&lt;/item&gt;&lt;item&gt;270&lt;/item&gt;&lt;item&gt;271&lt;/item&gt;&lt;item&gt;272&lt;/item&gt;&lt;item&gt;273&lt;/item&gt;&lt;item&gt;274&lt;/item&gt;&lt;item&gt;275&lt;/item&gt;&lt;item&gt;276&lt;/item&gt;&lt;item&gt;277&lt;/item&gt;&lt;item&gt;278&lt;/item&gt;&lt;/record-ids&gt;&lt;/item&gt;&lt;/Libraries&gt;"/>
  </w:docVars>
  <w:rsids>
    <w:rsidRoot w:val="001B708B"/>
    <w:rsid w:val="00002C35"/>
    <w:rsid w:val="000321DF"/>
    <w:rsid w:val="00040D27"/>
    <w:rsid w:val="0006003D"/>
    <w:rsid w:val="00065A7B"/>
    <w:rsid w:val="00092C9F"/>
    <w:rsid w:val="00095931"/>
    <w:rsid w:val="000B74C6"/>
    <w:rsid w:val="000C55A1"/>
    <w:rsid w:val="000C68BE"/>
    <w:rsid w:val="0010568D"/>
    <w:rsid w:val="00113E7C"/>
    <w:rsid w:val="00121A58"/>
    <w:rsid w:val="001225B7"/>
    <w:rsid w:val="001436A7"/>
    <w:rsid w:val="001467B3"/>
    <w:rsid w:val="00167848"/>
    <w:rsid w:val="0018549A"/>
    <w:rsid w:val="001876DE"/>
    <w:rsid w:val="001928A5"/>
    <w:rsid w:val="0019390C"/>
    <w:rsid w:val="001967D8"/>
    <w:rsid w:val="001B708B"/>
    <w:rsid w:val="001C6945"/>
    <w:rsid w:val="001F4317"/>
    <w:rsid w:val="00204A2F"/>
    <w:rsid w:val="00207D9F"/>
    <w:rsid w:val="00230843"/>
    <w:rsid w:val="00231B7A"/>
    <w:rsid w:val="00237F39"/>
    <w:rsid w:val="002436EC"/>
    <w:rsid w:val="002527D9"/>
    <w:rsid w:val="00263451"/>
    <w:rsid w:val="00290A16"/>
    <w:rsid w:val="0029196D"/>
    <w:rsid w:val="00295F84"/>
    <w:rsid w:val="002B0BEC"/>
    <w:rsid w:val="002B4877"/>
    <w:rsid w:val="002B5004"/>
    <w:rsid w:val="002D5D68"/>
    <w:rsid w:val="002E1223"/>
    <w:rsid w:val="002E2E00"/>
    <w:rsid w:val="002E4EB4"/>
    <w:rsid w:val="00317125"/>
    <w:rsid w:val="00360615"/>
    <w:rsid w:val="00363B84"/>
    <w:rsid w:val="003776C6"/>
    <w:rsid w:val="003F17F9"/>
    <w:rsid w:val="003F2952"/>
    <w:rsid w:val="00411C78"/>
    <w:rsid w:val="004517A8"/>
    <w:rsid w:val="00453995"/>
    <w:rsid w:val="00455352"/>
    <w:rsid w:val="00456B23"/>
    <w:rsid w:val="00457A2D"/>
    <w:rsid w:val="00466443"/>
    <w:rsid w:val="00474EF1"/>
    <w:rsid w:val="004834EC"/>
    <w:rsid w:val="00486D2C"/>
    <w:rsid w:val="004922EC"/>
    <w:rsid w:val="00493DC1"/>
    <w:rsid w:val="004C4BA3"/>
    <w:rsid w:val="004D27D8"/>
    <w:rsid w:val="004E55EB"/>
    <w:rsid w:val="004E715A"/>
    <w:rsid w:val="004F7A16"/>
    <w:rsid w:val="0052387B"/>
    <w:rsid w:val="00523B93"/>
    <w:rsid w:val="0053723C"/>
    <w:rsid w:val="005658AF"/>
    <w:rsid w:val="005908E3"/>
    <w:rsid w:val="005A7384"/>
    <w:rsid w:val="005B1803"/>
    <w:rsid w:val="005D6483"/>
    <w:rsid w:val="005E1CBF"/>
    <w:rsid w:val="00607AB7"/>
    <w:rsid w:val="00614382"/>
    <w:rsid w:val="006307A1"/>
    <w:rsid w:val="00640388"/>
    <w:rsid w:val="00646A25"/>
    <w:rsid w:val="006805BE"/>
    <w:rsid w:val="006B49A0"/>
    <w:rsid w:val="006C5307"/>
    <w:rsid w:val="006C6720"/>
    <w:rsid w:val="006E1615"/>
    <w:rsid w:val="007012D5"/>
    <w:rsid w:val="00706D73"/>
    <w:rsid w:val="00716614"/>
    <w:rsid w:val="007426E2"/>
    <w:rsid w:val="00743524"/>
    <w:rsid w:val="00752933"/>
    <w:rsid w:val="007575A9"/>
    <w:rsid w:val="00782B5B"/>
    <w:rsid w:val="007928CB"/>
    <w:rsid w:val="007B2FDC"/>
    <w:rsid w:val="007B45AB"/>
    <w:rsid w:val="007B4E84"/>
    <w:rsid w:val="007C5FBE"/>
    <w:rsid w:val="007E3624"/>
    <w:rsid w:val="007F390B"/>
    <w:rsid w:val="00804D3A"/>
    <w:rsid w:val="00806568"/>
    <w:rsid w:val="00845037"/>
    <w:rsid w:val="00846EA4"/>
    <w:rsid w:val="00854397"/>
    <w:rsid w:val="0086518B"/>
    <w:rsid w:val="00867BB2"/>
    <w:rsid w:val="00870F19"/>
    <w:rsid w:val="00887177"/>
    <w:rsid w:val="0089014A"/>
    <w:rsid w:val="008931AE"/>
    <w:rsid w:val="00893664"/>
    <w:rsid w:val="008A3661"/>
    <w:rsid w:val="008B1E37"/>
    <w:rsid w:val="008B2225"/>
    <w:rsid w:val="008C5CE7"/>
    <w:rsid w:val="008D439B"/>
    <w:rsid w:val="008D5F9F"/>
    <w:rsid w:val="008D7369"/>
    <w:rsid w:val="008E63DD"/>
    <w:rsid w:val="008F69E7"/>
    <w:rsid w:val="0091508C"/>
    <w:rsid w:val="0093470C"/>
    <w:rsid w:val="00937123"/>
    <w:rsid w:val="0094663E"/>
    <w:rsid w:val="00952A94"/>
    <w:rsid w:val="00952E1A"/>
    <w:rsid w:val="0095583E"/>
    <w:rsid w:val="00955EEE"/>
    <w:rsid w:val="00960955"/>
    <w:rsid w:val="00977419"/>
    <w:rsid w:val="009B5EC7"/>
    <w:rsid w:val="009C0D5B"/>
    <w:rsid w:val="009C0DF3"/>
    <w:rsid w:val="009E4E35"/>
    <w:rsid w:val="00A03299"/>
    <w:rsid w:val="00A1797B"/>
    <w:rsid w:val="00A22E41"/>
    <w:rsid w:val="00A41262"/>
    <w:rsid w:val="00A7659F"/>
    <w:rsid w:val="00A96BB4"/>
    <w:rsid w:val="00AA6E32"/>
    <w:rsid w:val="00AC0A52"/>
    <w:rsid w:val="00AC6C80"/>
    <w:rsid w:val="00AE34F2"/>
    <w:rsid w:val="00AE7FCB"/>
    <w:rsid w:val="00AF2049"/>
    <w:rsid w:val="00AF2567"/>
    <w:rsid w:val="00AF4EFB"/>
    <w:rsid w:val="00B02F2D"/>
    <w:rsid w:val="00B03D43"/>
    <w:rsid w:val="00B103AD"/>
    <w:rsid w:val="00B10E14"/>
    <w:rsid w:val="00B35498"/>
    <w:rsid w:val="00B64745"/>
    <w:rsid w:val="00B7673A"/>
    <w:rsid w:val="00B82385"/>
    <w:rsid w:val="00B843D2"/>
    <w:rsid w:val="00B927BD"/>
    <w:rsid w:val="00BA3928"/>
    <w:rsid w:val="00BB06F0"/>
    <w:rsid w:val="00BC4195"/>
    <w:rsid w:val="00BE1A90"/>
    <w:rsid w:val="00BE4D77"/>
    <w:rsid w:val="00BF68C8"/>
    <w:rsid w:val="00C000A9"/>
    <w:rsid w:val="00C04986"/>
    <w:rsid w:val="00C206F4"/>
    <w:rsid w:val="00C538B5"/>
    <w:rsid w:val="00C70684"/>
    <w:rsid w:val="00C722F8"/>
    <w:rsid w:val="00CA19AA"/>
    <w:rsid w:val="00CA57B6"/>
    <w:rsid w:val="00CB0F2C"/>
    <w:rsid w:val="00CB6608"/>
    <w:rsid w:val="00CC2A00"/>
    <w:rsid w:val="00CE0C10"/>
    <w:rsid w:val="00D2221B"/>
    <w:rsid w:val="00D31D56"/>
    <w:rsid w:val="00D52079"/>
    <w:rsid w:val="00D9119F"/>
    <w:rsid w:val="00DA5807"/>
    <w:rsid w:val="00DC1964"/>
    <w:rsid w:val="00DF1100"/>
    <w:rsid w:val="00DF31F5"/>
    <w:rsid w:val="00E03438"/>
    <w:rsid w:val="00E06085"/>
    <w:rsid w:val="00E23F19"/>
    <w:rsid w:val="00E335C1"/>
    <w:rsid w:val="00E53344"/>
    <w:rsid w:val="00E66FEB"/>
    <w:rsid w:val="00E81E3F"/>
    <w:rsid w:val="00EA509A"/>
    <w:rsid w:val="00ED4B9B"/>
    <w:rsid w:val="00EE049B"/>
    <w:rsid w:val="00EF1349"/>
    <w:rsid w:val="00F001E8"/>
    <w:rsid w:val="00F0662D"/>
    <w:rsid w:val="00F123D3"/>
    <w:rsid w:val="00F15D67"/>
    <w:rsid w:val="00F21ED7"/>
    <w:rsid w:val="00F30886"/>
    <w:rsid w:val="00F44068"/>
    <w:rsid w:val="00F753CC"/>
    <w:rsid w:val="00F7713B"/>
    <w:rsid w:val="00F93890"/>
    <w:rsid w:val="00F974F5"/>
    <w:rsid w:val="00FA4D3E"/>
    <w:rsid w:val="00FB0245"/>
    <w:rsid w:val="00FB7C50"/>
    <w:rsid w:val="00FC3EDB"/>
    <w:rsid w:val="00FE049A"/>
    <w:rsid w:val="00FE5F87"/>
    <w:rsid w:val="00FE7BDF"/>
    <w:rsid w:val="00FF48FE"/>
    <w:rsid w:val="3C61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3BE249"/>
  <w15:docId w15:val="{A71EC0E1-78C9-4BD7-942E-5480A8B3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aliases w:val="Section heading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aliases w:val="Section heading 字符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Cs w:val="22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Cs w:val="22"/>
      <w14:ligatures w14:val="standardContextual"/>
    </w:rPr>
  </w:style>
  <w:style w:type="character" w:styleId="af0">
    <w:name w:val="annotation reference"/>
    <w:basedOn w:val="a0"/>
    <w:uiPriority w:val="99"/>
    <w:semiHidden/>
    <w:unhideWhenUsed/>
    <w:rsid w:val="0089014A"/>
    <w:rPr>
      <w:sz w:val="21"/>
      <w:szCs w:val="21"/>
    </w:rPr>
  </w:style>
  <w:style w:type="paragraph" w:styleId="af1">
    <w:name w:val="annotation text"/>
    <w:basedOn w:val="a"/>
    <w:link w:val="af2"/>
    <w:uiPriority w:val="99"/>
    <w:semiHidden/>
    <w:unhideWhenUsed/>
    <w:rsid w:val="0089014A"/>
    <w:pPr>
      <w:jc w:val="left"/>
    </w:pPr>
  </w:style>
  <w:style w:type="character" w:customStyle="1" w:styleId="af2">
    <w:name w:val="批注文字 字符"/>
    <w:basedOn w:val="a0"/>
    <w:link w:val="af1"/>
    <w:uiPriority w:val="99"/>
    <w:semiHidden/>
    <w:rsid w:val="0089014A"/>
    <w:rPr>
      <w:kern w:val="2"/>
      <w:sz w:val="21"/>
      <w:szCs w:val="22"/>
      <w14:ligatures w14:val="standardContextual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9014A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89014A"/>
    <w:rPr>
      <w:b/>
      <w:bCs/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3715</TotalTime>
  <Pages>1</Pages>
  <Words>1720</Words>
  <Characters>10065</Characters>
  <Application>Microsoft Office Word</Application>
  <DocSecurity>0</DocSecurity>
  <Lines>264</Lines>
  <Paragraphs>103</Paragraphs>
  <ScaleCrop>false</ScaleCrop>
  <Company/>
  <LinksUpToDate>false</LinksUpToDate>
  <CharactersWithSpaces>11682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顺利 于</dc:creator>
  <cp:keywords/>
  <dc:description/>
  <cp:lastModifiedBy>顺利 于</cp:lastModifiedBy>
  <cp:revision>49</cp:revision>
  <dcterms:created xsi:type="dcterms:W3CDTF">2026-01-26T06:20:00Z</dcterms:created>
  <dcterms:modified xsi:type="dcterms:W3CDTF">2026-08-26T11:59:00Z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eyJoZGlkIjoiYWM3M2Y3Mjg2MTEzOTE2MWM2Yzg1MzIwOTE5YWY3ZmMiLCJ1c2VySWQiOiI0MDU0ODY2NDgifQ==</vt:lpwstr>
  </property>
  <property fmtid="{D5CDD505-2E9C-101B-9397-08002B2CF9AE}" pid="3" name="KSOProductBuildVer">
    <vt:lpwstr>2052-12.1.0.24657</vt:lpwstr>
  </property>
  <property fmtid="{D5CDD505-2E9C-101B-9397-08002B2CF9AE}" pid="4" name="ICV">
    <vt:lpwstr>B62BE47D808849DFA62F95B59DDDC01B_12</vt:lpwstr>
  </property>
</Properties>
</file>