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713C85" w14:textId="409C0C8A" w:rsidR="00954935" w:rsidRPr="007113DD" w:rsidRDefault="00954935" w:rsidP="00954935">
      <w:pPr>
        <w:pStyle w:val="Heading1"/>
      </w:pPr>
      <w:r w:rsidRPr="007113DD">
        <w:t>ADDITIONAL FILE 1</w:t>
      </w:r>
      <w:r w:rsidR="0053655C">
        <w:t xml:space="preserve"> - Supplementary m</w:t>
      </w:r>
      <w:r w:rsidR="0053655C" w:rsidRPr="007113DD">
        <w:t>ethods</w:t>
      </w:r>
    </w:p>
    <w:p w14:paraId="052B87CC" w14:textId="77777777" w:rsidR="0086625D" w:rsidRPr="00B84417" w:rsidRDefault="003B25CF" w:rsidP="005B2A70">
      <w:pPr>
        <w:pStyle w:val="Title"/>
        <w:rPr>
          <w:sz w:val="28"/>
        </w:rPr>
      </w:pPr>
      <w:r w:rsidRPr="00B84417">
        <w:rPr>
          <w:sz w:val="28"/>
        </w:rPr>
        <w:t xml:space="preserve">Metagenomic analysis of the microbiota in the highly compartmented hindguts of </w:t>
      </w:r>
      <w:r w:rsidR="009E002F" w:rsidRPr="00B84417">
        <w:rPr>
          <w:sz w:val="28"/>
        </w:rPr>
        <w:t xml:space="preserve">six </w:t>
      </w:r>
      <w:r w:rsidRPr="00B84417">
        <w:rPr>
          <w:sz w:val="28"/>
        </w:rPr>
        <w:t>wood- and soil-feeding higher termites</w:t>
      </w:r>
    </w:p>
    <w:p w14:paraId="7205498A" w14:textId="2F031C3D" w:rsidR="005B2A70" w:rsidRDefault="003B25CF" w:rsidP="003B25CF">
      <w:pPr>
        <w:rPr>
          <w:vertAlign w:val="superscript"/>
        </w:rPr>
      </w:pPr>
      <w:r w:rsidRPr="00DD7D1C">
        <w:t>Karen</w:t>
      </w:r>
      <w:r>
        <w:t xml:space="preserve"> </w:t>
      </w:r>
      <w:proofErr w:type="spellStart"/>
      <w:r w:rsidR="0086625D" w:rsidRPr="00DD7D1C">
        <w:t>Rossmassler</w:t>
      </w:r>
      <w:proofErr w:type="spellEnd"/>
      <w:r>
        <w:t>,</w:t>
      </w:r>
      <w:r w:rsidR="0086625D" w:rsidRPr="00DD7D1C">
        <w:t xml:space="preserve"> Carsten</w:t>
      </w:r>
      <w:r>
        <w:t xml:space="preserve"> </w:t>
      </w:r>
      <w:r w:rsidRPr="00DD7D1C">
        <w:t>Dietrich</w:t>
      </w:r>
      <w:r>
        <w:t>,</w:t>
      </w:r>
      <w:r w:rsidR="0086625D" w:rsidRPr="00DD7D1C">
        <w:t xml:space="preserve"> Claire</w:t>
      </w:r>
      <w:r>
        <w:t xml:space="preserve"> </w:t>
      </w:r>
      <w:r w:rsidRPr="00DD7D1C">
        <w:t>Thompson</w:t>
      </w:r>
      <w:r>
        <w:t>,</w:t>
      </w:r>
      <w:r w:rsidR="0086625D" w:rsidRPr="00DD7D1C">
        <w:t xml:space="preserve"> Aram</w:t>
      </w:r>
      <w:r>
        <w:t xml:space="preserve"> </w:t>
      </w:r>
      <w:proofErr w:type="spellStart"/>
      <w:r w:rsidRPr="00DD7D1C">
        <w:t>Mikaelyan</w:t>
      </w:r>
      <w:proofErr w:type="spellEnd"/>
      <w:r>
        <w:t xml:space="preserve">, </w:t>
      </w:r>
      <w:r w:rsidR="00345407" w:rsidRPr="00345407">
        <w:t xml:space="preserve">James </w:t>
      </w:r>
      <w:proofErr w:type="spellStart"/>
      <w:r w:rsidR="00345407" w:rsidRPr="00345407">
        <w:t>Nonoh</w:t>
      </w:r>
      <w:proofErr w:type="spellEnd"/>
      <w:r w:rsidR="00345407">
        <w:t xml:space="preserve">, </w:t>
      </w:r>
      <w:r w:rsidR="00122738">
        <w:t xml:space="preserve">Rudolf H. </w:t>
      </w:r>
      <w:proofErr w:type="spellStart"/>
      <w:r w:rsidR="00122738">
        <w:t>Scheffrahn</w:t>
      </w:r>
      <w:proofErr w:type="spellEnd"/>
      <w:r w:rsidR="00122738">
        <w:t xml:space="preserve">, </w:t>
      </w:r>
      <w:r w:rsidR="005B2A70">
        <w:t xml:space="preserve">David </w:t>
      </w:r>
      <w:proofErr w:type="spellStart"/>
      <w:r w:rsidR="005B2A70">
        <w:t>Sillam-Dussès</w:t>
      </w:r>
      <w:proofErr w:type="spellEnd"/>
      <w:r w:rsidR="005B2A70">
        <w:t xml:space="preserve"> and </w:t>
      </w:r>
      <w:r w:rsidR="0086625D" w:rsidRPr="00DD7D1C">
        <w:t>Andreas</w:t>
      </w:r>
      <w:r w:rsidR="005B2A70">
        <w:t xml:space="preserve"> </w:t>
      </w:r>
      <w:proofErr w:type="spellStart"/>
      <w:r w:rsidR="005B2A70" w:rsidRPr="00DD7D1C">
        <w:t>Brune</w:t>
      </w:r>
      <w:bookmarkStart w:id="0" w:name="_GoBack"/>
      <w:bookmarkEnd w:id="0"/>
      <w:proofErr w:type="spellEnd"/>
    </w:p>
    <w:p w14:paraId="3FDC88F0" w14:textId="522A15A5" w:rsidR="0053655C" w:rsidRDefault="0053655C" w:rsidP="0053655C">
      <w:pPr>
        <w:pStyle w:val="Heading1"/>
        <w:rPr>
          <w:b w:val="0"/>
          <w:sz w:val="20"/>
          <w:szCs w:val="20"/>
        </w:rPr>
      </w:pPr>
      <w:r>
        <w:br w:type="page"/>
      </w:r>
    </w:p>
    <w:p w14:paraId="588EAEEC" w14:textId="6B94A075" w:rsidR="00A60846" w:rsidRPr="00822BCD" w:rsidRDefault="00A60846" w:rsidP="00057879">
      <w:pPr>
        <w:pStyle w:val="Heading2"/>
      </w:pPr>
      <w:r w:rsidRPr="00822BCD">
        <w:lastRenderedPageBreak/>
        <w:t>Sample collection</w:t>
      </w:r>
      <w:r w:rsidR="008275EC">
        <w:t xml:space="preserve"> and preparation</w:t>
      </w:r>
    </w:p>
    <w:p w14:paraId="74D98B78" w14:textId="0AFB656D" w:rsidR="008A3E9A" w:rsidRPr="00DB31C2" w:rsidRDefault="008A3E9A" w:rsidP="008A3E9A">
      <w:proofErr w:type="spellStart"/>
      <w:r w:rsidRPr="00DD7D1C">
        <w:rPr>
          <w:i/>
        </w:rPr>
        <w:t>Cornitermes</w:t>
      </w:r>
      <w:proofErr w:type="spellEnd"/>
      <w:r w:rsidRPr="00DD7D1C">
        <w:t xml:space="preserve"> sp.</w:t>
      </w:r>
      <w:r w:rsidR="00530607">
        <w:t xml:space="preserve"> </w:t>
      </w:r>
      <w:r w:rsidR="0005718B">
        <w:t>(Co191)</w:t>
      </w:r>
      <w:r w:rsidRPr="00DD7D1C">
        <w:t xml:space="preserve">, and </w:t>
      </w:r>
      <w:proofErr w:type="spellStart"/>
      <w:r w:rsidRPr="00DD7D1C">
        <w:rPr>
          <w:i/>
        </w:rPr>
        <w:t>Neocapritermes</w:t>
      </w:r>
      <w:proofErr w:type="spellEnd"/>
      <w:r w:rsidRPr="00DD7D1C">
        <w:rPr>
          <w:i/>
        </w:rPr>
        <w:t xml:space="preserve"> </w:t>
      </w:r>
      <w:proofErr w:type="spellStart"/>
      <w:r w:rsidRPr="00DD7D1C">
        <w:rPr>
          <w:i/>
        </w:rPr>
        <w:t>taracua</w:t>
      </w:r>
      <w:proofErr w:type="spellEnd"/>
      <w:r w:rsidR="0005718B">
        <w:rPr>
          <w:i/>
        </w:rPr>
        <w:t xml:space="preserve"> </w:t>
      </w:r>
      <w:r w:rsidR="0005718B">
        <w:t>(Nt19</w:t>
      </w:r>
      <w:r w:rsidR="008F004B">
        <w:t>7</w:t>
      </w:r>
      <w:r w:rsidR="0005718B">
        <w:t xml:space="preserve">) </w:t>
      </w:r>
      <w:r w:rsidRPr="00DD7D1C">
        <w:t xml:space="preserve">were </w:t>
      </w:r>
      <w:r w:rsidR="00DB31C2" w:rsidRPr="007B190B">
        <w:t xml:space="preserve">collected </w:t>
      </w:r>
      <w:r w:rsidR="00DB31C2">
        <w:t xml:space="preserve">near Petit </w:t>
      </w:r>
      <w:proofErr w:type="spellStart"/>
      <w:r w:rsidR="00DB31C2">
        <w:t>Saut</w:t>
      </w:r>
      <w:proofErr w:type="spellEnd"/>
      <w:r w:rsidR="00DB31C2">
        <w:t xml:space="preserve"> dam, </w:t>
      </w:r>
      <w:r w:rsidR="00DB31C2" w:rsidRPr="007B190B">
        <w:t>French Gu</w:t>
      </w:r>
      <w:r w:rsidR="00DB31C2">
        <w:t>i</w:t>
      </w:r>
      <w:r w:rsidR="00DB31C2" w:rsidRPr="007B190B">
        <w:t>ana</w:t>
      </w:r>
      <w:r w:rsidRPr="00DD7D1C">
        <w:t xml:space="preserve">. </w:t>
      </w:r>
      <w:proofErr w:type="spellStart"/>
      <w:r w:rsidR="00DB31C2">
        <w:rPr>
          <w:i/>
        </w:rPr>
        <w:t>Termes</w:t>
      </w:r>
      <w:proofErr w:type="spellEnd"/>
      <w:r w:rsidR="00DB31C2">
        <w:rPr>
          <w:i/>
        </w:rPr>
        <w:t xml:space="preserve"> </w:t>
      </w:r>
      <w:proofErr w:type="spellStart"/>
      <w:r w:rsidR="00DB31C2">
        <w:rPr>
          <w:i/>
        </w:rPr>
        <w:t>hospes</w:t>
      </w:r>
      <w:proofErr w:type="spellEnd"/>
      <w:r w:rsidR="00DB31C2" w:rsidRPr="00DD7D1C">
        <w:t xml:space="preserve"> </w:t>
      </w:r>
      <w:r w:rsidR="00DB31C2">
        <w:t xml:space="preserve">(Th196) and </w:t>
      </w:r>
      <w:r w:rsidR="00DB31C2" w:rsidRPr="007B190B">
        <w:rPr>
          <w:i/>
        </w:rPr>
        <w:t>Microcerotermes parvus</w:t>
      </w:r>
      <w:r w:rsidR="00DB31C2" w:rsidRPr="007B190B">
        <w:t xml:space="preserve"> </w:t>
      </w:r>
      <w:r w:rsidR="00DB31C2">
        <w:t xml:space="preserve">(Mp193) </w:t>
      </w:r>
      <w:r w:rsidR="00DB31C2" w:rsidRPr="007B190B">
        <w:t xml:space="preserve">were collected </w:t>
      </w:r>
      <w:r w:rsidR="00DB31C2">
        <w:t xml:space="preserve">near Pointe-Noire, </w:t>
      </w:r>
      <w:r w:rsidR="00DB31C2" w:rsidRPr="007B190B">
        <w:t>Democratic Republic of the Congo</w:t>
      </w:r>
      <w:r w:rsidR="00DB31C2">
        <w:t xml:space="preserve">. </w:t>
      </w:r>
      <w:r w:rsidR="00DB31C2" w:rsidRPr="00DD7D1C">
        <w:rPr>
          <w:i/>
        </w:rPr>
        <w:t>Cubitermes</w:t>
      </w:r>
      <w:r w:rsidR="00DB31C2" w:rsidRPr="00DD7D1C">
        <w:t xml:space="preserve"> </w:t>
      </w:r>
      <w:r w:rsidR="00DB31C2" w:rsidRPr="00DD7D1C">
        <w:rPr>
          <w:i/>
        </w:rPr>
        <w:t>ugandensis</w:t>
      </w:r>
      <w:r w:rsidR="00DB31C2" w:rsidRPr="00DD7D1C">
        <w:t xml:space="preserve"> </w:t>
      </w:r>
      <w:r w:rsidR="00DB31C2">
        <w:t xml:space="preserve">(Cu122) </w:t>
      </w:r>
      <w:r w:rsidR="00DB31C2" w:rsidRPr="00DD7D1C">
        <w:t xml:space="preserve">were collected </w:t>
      </w:r>
      <w:r w:rsidR="00DB31C2">
        <w:t xml:space="preserve">on </w:t>
      </w:r>
      <w:proofErr w:type="spellStart"/>
      <w:r w:rsidR="00DB31C2" w:rsidRPr="00DD7D1C">
        <w:t>Lhiranda</w:t>
      </w:r>
      <w:proofErr w:type="spellEnd"/>
      <w:r w:rsidR="00DB31C2" w:rsidRPr="00DD7D1C">
        <w:t xml:space="preserve"> Hill</w:t>
      </w:r>
      <w:r w:rsidR="00DB31C2">
        <w:t xml:space="preserve"> in </w:t>
      </w:r>
      <w:proofErr w:type="spellStart"/>
      <w:r w:rsidR="00DB31C2" w:rsidRPr="00DD7D1C">
        <w:t>Kakamega</w:t>
      </w:r>
      <w:proofErr w:type="spellEnd"/>
      <w:r w:rsidR="00DB31C2">
        <w:t xml:space="preserve"> Forest</w:t>
      </w:r>
      <w:r w:rsidR="00DB31C2" w:rsidRPr="00DD7D1C">
        <w:t xml:space="preserve">, Kenya. </w:t>
      </w:r>
      <w:r w:rsidR="00DB31C2" w:rsidRPr="00DD7D1C">
        <w:rPr>
          <w:i/>
        </w:rPr>
        <w:t>Nasutitermes corniger</w:t>
      </w:r>
      <w:r w:rsidR="00DB31C2" w:rsidRPr="00DD7D1C">
        <w:t xml:space="preserve"> </w:t>
      </w:r>
      <w:r w:rsidR="00DB31C2">
        <w:t xml:space="preserve">(Nc150) </w:t>
      </w:r>
      <w:r w:rsidR="00DB31C2" w:rsidRPr="00DD7D1C">
        <w:t xml:space="preserve">were obtained from a laboratory-maintained colony (University of Florida). </w:t>
      </w:r>
      <w:r w:rsidR="00057879">
        <w:t>Species i</w:t>
      </w:r>
      <w:r w:rsidR="00530607">
        <w:t xml:space="preserve">dentity was established by morphology and </w:t>
      </w:r>
      <w:r w:rsidR="00D94070">
        <w:t xml:space="preserve">by </w:t>
      </w:r>
      <w:r w:rsidR="00530607">
        <w:t xml:space="preserve">reconstruction of the complete mitochondrial genome sequences </w:t>
      </w:r>
      <w:r w:rsidR="008F004B">
        <w:fldChar w:fldCharType="begin" w:fldLock="1"/>
      </w:r>
      <w:r w:rsidR="00222892">
        <w:instrText>ADDIN CSL_CITATION { "citationItems" : [ { "id" : "ITEM-1", "itemData" : { "DOI" : "10.3109/19401736.2014.987257", "ISSN" : "1940-1744 (Electronic)", "PMID" : "25471441", "abstract" : "Abstract We reconstructed the complete mitochondrial genomes of six higher termite species from metagenomic datasets of their isolated hindgut compartments. The sequencing reads were retrieved and assembled with the mitochondrial-baiting and iterative-mapping algorithm (MITObim), which yielded closed mitogenomes without additional finishing efforts (average coverage ranging from 2300- to 17,000-fold). The genomes ranged from 16.1 to 17.6 kbp in size and had G+C contents between 32 and 35 mol%; each contained the same 37 genes present also in the mitochondria of other termite species. Our study substantially increases the number of termite mitogenomes available for phylogenetic studies and offers a facile strategy for identifying host species in metagenomic studies of their associated microbiota.", "author" : [ { "dropping-particle" : "", "family" : "Dietrich", "given" : "Carsten", "non-dropping-particle" : "", "parse-names" : false, "suffix" : "" }, { "dropping-particle" : "", "family" : "Brune", "given" : "Andreas", "non-dropping-particle" : "", "parse-names" : false, "suffix" : "" } ], "container-title" : "Mitochondrial DNA", "id" : "ITEM-1", "issue" : "0", "issued" : { "date-parts" : [ [ "2014", "12", "4" ] ] }, "page" : "1-2", "publisher" : "Informa UK Ltd. London", "title" : "The complete mitogenomes of six higher termite species reconstructed from metagenomic datasets (&lt;i&gt;Cornitermes&lt;/i&gt; sp., &lt;i&gt;Cubitermes ugandensis, Microcerotermes parvus, Nasutitermes corniger, Neocapritermes taracua&lt;/i&gt;, and &lt;i&gt;Termes hospes&lt;/i&gt;)", "type" : "article-journal", "volume" : "Dec 4" }, "uris" : [ "http://www.mendeley.com/documents/?uuid=bddc871c-e62d-439c-8ec1-dbc25b929cbb" ] } ], "mendeley" : { "formattedCitation" : "[1]", "plainTextFormattedCitation" : "[1]", "previouslyFormattedCitation" : "[1]" }, "properties" : { "noteIndex" : 0 }, "schema" : "https://github.com/citation-style-language/schema/raw/master/csl-citation.json" }</w:instrText>
      </w:r>
      <w:r w:rsidR="008F004B">
        <w:fldChar w:fldCharType="separate"/>
      </w:r>
      <w:r w:rsidR="008F004B" w:rsidRPr="008F004B">
        <w:rPr>
          <w:noProof/>
        </w:rPr>
        <w:t>[1]</w:t>
      </w:r>
      <w:r w:rsidR="008F004B">
        <w:fldChar w:fldCharType="end"/>
      </w:r>
      <w:r w:rsidR="00880D77">
        <w:t>.</w:t>
      </w:r>
      <w:r w:rsidR="00530607">
        <w:t xml:space="preserve">  </w:t>
      </w:r>
    </w:p>
    <w:p w14:paraId="2D6B3F8C" w14:textId="226EE42F" w:rsidR="0053655C" w:rsidRDefault="00880D77" w:rsidP="0053655C">
      <w:pPr>
        <w:rPr>
          <w:rFonts w:ascii="Arial" w:hAnsi="Arial" w:cs="Arial"/>
          <w:b/>
          <w:sz w:val="20"/>
          <w:szCs w:val="20"/>
        </w:rPr>
      </w:pPr>
      <w:r>
        <w:t xml:space="preserve">For each termite species, the guts of 30–50 workers </w:t>
      </w:r>
      <w:r w:rsidR="008A3E9A" w:rsidRPr="00DD7D1C">
        <w:t xml:space="preserve">were </w:t>
      </w:r>
      <w:r w:rsidRPr="00177DA8">
        <w:t>dissected with fine-tipped forceps</w:t>
      </w:r>
      <w:r w:rsidR="00752FAC">
        <w:t xml:space="preserve"> into individual compartments </w:t>
      </w:r>
      <w:r w:rsidR="00752FAC" w:rsidRPr="00DD7D1C">
        <w:t>(</w:t>
      </w:r>
      <w:r w:rsidR="008F004B">
        <w:t xml:space="preserve">C, crop; M, </w:t>
      </w:r>
      <w:proofErr w:type="spellStart"/>
      <w:r w:rsidR="008F004B">
        <w:t>midgut</w:t>
      </w:r>
      <w:proofErr w:type="spellEnd"/>
      <w:r w:rsidR="008F004B">
        <w:t xml:space="preserve">; P1–P5, </w:t>
      </w:r>
      <w:r w:rsidR="00752FAC">
        <w:t xml:space="preserve">proctodeal </w:t>
      </w:r>
      <w:r w:rsidR="008F004B">
        <w:t xml:space="preserve">compartments </w:t>
      </w:r>
      <w:r w:rsidR="00752FAC" w:rsidRPr="00DD7D1C">
        <w:t>1</w:t>
      </w:r>
      <w:r w:rsidR="008F004B">
        <w:t>–</w:t>
      </w:r>
      <w:r w:rsidR="00752FAC">
        <w:t>5</w:t>
      </w:r>
      <w:r w:rsidR="00752FAC" w:rsidRPr="00DD7D1C">
        <w:t>)</w:t>
      </w:r>
      <w:r>
        <w:t>.</w:t>
      </w:r>
      <w:r w:rsidRPr="00177DA8">
        <w:t xml:space="preserve"> </w:t>
      </w:r>
      <w:r w:rsidRPr="00DD7D1C">
        <w:t xml:space="preserve">Gut sections </w:t>
      </w:r>
      <w:r>
        <w:t xml:space="preserve">were </w:t>
      </w:r>
      <w:r w:rsidR="008A3E9A" w:rsidRPr="00DD7D1C">
        <w:t xml:space="preserve">pooled in </w:t>
      </w:r>
      <w:r w:rsidR="00057879">
        <w:t xml:space="preserve">2-ml polypropylene </w:t>
      </w:r>
      <w:r w:rsidR="008A3E9A" w:rsidRPr="00DD7D1C">
        <w:t>tubes containing 100 µL phosphate</w:t>
      </w:r>
      <w:r w:rsidR="001D1F51">
        <w:t>-</w:t>
      </w:r>
      <w:r w:rsidR="008A3E9A" w:rsidRPr="00DD7D1C">
        <w:t xml:space="preserve">buffered saline (pH 7.2) and stored at </w:t>
      </w:r>
      <w:r w:rsidR="001D1F51">
        <w:t>–</w:t>
      </w:r>
      <w:r w:rsidR="008A3E9A" w:rsidRPr="00DD7D1C">
        <w:t>20</w:t>
      </w:r>
      <w:r w:rsidR="001D1F51">
        <w:t xml:space="preserve"> </w:t>
      </w:r>
      <w:r w:rsidR="008A3E9A" w:rsidRPr="00DD7D1C">
        <w:t>°C until extraction</w:t>
      </w:r>
      <w:r w:rsidR="008A3E9A">
        <w:t xml:space="preserve"> </w:t>
      </w:r>
      <w:r w:rsidR="00A34F60">
        <w:fldChar w:fldCharType="begin" w:fldLock="1"/>
      </w:r>
      <w:r w:rsidR="00A34F60">
        <w:instrText>ADDIN CSL_CITATION { "citationItems" : [ { "id" : "ITEM-1", "itemData" : { "abstract" : "Higher termites are characterized by a purely prokaryotic gut microbiota and an increased compartmentation of their intestinal tract. In soil-feeding species, each gut compartment has different physicochemical conditions and is colonized by a specific microbial community. Although considerable information has accumulated also for wood-feeding species of the genus Nasutitermes, including cellulase activities and metagenomic data, a comprehensive study linking physicochemical gut conditions with the structure of the microbial communities in the different gut compartments is lacking. In this study, we measured high-resolution profiles of H(2), O(2), pH, and redox potential in the gut of Nasutitermes corniger termites, determined the fermentation products accumulating in the individual gut compartments, and analyzed the bacterial communities in detail by pyrotag sequencing of the V3-V4 region of the 16S rRNA genes. The dilated hindgut paunch (P3 compartment) was the only anoxic gut region, showed the highest density of bacteria, and accumulated H(2) to high partial pressures (up to 12 kPa). Molecular hydrogen is apparently produced by a dense community of Spirochaetes and Fibrobacteres, which also dominate the gut of other Nasutitermes species. All other compartments, such as the alkaline P1 compartment (average pH, 10.0), showed high redox potentials and comprised small but distinct populations characteristic for each gut region. In the crop and the posterior hindgut compartments, the community was even more diverse than in the paunch. Similarities in the communities of the posterior hindgut and crop suggested that proctodeal trophallaxis or coprophagy also occurs in higher termites. The large sampling depths of pyrotag sequencing in combination with the determination of important physicochemical parameters allow cautious conclusions concerning the functions of particular bacterial lineages in the respective gut sections to be drawn.", "author" : [ { "dropping-particle" : "", "family" : "K\u00f6hler", "given" : "Tim", "non-dropping-particle" : "", "parse-names" : false, "suffix" : "" }, { "dropping-particle" : "", "family" : "Dietrich", "given" : "Carsten", "non-dropping-particle" : "", "parse-names" : false, "suffix" : "" }, { "dropping-particle" : "", "family" : "Scheffrahn", "given" : "Rudolf H.", "non-dropping-particle" : "", "parse-names" : false, "suffix" : "" }, { "dropping-particle" : "", "family" : "Brune", "given" : "Andreas", "non-dropping-particle" : "", "parse-names" : false, "suffix" : "" } ], "container-title" : "Applied and Environmental Microbiology", "id" : "ITEM-1", "issue" : "13", "issued" : { "date-parts" : [ [ "2012" ] ] }, "page" : "4691-4701", "title" : "High-resolution analysis of gut environment and bacterial microbiota reveals functional compartmentation of the gut in wood-feeding higher termites (Nasutitermes spp.)", "type" : "article-journal", "volume" : "78" }, "uris" : [ "http://www.mendeley.com/documents/?uuid=3c504204-b46e-4e0a-917b-c5815c66e21a" ] } ], "mendeley" : { "formattedCitation" : "[2]", "plainTextFormattedCitation" : "[2]", "previouslyFormattedCitation" : "[2]" }, "properties" : { "noteIndex" : 0 }, "schema" : "https://github.com/citation-style-language/schema/raw/master/csl-citation.json" }</w:instrText>
      </w:r>
      <w:r w:rsidR="00A34F60">
        <w:fldChar w:fldCharType="separate"/>
      </w:r>
      <w:r w:rsidR="00A34F60" w:rsidRPr="00A34F60">
        <w:rPr>
          <w:noProof/>
        </w:rPr>
        <w:t>[2]</w:t>
      </w:r>
      <w:r w:rsidR="00A34F60">
        <w:fldChar w:fldCharType="end"/>
      </w:r>
      <w:r w:rsidR="008A3E9A" w:rsidRPr="00DD7D1C">
        <w:t xml:space="preserve">. </w:t>
      </w:r>
      <w:r w:rsidR="00057879">
        <w:t xml:space="preserve">DNA </w:t>
      </w:r>
      <w:r w:rsidR="008A3E9A" w:rsidRPr="00DD7D1C">
        <w:t xml:space="preserve">was extracted using the </w:t>
      </w:r>
      <w:proofErr w:type="spellStart"/>
      <w:r w:rsidR="008A3E9A" w:rsidRPr="00DD7D1C">
        <w:t>NucleoSpin</w:t>
      </w:r>
      <w:proofErr w:type="spellEnd"/>
      <w:r w:rsidR="008A3E9A" w:rsidRPr="00DD7D1C">
        <w:t xml:space="preserve"> Soil kit with SL2 lysis buffer and SX buffer (</w:t>
      </w:r>
      <w:proofErr w:type="spellStart"/>
      <w:r w:rsidR="008A3E9A" w:rsidRPr="00DD7D1C">
        <w:t>M</w:t>
      </w:r>
      <w:r w:rsidR="00057879">
        <w:t>acherey</w:t>
      </w:r>
      <w:proofErr w:type="spellEnd"/>
      <w:r w:rsidR="00057879">
        <w:t>-</w:t>
      </w:r>
      <w:r w:rsidR="008A3E9A" w:rsidRPr="00DD7D1C">
        <w:t>N</w:t>
      </w:r>
      <w:r w:rsidR="00057879">
        <w:t>agel</w:t>
      </w:r>
      <w:r w:rsidR="008A3E9A" w:rsidRPr="00DD7D1C">
        <w:t xml:space="preserve">). DNA was quantified with Quant-IT dsDNA Assay on a Qubit </w:t>
      </w:r>
      <w:proofErr w:type="spellStart"/>
      <w:r w:rsidR="008A3E9A" w:rsidRPr="00DD7D1C">
        <w:t>flu</w:t>
      </w:r>
      <w:r w:rsidR="008A3E9A">
        <w:t>o</w:t>
      </w:r>
      <w:r w:rsidR="008A3E9A" w:rsidRPr="00DD7D1C">
        <w:t>rometer</w:t>
      </w:r>
      <w:proofErr w:type="spellEnd"/>
      <w:r w:rsidR="008A3E9A" w:rsidRPr="00DD7D1C">
        <w:t xml:space="preserve"> (Life Technologies)</w:t>
      </w:r>
      <w:r w:rsidR="00057879">
        <w:t>,</w:t>
      </w:r>
      <w:r w:rsidR="008A3E9A" w:rsidRPr="00DD7D1C">
        <w:t xml:space="preserve"> and purity was checked </w:t>
      </w:r>
      <w:r w:rsidR="00057879">
        <w:t xml:space="preserve">with </w:t>
      </w:r>
      <w:r w:rsidR="008A3E9A" w:rsidRPr="00DD7D1C">
        <w:t xml:space="preserve">a </w:t>
      </w:r>
      <w:proofErr w:type="spellStart"/>
      <w:r w:rsidR="008A3E9A" w:rsidRPr="00DD7D1C">
        <w:t>Nanodrop</w:t>
      </w:r>
      <w:proofErr w:type="spellEnd"/>
      <w:r w:rsidR="008A3E9A" w:rsidRPr="00DD7D1C">
        <w:t xml:space="preserve"> 1000 spectrophotometer (</w:t>
      </w:r>
      <w:proofErr w:type="spellStart"/>
      <w:r w:rsidR="008A3E9A" w:rsidRPr="00DD7D1C">
        <w:t>Peqlab</w:t>
      </w:r>
      <w:proofErr w:type="spellEnd"/>
      <w:r w:rsidR="008A3E9A" w:rsidRPr="00DD7D1C">
        <w:t>).</w:t>
      </w:r>
      <w:r w:rsidR="00DE3EB3">
        <w:t xml:space="preserve"> </w:t>
      </w:r>
    </w:p>
    <w:p w14:paraId="19DD26BE" w14:textId="65F2C48D" w:rsidR="00822BCD" w:rsidRDefault="00822BCD" w:rsidP="00057879">
      <w:pPr>
        <w:pStyle w:val="Heading2"/>
      </w:pPr>
      <w:r w:rsidRPr="009D56A5">
        <w:t xml:space="preserve">Amplicon </w:t>
      </w:r>
      <w:r>
        <w:t>s</w:t>
      </w:r>
      <w:r w:rsidRPr="009D56A5">
        <w:t xml:space="preserve">equencing and </w:t>
      </w:r>
      <w:r>
        <w:t>a</w:t>
      </w:r>
      <w:r w:rsidRPr="009D56A5">
        <w:t>nalysis</w:t>
      </w:r>
    </w:p>
    <w:p w14:paraId="5424183F" w14:textId="0330898D" w:rsidR="00A60846" w:rsidRPr="00DE4ED3" w:rsidRDefault="00DF55AB" w:rsidP="008D773F">
      <w:r w:rsidRPr="0031704B">
        <w:t xml:space="preserve">The bacterial diversity in the different gut compartments was analyzed by Illumina-based analysis </w:t>
      </w:r>
      <w:r w:rsidR="00A34F60">
        <w:fldChar w:fldCharType="begin" w:fldLock="1"/>
      </w:r>
      <w:r w:rsidR="00222892">
        <w:instrText>ADDIN CSL_CITATION { "citationItems" : [ { "id" : "ITEM-1", "itemData" : { "DOI" : "10.1038/ismej.2011.74", "ISBN" : "1751-7362", "ISSN" : "1751-7362", "PMID" : "21677692", "abstract" : "Microbes commonly exist in milieus of varying complexity and diversity. Although cultivation-based techniques have been unable to accurately capture the true diversity within microbial communities, these deficiencies have been overcome by applying molecular approaches that target the universally conserved 16S ribosomal RNA gene. The recent application of 454 pyrosequencing to simultaneously sequence thousands of 16S rDNA sequences (pyrotags) has revolutionized the characterization of complex microbial communities. To date, studies based on 454 pyrotags have dominated the field, but sequencing platforms that generate many more sequence reads at much lower costs have been developed. Here, we use the Illumina sequencing platform to design a strategy for 16S amplicon analysis (iTags), and assess its generality, practicality and potential complications. We fabricated and sequenced paired-end libraries of amplified hyper-variable 16S rDNA fragments from sets of samples that varied in their contents, ranging from a single bacterium to highly complex communities. We adopted an approach that allowed us to evaluate several potential sources of errors, including sequencing artifacts, amplification biases, non-corresponding paired-end reads and mistakes in taxonomic classification. By considering each source of error, we delineate ways to make biologically relevant and robust conclusions from the millions of sequencing reads that can be readily generated by this technology.", "author" : [ { "dropping-particle" : "", "family" : "Degnan", "given" : "Patrick H", "non-dropping-particle" : "", "parse-names" : false, "suffix" : "" }, { "dropping-particle" : "", "family" : "Ochman", "given" : "Howard", "non-dropping-particle" : "", "parse-names" : false, "suffix" : "" } ], "container-title" : "The ISME Journal", "id" : "ITEM-1", "issue" : "1", "issued" : { "date-parts" : [ [ "2012", "1" ] ] }, "page" : "183-194", "title" : "Illumina-based analysis of microbial community diversity", "type" : "article-journal", "volume" : "6" }, "uris" : [ "http://www.mendeley.com/documents/?uuid=722e02e9-9a84-42a9-a269-81fbee0d1002" ] } ], "mendeley" : { "formattedCitation" : "[3]", "plainTextFormattedCitation" : "[3]", "previouslyFormattedCitation" : "[3]" }, "properties" : { "noteIndex" : 0 }, "schema" : "https://github.com/citation-style-language/schema/raw/master/csl-citation.json" }</w:instrText>
      </w:r>
      <w:r w:rsidR="00A34F60">
        <w:fldChar w:fldCharType="separate"/>
      </w:r>
      <w:r w:rsidR="00A34F60" w:rsidRPr="00A34F60">
        <w:rPr>
          <w:noProof/>
        </w:rPr>
        <w:t>[3]</w:t>
      </w:r>
      <w:r w:rsidR="00A34F60">
        <w:fldChar w:fldCharType="end"/>
      </w:r>
      <w:r w:rsidR="00D94070">
        <w:t xml:space="preserve">. Using </w:t>
      </w:r>
      <w:r w:rsidRPr="0031704B">
        <w:t xml:space="preserve">the same DNA preparations as for metagenomic </w:t>
      </w:r>
      <w:r w:rsidR="00D94070">
        <w:t xml:space="preserve">analysis, the V4 region </w:t>
      </w:r>
      <w:r w:rsidR="00D94070" w:rsidRPr="0031704B">
        <w:t xml:space="preserve">of the 16S rRNA genes was amplified </w:t>
      </w:r>
      <w:r w:rsidR="00D94070">
        <w:t xml:space="preserve">with </w:t>
      </w:r>
      <w:r w:rsidR="00822BCD" w:rsidRPr="0031704B">
        <w:t>the forward primer 515F (5’-GTGCCAGCMGCCGCGGTAA-3’) and the reverse primer 806R (5’-GGACTACHVGGGTWTCTAAT-3’) as described in</w:t>
      </w:r>
      <w:r w:rsidR="00A34F60">
        <w:t xml:space="preserve"> </w:t>
      </w:r>
      <w:r w:rsidR="00A34F60">
        <w:fldChar w:fldCharType="begin" w:fldLock="1"/>
      </w:r>
      <w:r w:rsidR="00222892">
        <w:instrText>ADDIN CSL_CITATION { "citationItems" : [ { "id" : "ITEM-1", "itemData" : { "DOI" : "10.1073/pnas.1000080107", "ISBN" : "0027-8424", "ISSN" : "0027-8424", "PMID" : "20534432", "abstract" : "The ongoing revolution in high-throughput sequencing continues to democratize the ability of small groups of investigators to map the microbial component of the biosphere. In particular, the coevolution of new sequencing platforms and new software tools allows data acquisition and analysis on an unprecedented scale. Here we report the next stage in this coevolutionary arms race, using the Illumina GAIIx platform to sequence a diverse array of 25 environmental samples and three known \"mock communities\" at a depth averaging 3.1 million reads per sample. We demonstrate excellent consistency in taxonomic recovery and recapture diversity patterns that were previously reported on the basis of metaanalysis of many studies from the literature (notably, the saline/nonsaline split in environmental samples and the split between host-associated and free-living communities). We also demonstrate that 2,000 Illumina single-end reads are sufficient to recapture the same relationships among samples that we observe with the full dataset. The results thus open up the possibility of conducting large-scale studies analyzing thousands of samples simultaneously to survey microbial communities at an unprecedented spatial and temporal resolution.", "author" : [ { "dropping-particle" : "", "family" : "Caporaso", "given" : "J Gregory", "non-dropping-particle" : "", "parse-names" : false, "suffix" : "" }, { "dropping-particle" : "", "family" : "Lauber", "given" : "Christian L", "non-dropping-particle" : "", "parse-names" : false, "suffix" : "" }, { "dropping-particle" : "", "family" : "Walters", "given" : "William A", "non-dropping-particle" : "", "parse-names" : false, "suffix" : "" }, { "dropping-particle" : "", "family" : "Berg-Lyons", "given" : "Donna", "non-dropping-particle" : "", "parse-names" : false, "suffix" : "" }, { "dropping-particle" : "", "family" : "Lozupone", "given" : "Catherine A", "non-dropping-particle" : "", "parse-names" : false, "suffix" : "" }, { "dropping-particle" : "", "family" : "Turnbaugh", "given" : "Peter J", "non-dropping-particle" : "", "parse-names" : false, "suffix" : "" }, { "dropping-particle" : "", "family" : "Fierer", "given" : "Noah", "non-dropping-particle" : "", "parse-names" : false, "suffix" : "" }, { "dropping-particle" : "", "family" : "Knight", "given" : "Rob", "non-dropping-particle" : "", "parse-names" : false, "suffix" : "" } ], "container-title" : "Proceedings of the National Academy of Sciences", "id" : "ITEM-1", "issued" : { "date-parts" : [ [ "2011", "3", "15" ] ] }, "page" : "4516-4522", "title" : "Global patterns of 16S rRNA diversity at a depth of millions of sequences per sample", "type" : "article-journal", "volume" : "108" }, "uris" : [ "http://www.mendeley.com/documents/?uuid=8268a7da-0a69-4ef0-aaa8-e75b2b1f7855" ] } ], "mendeley" : { "formattedCitation" : "[4]", "plainTextFormattedCitation" : "[4]", "previouslyFormattedCitation" : "[4]" }, "properties" : { "noteIndex" : 0 }, "schema" : "https://github.com/citation-style-language/schema/raw/master/csl-citation.json" }</w:instrText>
      </w:r>
      <w:r w:rsidR="00A34F60">
        <w:fldChar w:fldCharType="separate"/>
      </w:r>
      <w:r w:rsidR="00A34F60" w:rsidRPr="00A34F60">
        <w:rPr>
          <w:noProof/>
        </w:rPr>
        <w:t>[4]</w:t>
      </w:r>
      <w:r w:rsidR="00A34F60">
        <w:fldChar w:fldCharType="end"/>
      </w:r>
      <w:r w:rsidR="00822BCD" w:rsidRPr="0031704B">
        <w:t>.</w:t>
      </w:r>
      <w:r w:rsidR="006F2542" w:rsidRPr="0031704B">
        <w:t xml:space="preserve"> </w:t>
      </w:r>
      <w:r w:rsidRPr="0031704B">
        <w:t>Amplicon</w:t>
      </w:r>
      <w:r w:rsidR="001A3D44">
        <w:t xml:space="preserve"> </w:t>
      </w:r>
      <w:r w:rsidRPr="0031704B">
        <w:t>s</w:t>
      </w:r>
      <w:r w:rsidR="006F2542" w:rsidRPr="0031704B">
        <w:t>equenc</w:t>
      </w:r>
      <w:r w:rsidR="001A3D44">
        <w:t>ing</w:t>
      </w:r>
      <w:r w:rsidRPr="0031704B">
        <w:t xml:space="preserve"> </w:t>
      </w:r>
      <w:r w:rsidR="001A3D44">
        <w:t xml:space="preserve">on </w:t>
      </w:r>
      <w:r w:rsidR="006F2542" w:rsidRPr="0031704B">
        <w:t xml:space="preserve">an Illumina </w:t>
      </w:r>
      <w:proofErr w:type="spellStart"/>
      <w:r w:rsidR="006F2542" w:rsidRPr="0031704B">
        <w:t>MiSeq</w:t>
      </w:r>
      <w:proofErr w:type="spellEnd"/>
      <w:r w:rsidR="006F2542" w:rsidRPr="0031704B">
        <w:t xml:space="preserve"> </w:t>
      </w:r>
      <w:r w:rsidR="00455E7A" w:rsidRPr="0031704B">
        <w:t xml:space="preserve">platform </w:t>
      </w:r>
      <w:r w:rsidR="006F2542" w:rsidRPr="0031704B">
        <w:t xml:space="preserve">yielded </w:t>
      </w:r>
      <w:r w:rsidR="00964E78" w:rsidRPr="0031704B">
        <w:t xml:space="preserve">between </w:t>
      </w:r>
      <w:r w:rsidR="006F2542" w:rsidRPr="0031704B">
        <w:t>44,000</w:t>
      </w:r>
      <w:r w:rsidR="00964E78" w:rsidRPr="0031704B">
        <w:t xml:space="preserve"> and</w:t>
      </w:r>
      <w:r w:rsidR="001A3D44">
        <w:t xml:space="preserve"> </w:t>
      </w:r>
      <w:r w:rsidR="006F2542" w:rsidRPr="0031704B">
        <w:t xml:space="preserve">138,000 </w:t>
      </w:r>
      <w:r w:rsidR="00964E78" w:rsidRPr="0031704B">
        <w:t xml:space="preserve">quality-filtered and trimmed </w:t>
      </w:r>
      <w:r w:rsidR="006F2542" w:rsidRPr="0031704B">
        <w:t>sequences (</w:t>
      </w:r>
      <w:proofErr w:type="spellStart"/>
      <w:r w:rsidR="006F2542" w:rsidRPr="0031704B">
        <w:t>iT</w:t>
      </w:r>
      <w:r w:rsidR="00964E78" w:rsidRPr="0031704B">
        <w:t>ags</w:t>
      </w:r>
      <w:proofErr w:type="spellEnd"/>
      <w:r w:rsidR="00964E78" w:rsidRPr="0031704B">
        <w:t>)</w:t>
      </w:r>
      <w:r w:rsidR="00455E7A" w:rsidRPr="0031704B">
        <w:t xml:space="preserve"> per sample</w:t>
      </w:r>
      <w:r w:rsidR="00364780" w:rsidRPr="0031704B">
        <w:t xml:space="preserve"> (SRA acc. nos. in Table 1</w:t>
      </w:r>
      <w:r w:rsidR="00A34F60">
        <w:t xml:space="preserve"> in the corresponding article</w:t>
      </w:r>
      <w:r w:rsidR="00364780" w:rsidRPr="0031704B">
        <w:t>)</w:t>
      </w:r>
      <w:r w:rsidR="00455E7A" w:rsidRPr="0031704B">
        <w:t xml:space="preserve">. </w:t>
      </w:r>
      <w:r w:rsidR="00B053F2" w:rsidRPr="00364780">
        <w:t xml:space="preserve">Sequences were then </w:t>
      </w:r>
      <w:proofErr w:type="spellStart"/>
      <w:r w:rsidR="00B053F2" w:rsidRPr="00364780">
        <w:t>dereplicated</w:t>
      </w:r>
      <w:proofErr w:type="spellEnd"/>
      <w:r w:rsidR="00B053F2" w:rsidRPr="00364780">
        <w:t xml:space="preserve"> and aligned using the</w:t>
      </w:r>
      <w:r w:rsidR="00A34F60">
        <w:t xml:space="preserve"> aligner implemented in the</w:t>
      </w:r>
      <w:r w:rsidR="00B053F2" w:rsidRPr="00364780">
        <w:t xml:space="preserve"> </w:t>
      </w:r>
      <w:proofErr w:type="spellStart"/>
      <w:r w:rsidR="00B053F2" w:rsidRPr="00364780">
        <w:rPr>
          <w:i/>
        </w:rPr>
        <w:t>mothur</w:t>
      </w:r>
      <w:proofErr w:type="spellEnd"/>
      <w:r w:rsidR="00B053F2" w:rsidRPr="00364780">
        <w:t xml:space="preserve"> </w:t>
      </w:r>
      <w:r w:rsidR="00A34F60">
        <w:t>software</w:t>
      </w:r>
      <w:r w:rsidR="00221EB2">
        <w:t xml:space="preserve"> v1.33</w:t>
      </w:r>
      <w:r w:rsidR="00A34F60">
        <w:t xml:space="preserve"> </w:t>
      </w:r>
      <w:r w:rsidR="00DE4ED3">
        <w:fldChar w:fldCharType="begin" w:fldLock="1"/>
      </w:r>
      <w:r w:rsidR="00DE4ED3">
        <w:instrText>ADDIN CSL_CITATION { "citationItems" : [ { "id" : "ITEM-1", "itemData" : { "DOI" : "10.1128/AEM.01541-09", "ISBN" : "1098-5336 (Electronic)\\n0099-2240 (Linking)", "ISSN" : "00992240", "PMID" : "19801464", "abstract" : "mothur aims to be a comprehensive software package that allows users to use a single piece of software to analyze community sequence data. It builds upon previous tools to provide a flexible and powerful software package for analyzing sequencing data. As a case study, we used mothur to trim, screen, and align sequences; calculate distances; assign sequences to operational taxonomic units; and describe the alpha and beta diversity of eight marine samples previously characterized by pyrosequencing of 16S rRNA gene fragments. This analysis of more than 222,000 sequences was completed in less than 2 h with a laptop computer.", "author" : [ { "dropping-particle" : "", "family" : "Schloss", "given" : "Patrick D.", "non-dropping-particle" : "", "parse-names" : false, "suffix" : "" }, { "dropping-particle" : "", "family" : "Westcott", "given" : "Sarah L.", "non-dropping-particle" : "", "parse-names" : false, "suffix" : "" }, { "dropping-particle" : "", "family" : "Ryabin", "given" : "Thomas", "non-dropping-particle" : "", "parse-names" : false, "suffix" : "" }, { "dropping-particle" : "", "family" : "Hall", "given" : "Justine R.", "non-dropping-particle" : "", "parse-names" : false, "suffix" : "" }, { "dropping-particle" : "", "family" : "Hartmann", "given" : "Martin", "non-dropping-particle" : "", "parse-names" : false, "suffix" : "" }, { "dropping-particle" : "", "family" : "Hollister", "given" : "Emily B.", "non-dropping-particle" : "", "parse-names" : false, "suffix" : "" }, { "dropping-particle" : "", "family" : "Lesniewski", "given" : "Ryan A.", "non-dropping-particle" : "", "parse-names" : false, "suffix" : "" }, { "dropping-particle" : "", "family" : "Oakley", "given" : "Brian B.", "non-dropping-particle" : "", "parse-names" : false, "suffix" : "" }, { "dropping-particle" : "", "family" : "Parks", "given" : "Donovan H.", "non-dropping-particle" : "", "parse-names" : false, "suffix" : "" }, { "dropping-particle" : "", "family" : "Robinson", "given" : "Courtney J.", "non-dropping-particle" : "", "parse-names" : false, "suffix" : "" }, { "dropping-particle" : "", "family" : "Sahl", "given" : "Jason W.", "non-dropping-particle" : "", "parse-names" : false, "suffix" : "" }, { "dropping-particle" : "", "family" : "Stres", "given" : "Blaz", "non-dropping-particle" : "", "parse-names" : false, "suffix" : "" }, { "dropping-particle" : "", "family" : "Thallinger", "given" : "Gerhard G.", "non-dropping-particle" : "", "parse-names" : false, "suffix" : "" }, { "dropping-particle" : "", "family" : "Horn", "given" : "David J.", "non-dropping-particle" : "Van", "parse-names" : false, "suffix" : "" }, { "dropping-particle" : "", "family" : "Weber", "given" : "Carolyn F.", "non-dropping-particle" : "", "parse-names" : false, "suffix" : "" } ], "container-title" : "Applied and Environmental Microbiology", "id" : "ITEM-1", "issue" : "23", "issued" : { "date-parts" : [ [ "2009" ] ] }, "page" : "7537-7541", "title" : "Introducing mothur: Open-source, platform-independent, community-supported software for describing and comparing microbial communities", "type" : "article-journal", "volume" : "75" }, "uris" : [ "http://www.mendeley.com/documents/?uuid=40672f78-c3de-4dba-a069-e996b55c5eee" ] } ], "mendeley" : { "formattedCitation" : "[5]", "plainTextFormattedCitation" : "[5]", "previouslyFormattedCitation" : "[5]" }, "properties" : { "noteIndex" : 0 }, "schema" : "https://github.com/citation-style-language/schema/raw/master/csl-citation.json" }</w:instrText>
      </w:r>
      <w:r w:rsidR="00DE4ED3">
        <w:fldChar w:fldCharType="separate"/>
      </w:r>
      <w:r w:rsidR="00DE4ED3" w:rsidRPr="00DE4ED3">
        <w:rPr>
          <w:noProof/>
        </w:rPr>
        <w:t>[5]</w:t>
      </w:r>
      <w:r w:rsidR="00DE4ED3">
        <w:fldChar w:fldCharType="end"/>
      </w:r>
      <w:r w:rsidR="00B053F2" w:rsidRPr="00364780">
        <w:t xml:space="preserve">. Aligned sequences were assigned to taxonomic groups using the </w:t>
      </w:r>
      <w:r w:rsidR="00B053F2" w:rsidRPr="00364780">
        <w:rPr>
          <w:rStyle w:val="Emphasis"/>
        </w:rPr>
        <w:t>naïve Bayesian</w:t>
      </w:r>
      <w:r w:rsidR="00B053F2" w:rsidRPr="00364780">
        <w:t xml:space="preserve"> classifier implemented in </w:t>
      </w:r>
      <w:proofErr w:type="spellStart"/>
      <w:r w:rsidR="00A34F60">
        <w:rPr>
          <w:i/>
        </w:rPr>
        <w:t>moth</w:t>
      </w:r>
      <w:r w:rsidR="00DE4ED3">
        <w:rPr>
          <w:i/>
        </w:rPr>
        <w:t>u</w:t>
      </w:r>
      <w:r w:rsidR="00A34F60">
        <w:rPr>
          <w:i/>
        </w:rPr>
        <w:t>r</w:t>
      </w:r>
      <w:proofErr w:type="spellEnd"/>
      <w:r w:rsidR="00A34F60">
        <w:rPr>
          <w:i/>
        </w:rPr>
        <w:t xml:space="preserve"> </w:t>
      </w:r>
      <w:r w:rsidR="00B053F2" w:rsidRPr="00364780">
        <w:t xml:space="preserve">at a confidence threshold of 80% in combination with a manually curated reference database </w:t>
      </w:r>
      <w:proofErr w:type="spellStart"/>
      <w:r w:rsidR="00B053F2" w:rsidRPr="00364780">
        <w:rPr>
          <w:rStyle w:val="smallcaps"/>
        </w:rPr>
        <w:t>DictDb</w:t>
      </w:r>
      <w:proofErr w:type="spellEnd"/>
      <w:r w:rsidR="00B053F2" w:rsidRPr="00364780">
        <w:rPr>
          <w:rStyle w:val="smallcaps"/>
        </w:rPr>
        <w:t xml:space="preserve"> </w:t>
      </w:r>
      <w:r w:rsidR="00B053F2" w:rsidRPr="00364780">
        <w:rPr>
          <w:rStyle w:val="Emphasis"/>
        </w:rPr>
        <w:t>v.3.5</w:t>
      </w:r>
      <w:r w:rsidR="00B053F2" w:rsidRPr="00364780">
        <w:t xml:space="preserve"> of bacterial lineages specific to termite guts </w:t>
      </w:r>
      <w:r w:rsidR="00DE4ED3">
        <w:fldChar w:fldCharType="begin" w:fldLock="1"/>
      </w:r>
      <w:r w:rsidR="00221EB2">
        <w:instrText>ADDIN CSL_CITATION { "citationItems" : [ { "id" : "ITEM-1", "itemData" : { "author" : [ { "dropping-particle" : "", "family" : "Mikaelyan", "given" : "Aram", "non-dropping-particle" : "", "parse-names" : false, "suffix" : "" }, { "dropping-particle" : "", "family" : "K\u00f6hler", "given" : "Tim", "non-dropping-particle" : "", "parse-names" : false, "suffix" : "" }, { "dropping-particle" : "", "family" : "Lampert", "given" : "Niclas", "non-dropping-particle" : "", "parse-names" : false, "suffix" : "" }, { "dropping-particle" : "", "family" : "Rohland", "given" : "Jeffrey", "non-dropping-particle" : "", "parse-names" : false, "suffix" : "" }, { "dropping-particle" : "", "family" : "Boga", "given" : "Hamadi", "non-dropping-particle" : "", "parse-names" : false, "suffix" : "" }, { "dropping-particle" : "", "family" : "Meuser", "given" : "Katja", "non-dropping-particle" : "", "parse-names" : false, "suffix" : "" }, { "dropping-particle" : "", "family" : "Brune", "given" : "Andreas", "non-dropping-particle" : "", "parse-names" : false, "suffix" : "" } ], "container-title" : "Systematic and Applied Microbiology", "id" : "ITEM-1", "issued" : { "date-parts" : [ [ "0" ] ] }, "title" : "Classifying the bacterial gut microbiota of termites and cockroaches: a curated phylogenetic reference database (DictDb)", "type" : "article-journal" }, "uris" : [ "http://www.mendeley.com/documents/?uuid=e10e1cad-71a3-4927-9597-806b5b4f851e" ] } ], "mendeley" : { "formattedCitation" : "[6]", "plainTextFormattedCitation" : "[6]", "previouslyFormattedCitation" : "[6]" }, "properties" : { "noteIndex" : 0 }, "schema" : "https://github.com/citation-style-language/schema/raw/master/csl-citation.json" }</w:instrText>
      </w:r>
      <w:r w:rsidR="00DE4ED3">
        <w:fldChar w:fldCharType="separate"/>
      </w:r>
      <w:r w:rsidR="00DE4ED3" w:rsidRPr="00DE4ED3">
        <w:rPr>
          <w:noProof/>
        </w:rPr>
        <w:t>[6]</w:t>
      </w:r>
      <w:r w:rsidR="00DE4ED3">
        <w:fldChar w:fldCharType="end"/>
      </w:r>
      <w:r w:rsidR="0053655C">
        <w:t>.</w:t>
      </w:r>
    </w:p>
    <w:p w14:paraId="07C2FED5" w14:textId="77777777" w:rsidR="00D94070" w:rsidRDefault="00D94070" w:rsidP="00D94070">
      <w:pPr>
        <w:pStyle w:val="Heading2"/>
      </w:pPr>
      <w:r w:rsidRPr="00057879">
        <w:lastRenderedPageBreak/>
        <w:t>Metagenomic</w:t>
      </w:r>
      <w:r>
        <w:t xml:space="preserve"> sequencing and analysis</w:t>
      </w:r>
    </w:p>
    <w:p w14:paraId="5EB6F1F7" w14:textId="77777777" w:rsidR="00D94070" w:rsidRPr="004868F5" w:rsidRDefault="00D94070" w:rsidP="00D94070">
      <w:r w:rsidRPr="004868F5">
        <w:t>100</w:t>
      </w:r>
      <w:r>
        <w:t xml:space="preserve"> </w:t>
      </w:r>
      <w:r w:rsidRPr="004868F5">
        <w:t>ng of DNA was sheared to 270</w:t>
      </w:r>
      <w:r>
        <w:t>-</w:t>
      </w:r>
      <w:r w:rsidRPr="004868F5">
        <w:t xml:space="preserve">bp </w:t>
      </w:r>
      <w:r>
        <w:t xml:space="preserve">fragments </w:t>
      </w:r>
      <w:r w:rsidRPr="004868F5">
        <w:t xml:space="preserve">using </w:t>
      </w:r>
      <w:r>
        <w:t xml:space="preserve">an </w:t>
      </w:r>
      <w:r w:rsidRPr="004868F5">
        <w:t xml:space="preserve">E210 </w:t>
      </w:r>
      <w:proofErr w:type="spellStart"/>
      <w:r>
        <w:t>ultrasonicator</w:t>
      </w:r>
      <w:proofErr w:type="spellEnd"/>
      <w:r>
        <w:t xml:space="preserve"> </w:t>
      </w:r>
      <w:r w:rsidRPr="004868F5">
        <w:t>(</w:t>
      </w:r>
      <w:proofErr w:type="spellStart"/>
      <w:r w:rsidRPr="004868F5">
        <w:t>Covaris</w:t>
      </w:r>
      <w:proofErr w:type="spellEnd"/>
      <w:r w:rsidRPr="004868F5">
        <w:t>) and size</w:t>
      </w:r>
      <w:r>
        <w:t>-</w:t>
      </w:r>
      <w:r w:rsidRPr="004868F5">
        <w:t xml:space="preserve">selected using SPRI </w:t>
      </w:r>
      <w:r>
        <w:t xml:space="preserve">magnetic </w:t>
      </w:r>
      <w:r w:rsidRPr="004868F5">
        <w:t>beads (Beckman Coulter). The fragments w</w:t>
      </w:r>
      <w:r>
        <w:t>ere treated with end-repair, A-</w:t>
      </w:r>
      <w:r w:rsidRPr="004868F5">
        <w:t>ta</w:t>
      </w:r>
      <w:r>
        <w:t>iling, and ligation of Illumina-</w:t>
      </w:r>
      <w:r w:rsidRPr="004868F5">
        <w:t xml:space="preserve">compatible adapters (IDT, </w:t>
      </w:r>
      <w:proofErr w:type="spellStart"/>
      <w:r w:rsidRPr="004868F5">
        <w:t>Inc</w:t>
      </w:r>
      <w:proofErr w:type="spellEnd"/>
      <w:r w:rsidRPr="004868F5">
        <w:t xml:space="preserve">) using the KAPA-Illumina library creation kit (KAPA </w:t>
      </w:r>
      <w:r>
        <w:t>B</w:t>
      </w:r>
      <w:r w:rsidRPr="004868F5">
        <w:t xml:space="preserve">iosystems).  </w:t>
      </w:r>
    </w:p>
    <w:p w14:paraId="2B6D809A" w14:textId="77777777" w:rsidR="00D94070" w:rsidRDefault="00D94070" w:rsidP="00D94070">
      <w:r w:rsidRPr="004868F5">
        <w:t xml:space="preserve">Libraries were quantified using KAPA </w:t>
      </w:r>
      <w:proofErr w:type="spellStart"/>
      <w:r w:rsidRPr="004868F5">
        <w:t>Biosystem’s</w:t>
      </w:r>
      <w:proofErr w:type="spellEnd"/>
      <w:r w:rsidRPr="004868F5">
        <w:t xml:space="preserve"> next-generation sequencing library qPCR kit and run on a Roche </w:t>
      </w:r>
      <w:proofErr w:type="spellStart"/>
      <w:r w:rsidRPr="004868F5">
        <w:t>LightCycler</w:t>
      </w:r>
      <w:proofErr w:type="spellEnd"/>
      <w:r w:rsidRPr="004868F5">
        <w:t xml:space="preserve"> 480 real-time PCR instrument. The quantified libraries were then prepared for sequencing on the Illumina </w:t>
      </w:r>
      <w:proofErr w:type="spellStart"/>
      <w:r w:rsidRPr="004868F5">
        <w:t>HiSeq</w:t>
      </w:r>
      <w:proofErr w:type="spellEnd"/>
      <w:r w:rsidRPr="004868F5">
        <w:t xml:space="preserve"> sequencing platform </w:t>
      </w:r>
      <w:r>
        <w:t>with</w:t>
      </w:r>
      <w:r w:rsidRPr="004868F5">
        <w:t xml:space="preserve"> a </w:t>
      </w:r>
      <w:proofErr w:type="spellStart"/>
      <w:r w:rsidRPr="004868F5">
        <w:t>TruSeq</w:t>
      </w:r>
      <w:proofErr w:type="spellEnd"/>
      <w:r w:rsidRPr="004868F5">
        <w:t xml:space="preserve"> paired-end cluster kit, v3</w:t>
      </w:r>
      <w:r>
        <w:t>-cBot-HS</w:t>
      </w:r>
      <w:r w:rsidRPr="004868F5">
        <w:t xml:space="preserve">, and Illumina’s </w:t>
      </w:r>
      <w:proofErr w:type="spellStart"/>
      <w:r w:rsidRPr="004868F5">
        <w:t>cBot</w:t>
      </w:r>
      <w:proofErr w:type="spellEnd"/>
      <w:r w:rsidRPr="004868F5">
        <w:t xml:space="preserve"> instrument to generate clustered flow</w:t>
      </w:r>
      <w:r>
        <w:t xml:space="preserve"> </w:t>
      </w:r>
      <w:r w:rsidRPr="004868F5">
        <w:t>cells for sequencing. Sequencing of the flow</w:t>
      </w:r>
      <w:r>
        <w:t xml:space="preserve"> </w:t>
      </w:r>
      <w:r w:rsidRPr="004868F5">
        <w:t xml:space="preserve">cells was performed on the Illumina </w:t>
      </w:r>
      <w:proofErr w:type="spellStart"/>
      <w:r w:rsidRPr="004868F5">
        <w:t>HiSeq</w:t>
      </w:r>
      <w:proofErr w:type="spellEnd"/>
      <w:r>
        <w:t xml:space="preserve"> 2000 sequencer using </w:t>
      </w:r>
      <w:proofErr w:type="spellStart"/>
      <w:r w:rsidRPr="004868F5">
        <w:t>TruSeq</w:t>
      </w:r>
      <w:proofErr w:type="spellEnd"/>
      <w:r w:rsidRPr="004868F5">
        <w:t xml:space="preserve"> SBS sequencing kits, v3</w:t>
      </w:r>
      <w:r>
        <w:t>-cBot-HS</w:t>
      </w:r>
      <w:r w:rsidRPr="004868F5">
        <w:t>, following a 2x150 indexed</w:t>
      </w:r>
      <w:r>
        <w:t>-</w:t>
      </w:r>
      <w:r w:rsidRPr="004868F5">
        <w:t>run recipe.</w:t>
      </w:r>
    </w:p>
    <w:p w14:paraId="22EB4EB1" w14:textId="69680505" w:rsidR="00D94070" w:rsidRDefault="00D94070" w:rsidP="00D94070">
      <w:r>
        <w:t xml:space="preserve">Quality-controlled reads were assembled using </w:t>
      </w:r>
      <w:proofErr w:type="spellStart"/>
      <w:r>
        <w:t>SOAPdenovo</w:t>
      </w:r>
      <w:proofErr w:type="spellEnd"/>
      <w:r>
        <w:t xml:space="preserve"> v1.05</w:t>
      </w:r>
      <w:r w:rsidR="00221EB2">
        <w:t xml:space="preserve"> </w:t>
      </w:r>
      <w:r w:rsidR="00221EB2">
        <w:fldChar w:fldCharType="begin" w:fldLock="1"/>
      </w:r>
      <w:r w:rsidR="00B722D8">
        <w:instrText>ADDIN CSL_CITATION { "citationItems" : [ { "id" : "ITEM-1", "itemData" : { "DOI" : "10.1101/gr.097261.109", "ISBN" : "8675525274247", "ISSN" : "10889051", "PMID" : "20019144", "abstract" : "Next-generation massively parallel DNA sequencing technologies provide ultrahigh throughput at a substantially lower unit data cost; however, the data are very short read length sequences, making de novo assembly extremely challenging. Here, we describe a novel method for de novo assembly of large genomes from short read sequences. We successfully assembled both the Asian and African human genome sequences, achieving an N50 contig size of 7.4 and 5.9 kilobases (kb) and scaffold of 446.3 and 61.9 kb, respectively. The development of this de novo short read assembly method creates new opportunities for building reference sequences and carrying out accurate analyses of unexplored genomes in a cost-effective way.", "author" : [ { "dropping-particle" : "", "family" : "Li", "given" : "Ruiqiang", "non-dropping-particle" : "", "parse-names" : false, "suffix" : "" }, { "dropping-particle" : "", "family" : "Zhu", "given" : "Hongmei", "non-dropping-particle" : "", "parse-names" : false, "suffix" : "" }, { "dropping-particle" : "", "family" : "Ruan", "given" : "Jue", "non-dropping-particle" : "", "parse-names" : false, "suffix" : "" }, { "dropping-particle" : "", "family" : "Qian", "given" : "Wubin", "non-dropping-particle" : "", "parse-names" : false, "suffix" : "" }, { "dropping-particle" : "", "family" : "Fang", "given" : "Xiaodong", "non-dropping-particle" : "", "parse-names" : false, "suffix" : "" }, { "dropping-particle" : "", "family" : "Shi", "given" : "Zhongbin", "non-dropping-particle" : "", "parse-names" : false, "suffix" : "" }, { "dropping-particle" : "", "family" : "Li", "given" : "Yingrui", "non-dropping-particle" : "", "parse-names" : false, "suffix" : "" }, { "dropping-particle" : "", "family" : "Li", "given" : "Shengting", "non-dropping-particle" : "", "parse-names" : false, "suffix" : "" }, { "dropping-particle" : "", "family" : "Shan", "given" : "Gao", "non-dropping-particle" : "", "parse-names" : false, "suffix" : "" }, { "dropping-particle" : "", "family" : "Kristiansen", "given" : "Karsten", "non-dropping-particle" : "", "parse-names" : false, "suffix" : "" }, { "dropping-particle" : "", "family" : "Li", "given" : "Songgang", "non-dropping-particle" : "", "parse-names" : false, "suffix" : "" }, { "dropping-particle" : "", "family" : "Yang", "given" : "Huanming", "non-dropping-particle" : "", "parse-names" : false, "suffix" : "" }, { "dropping-particle" : "", "family" : "Wang", "given" : "Jian", "non-dropping-particle" : "", "parse-names" : false, "suffix" : "" }, { "dropping-particle" : "", "family" : "Wang", "given" : "Jun", "non-dropping-particle" : "", "parse-names" : false, "suffix" : "" } ], "container-title" : "Genome Research", "id" : "ITEM-1", "issue" : "2", "issued" : { "date-parts" : [ [ "2010" ] ] }, "page" : "265-272", "title" : "De novo assembly of human genomes with massively parallel short read sequencing", "type" : "article-journal", "volume" : "20" }, "uris" : [ "http://www.mendeley.com/documents/?uuid=f2661643-a0ef-437d-89ff-d8104a00c57e" ] } ], "mendeley" : { "formattedCitation" : "[7]", "plainTextFormattedCitation" : "[7]", "previouslyFormattedCitation" : "[7]" }, "properties" : { "noteIndex" : 0 }, "schema" : "https://github.com/citation-style-language/schema/raw/master/csl-citation.json" }</w:instrText>
      </w:r>
      <w:r w:rsidR="00221EB2">
        <w:fldChar w:fldCharType="separate"/>
      </w:r>
      <w:r w:rsidR="00221EB2" w:rsidRPr="00221EB2">
        <w:rPr>
          <w:noProof/>
        </w:rPr>
        <w:t>[7]</w:t>
      </w:r>
      <w:r w:rsidR="00221EB2">
        <w:fldChar w:fldCharType="end"/>
      </w:r>
      <w:r w:rsidR="00221EB2">
        <w:t xml:space="preserve"> </w:t>
      </w:r>
      <w:r>
        <w:t xml:space="preserve">at a range of six </w:t>
      </w:r>
      <w:proofErr w:type="spellStart"/>
      <w:r>
        <w:t>kmers</w:t>
      </w:r>
      <w:proofErr w:type="spellEnd"/>
      <w:r>
        <w:t xml:space="preserve"> (85, 89, 93, 97, 101, 105) with the default settings. The six </w:t>
      </w:r>
      <w:proofErr w:type="spellStart"/>
      <w:r>
        <w:t>contig</w:t>
      </w:r>
      <w:proofErr w:type="spellEnd"/>
      <w:r>
        <w:t xml:space="preserve"> sets were </w:t>
      </w:r>
      <w:proofErr w:type="spellStart"/>
      <w:r>
        <w:t>dereplicated</w:t>
      </w:r>
      <w:proofErr w:type="spellEnd"/>
      <w:r>
        <w:t xml:space="preserve"> and sorted based on length. Contigs shorter than 1800 bp were assembled into longer </w:t>
      </w:r>
      <w:proofErr w:type="spellStart"/>
      <w:r>
        <w:t>contigs</w:t>
      </w:r>
      <w:proofErr w:type="spellEnd"/>
      <w:r>
        <w:t xml:space="preserve"> using </w:t>
      </w:r>
      <w:proofErr w:type="spellStart"/>
      <w:r>
        <w:t>Newbler</w:t>
      </w:r>
      <w:proofErr w:type="spellEnd"/>
      <w:r>
        <w:t xml:space="preserve"> (Life Technologies, Carlsbad, California, USA).</w:t>
      </w:r>
    </w:p>
    <w:p w14:paraId="1297ACAA" w14:textId="78553D94" w:rsidR="003D1EF5" w:rsidRDefault="00D94070" w:rsidP="0053655C">
      <w:r>
        <w:t xml:space="preserve">Protein-coding genes were identified from predicted open reading frames and assigned to phylogenetic bins using </w:t>
      </w:r>
      <w:proofErr w:type="spellStart"/>
      <w:r>
        <w:t>BLASTp</w:t>
      </w:r>
      <w:proofErr w:type="spellEnd"/>
      <w:r>
        <w:t xml:space="preserve"> (top hit, 30% identity cutoff). Gene functions were predicted also using RP</w:t>
      </w:r>
      <w:r w:rsidR="00B722D8">
        <w:t xml:space="preserve">S-BLAST against the COG database </w:t>
      </w:r>
      <w:r w:rsidR="00B722D8">
        <w:fldChar w:fldCharType="begin" w:fldLock="1"/>
      </w:r>
      <w:r w:rsidR="00B722D8">
        <w:instrText>ADDIN CSL_CITATION { "citationItems" : [ { "id" : "ITEM-1", "itemData" : { "DOI" : "10.1186/1471-2105-4-41", "ISBN" : "1471-2105 (Electronic)\\n1471-2105 (Linking)", "ISSN" : "1471-2105", "PMID" : "12969510", "abstract" : "BACKGROUND: The availability of multiple, essentially complete genome sequences of prokaryotes and eukaryotes spurred both the demand and the opportunity for the construction of an evolutionary classification of genes from these genomes. Such a classification system based on orthologous relationships between genes appears to be a natural framework for comparative genomics and should facilitate both functional annotation of genomes and large-scale evolutionary studies. RESULTS: We describe here a major update of the previously developed system for delineation of Clusters of Orthologous Groups of proteins (COGs) from the sequenced genomes of prokaryotes and unicellular eukaryotes and the construction of clusters of predicted orthologs for 7 eukaryotic genomes, which we named KOGs after eukaryotic orthologous groups. The COG collection currently consists of 138,458 proteins, which form 4873 COGs and comprise 75% of the 185,505 (predicted) proteins encoded in 66 genomes of unicellular organisms. The eukaryotic orthologous groups (KOGs) include proteins from 7 eukaryotic genomes: three animals (the nematode Caenorhabditis elegans, the fruit fly Drosophila melanogaster and Homo sapiens), one plant, Arabidopsis thaliana, two fungi (Saccharomyces cerevisiae and Schizosaccharomyces pombe), and the intracellular microsporidian parasite Encephalitozoon cuniculi. The current KOG set consists of 4852 clusters of orthologs, which include 59,838 proteins, or approximately 54% of the analyzed eukaryotic 110,655 gene products. Compared to the coverage of the prokaryotic genomes with COGs, a considerably smaller fraction of eukaryotic genes could be included into the KOGs; addition of new eukaryotic genomes is expected to result in substantial increase in the coverage of eukaryotic genomes with KOGs. Examination of the phyletic patterns of KOGs reveals a conserved core represented in all analyzed species and consisting of approximately 20% of the KOG set. This conserved portion of the KOG set is much greater than the ubiquitous portion of the COG set (approximately 1% of the COGs). In part, this difference is probably due to the small number of included eukaryotic genomes, but it could also reflect the relative compactness of eukaryotes as a clade and the greater evolutionary stability of eukaryotic genomes. CONCLUSION: The updated collection of orthologous protein sets for prokaryotes and eukaryotes is expected to be a useful platform for functional annotation of newly \u2026", "author" : [ { "dropping-particle" : "", "family" : "Tatusov", "given" : "Roman L", "non-dropping-particle" : "", "parse-names" : false, "suffix" : "" }, { "dropping-particle" : "", "family" : "Fedorova", "given" : "Natalie D", "non-dropping-particle" : "", "parse-names" : false, "suffix" : "" }, { "dropping-particle" : "", "family" : "Jackson", "given" : "John D", "non-dropping-particle" : "", "parse-names" : false, "suffix" : "" }, { "dropping-particle" : "", "family" : "Jacobs", "given" : "Aviva R", "non-dropping-particle" : "", "parse-names" : false, "suffix" : "" }, { "dropping-particle" : "", "family" : "Kiryutin", "given" : "Boris", "non-dropping-particle" : "", "parse-names" : false, "suffix" : "" }, { "dropping-particle" : "V", "family" : "Koonin", "given" : "Eugene", "non-dropping-particle" : "", "parse-names" : false, "suffix" : "" }, { "dropping-particle" : "", "family" : "Krylov", "given" : "Dmitri M", "non-dropping-particle" : "", "parse-names" : false, "suffix" : "" }, { "dropping-particle" : "", "family" : "Mazumder", "given" : "Raja", "non-dropping-particle" : "", "parse-names" : false, "suffix" : "" }, { "dropping-particle" : "", "family" : "Mekhedov", "given" : "Sergei L", "non-dropping-particle" : "", "parse-names" : false, "suffix" : "" }, { "dropping-particle" : "", "family" : "Nikolskaya", "given" : "Anastasia N", "non-dropping-particle" : "", "parse-names" : false, "suffix" : "" }, { "dropping-particle" : "", "family" : "Rao", "given" : "B Sridhar", "non-dropping-particle" : "", "parse-names" : false, "suffix" : "" }, { "dropping-particle" : "", "family" : "Smirnov", "given" : "Sergei", "non-dropping-particle" : "", "parse-names" : false, "suffix" : "" }, { "dropping-particle" : "V", "family" : "Sverdlov", "given" : "Alexander", "non-dropping-particle" : "", "parse-names" : false, "suffix" : "" }, { "dropping-particle" : "", "family" : "Vasudevan", "given" : "Sona", "non-dropping-particle" : "", "parse-names" : false, "suffix" : "" }, { "dropping-particle" : "", "family" : "Wolf", "given" : "Yuri I", "non-dropping-particle" : "", "parse-names" : false, "suffix" : "" }, { "dropping-particle" : "", "family" : "Yin", "given" : "Jodie J", "non-dropping-particle" : "", "parse-names" : false, "suffix" : "" }, { "dropping-particle" : "", "family" : "Natale", "given" : "Darren A", "non-dropping-particle" : "", "parse-names" : false, "suffix" : "" } ], "container-title" : "BMC bioinformatics", "id" : "ITEM-1", "issued" : { "date-parts" : [ [ "2003" ] ] }, "page" : "41", "title" : "The COG database: an updated version includes eukaryotes.", "type" : "article-journal", "volume" : "4" }, "uris" : [ "http://www.mendeley.com/documents/?uuid=9e9f6a01-2bf7-4f87-b893-daaaf3e3cc90" ] } ], "mendeley" : { "formattedCitation" : "[8]", "plainTextFormattedCitation" : "[8]", "previouslyFormattedCitation" : "[8]" }, "properties" : { "noteIndex" : 0 }, "schema" : "https://github.com/citation-style-language/schema/raw/master/csl-citation.json" }</w:instrText>
      </w:r>
      <w:r w:rsidR="00B722D8">
        <w:fldChar w:fldCharType="separate"/>
      </w:r>
      <w:r w:rsidR="00B722D8" w:rsidRPr="00B722D8">
        <w:rPr>
          <w:noProof/>
        </w:rPr>
        <w:t>[8]</w:t>
      </w:r>
      <w:r w:rsidR="00B722D8">
        <w:fldChar w:fldCharType="end"/>
      </w:r>
      <w:r>
        <w:t xml:space="preserve">. If no taxonomic information was available, genes were labeled as “unassigned”. COG annotations </w:t>
      </w:r>
      <w:r w:rsidR="00081970">
        <w:t>of ORFs identified to be prokaryotic were</w:t>
      </w:r>
      <w:r>
        <w:t xml:space="preserve"> assigned to functional categories, and their relative abundances in each metagenome were visualized using non-metric multidimensional scaling (NMDS) implemented in PAST v.3</w:t>
      </w:r>
      <w:r w:rsidR="00B722D8">
        <w:t xml:space="preserve">.0 </w:t>
      </w:r>
      <w:r w:rsidR="00B722D8">
        <w:fldChar w:fldCharType="begin" w:fldLock="1"/>
      </w:r>
      <w:r w:rsidR="00B722D8">
        <w:instrText>ADDIN CSL_CITATION { "citationItems" : [ { "id" : "ITEM-1", "itemData" : { "ISBN" : "9781597180948", "abstract" : "A comprehensive, but simple-to-use software package for executing a range of standard numerical analysis and operations used in quantitative paleontology has been developed. The program, called PAST (PAleontological STatistics), runs on standard Windows computers and is available free of charge. PAST integrates spreadsheet- type data entry with univariate and multivariate statistics, curve fitting, timeseries analysis, data plotting, and simple phylogenetic analysis. Many of the functions are specific to paleontology and ecology, and these functions are not found in standard, more extensive, statistical packages. PAST also includes fourteen case studies (data files and exercises) illustrating use of the program for paleontological problems, making it a complete educational package for courses in quantitative methods.", "author" : [ { "dropping-particle" : "", "family" : "Hammer", "given" : "\u00d8yvind", "non-dropping-particle" : "", "parse-names" : false, "suffix" : "" }, { "dropping-particle" : "", "family" : "Harper", "given" : "D A T", "non-dropping-particle" : "", "parse-names" : false, "suffix" : "" }, { "dropping-particle" : "", "family" : "Ryan", "given" : "P D", "non-dropping-particle" : "", "parse-names" : false, "suffix" : "" } ], "container-title" : "Palaeontologia Electronica", "id" : "ITEM-1", "issue" : "1", "issued" : { "date-parts" : [ [ "2001" ] ] }, "page" : "1-92", "title" : "PAST: Paleontological Statistics Software Package for Education and Data Analysis. v.2.17", "type" : "article-journal", "volume" : "4" }, "uris" : [ "http://www.mendeley.com/documents/?uuid=14783953-7f48-40cf-b377-3e1184162989" ] } ], "mendeley" : { "formattedCitation" : "[9]", "plainTextFormattedCitation" : "[9]", "previouslyFormattedCitation" : "[9]" }, "properties" : { "noteIndex" : 0 }, "schema" : "https://github.com/citation-style-language/schema/raw/master/csl-citation.json" }</w:instrText>
      </w:r>
      <w:r w:rsidR="00B722D8">
        <w:fldChar w:fldCharType="separate"/>
      </w:r>
      <w:r w:rsidR="00B722D8" w:rsidRPr="00B722D8">
        <w:rPr>
          <w:noProof/>
        </w:rPr>
        <w:t>[9]</w:t>
      </w:r>
      <w:r w:rsidR="00B722D8">
        <w:fldChar w:fldCharType="end"/>
      </w:r>
      <w:r>
        <w:t>.</w:t>
      </w:r>
    </w:p>
    <w:p w14:paraId="660FBD7A" w14:textId="77777777" w:rsidR="0053655C" w:rsidRDefault="0053655C">
      <w:pPr>
        <w:spacing w:after="200" w:line="276" w:lineRule="auto"/>
        <w:jc w:val="left"/>
        <w:rPr>
          <w:rFonts w:ascii="Arial" w:hAnsi="Arial" w:cs="Arial"/>
          <w:b/>
        </w:rPr>
      </w:pPr>
      <w:r>
        <w:br w:type="page"/>
      </w:r>
    </w:p>
    <w:p w14:paraId="5FC7BDEA" w14:textId="3E9144F8" w:rsidR="003D1EF5" w:rsidRDefault="00D94070" w:rsidP="00D94070">
      <w:pPr>
        <w:pStyle w:val="Heading1"/>
      </w:pPr>
      <w:r>
        <w:lastRenderedPageBreak/>
        <w:t>References</w:t>
      </w:r>
    </w:p>
    <w:p w14:paraId="2A2DC277" w14:textId="6FC5E89D" w:rsidR="00222892" w:rsidRPr="00227541" w:rsidRDefault="00222892" w:rsidP="00227541">
      <w:pPr>
        <w:pStyle w:val="NormalWeb"/>
        <w:ind w:left="284" w:hanging="284"/>
        <w:jc w:val="both"/>
        <w:divId w:val="96411099"/>
        <w:rPr>
          <w:noProof/>
          <w:lang w:val="en-US"/>
        </w:rPr>
      </w:pPr>
      <w:r w:rsidRPr="00227541">
        <w:rPr>
          <w:noProof/>
          <w:lang w:val="en-US"/>
        </w:rPr>
        <w:t>1.</w:t>
      </w:r>
      <w:r w:rsidR="00227541">
        <w:rPr>
          <w:noProof/>
          <w:lang w:val="en-US"/>
        </w:rPr>
        <w:tab/>
      </w:r>
      <w:r w:rsidR="00227541" w:rsidRPr="003226C6">
        <w:rPr>
          <w:noProof/>
          <w:lang w:val="en-US"/>
        </w:rPr>
        <w:t xml:space="preserve">Dietrich C, Brune A: </w:t>
      </w:r>
      <w:r w:rsidR="00227541" w:rsidRPr="003226C6">
        <w:rPr>
          <w:b/>
          <w:bCs/>
          <w:noProof/>
          <w:lang w:val="en-US"/>
        </w:rPr>
        <w:t>The complete mitogenomes of six higher termite species reconstructed from metagenomic datasets (</w:t>
      </w:r>
      <w:r w:rsidR="00227541" w:rsidRPr="003226C6">
        <w:rPr>
          <w:b/>
          <w:bCs/>
          <w:i/>
          <w:iCs/>
          <w:noProof/>
          <w:lang w:val="en-US"/>
        </w:rPr>
        <w:t>Cornitermes</w:t>
      </w:r>
      <w:r w:rsidR="00227541" w:rsidRPr="003226C6">
        <w:rPr>
          <w:b/>
          <w:bCs/>
          <w:noProof/>
          <w:lang w:val="en-US"/>
        </w:rPr>
        <w:t xml:space="preserve"> sp., </w:t>
      </w:r>
      <w:r w:rsidR="00227541" w:rsidRPr="003226C6">
        <w:rPr>
          <w:b/>
          <w:bCs/>
          <w:i/>
          <w:iCs/>
          <w:noProof/>
          <w:lang w:val="en-US"/>
        </w:rPr>
        <w:t>Cubitermes ugandensis, Microcerotermes parvus, Nasutitermes corniger, Neocapritermes taracua</w:t>
      </w:r>
      <w:r w:rsidR="00227541" w:rsidRPr="003226C6">
        <w:rPr>
          <w:b/>
          <w:bCs/>
          <w:noProof/>
          <w:lang w:val="en-US"/>
        </w:rPr>
        <w:t xml:space="preserve">, and </w:t>
      </w:r>
      <w:r w:rsidR="00227541" w:rsidRPr="003226C6">
        <w:rPr>
          <w:b/>
          <w:bCs/>
          <w:i/>
          <w:iCs/>
          <w:noProof/>
          <w:lang w:val="en-US"/>
        </w:rPr>
        <w:t>Termes hospes</w:t>
      </w:r>
      <w:r w:rsidR="00227541" w:rsidRPr="003226C6">
        <w:rPr>
          <w:b/>
          <w:bCs/>
          <w:noProof/>
          <w:lang w:val="en-US"/>
        </w:rPr>
        <w:t>)</w:t>
      </w:r>
      <w:r w:rsidR="00227541" w:rsidRPr="003226C6">
        <w:rPr>
          <w:noProof/>
          <w:lang w:val="en-US"/>
        </w:rPr>
        <w:t xml:space="preserve">. </w:t>
      </w:r>
      <w:r w:rsidR="00227541" w:rsidRPr="003226C6">
        <w:rPr>
          <w:i/>
          <w:iCs/>
          <w:noProof/>
          <w:lang w:val="en-US"/>
        </w:rPr>
        <w:t>Mitochondrial DNA</w:t>
      </w:r>
      <w:r w:rsidR="00227541" w:rsidRPr="003226C6">
        <w:rPr>
          <w:noProof/>
          <w:lang w:val="en-US"/>
        </w:rPr>
        <w:t xml:space="preserve"> 2014,</w:t>
      </w:r>
      <w:r w:rsidR="00227541" w:rsidRPr="00063A9A">
        <w:rPr>
          <w:noProof/>
          <w:lang w:val="en-US"/>
        </w:rPr>
        <w:t xml:space="preserve"> </w:t>
      </w:r>
      <w:r w:rsidR="00227541" w:rsidRPr="00063A9A">
        <w:rPr>
          <w:bCs/>
          <w:noProof/>
          <w:lang w:val="en-US"/>
        </w:rPr>
        <w:t>early online (http://dx.doi.org/10.3109/19401736.2014.987257)</w:t>
      </w:r>
      <w:r w:rsidR="00227541" w:rsidRPr="00063A9A">
        <w:rPr>
          <w:noProof/>
          <w:lang w:val="en-US"/>
        </w:rPr>
        <w:t>.</w:t>
      </w:r>
    </w:p>
    <w:p w14:paraId="388A2B78" w14:textId="766F3937" w:rsidR="00222892" w:rsidRPr="00227541" w:rsidRDefault="00222892" w:rsidP="00227541">
      <w:pPr>
        <w:pStyle w:val="NormalWeb"/>
        <w:ind w:left="284" w:hanging="284"/>
        <w:jc w:val="both"/>
        <w:divId w:val="96411099"/>
        <w:rPr>
          <w:noProof/>
          <w:lang w:val="en-US"/>
        </w:rPr>
      </w:pPr>
      <w:r w:rsidRPr="00227541">
        <w:rPr>
          <w:noProof/>
          <w:lang w:val="en-US"/>
        </w:rPr>
        <w:t>2.</w:t>
      </w:r>
      <w:r w:rsidR="00227541">
        <w:rPr>
          <w:noProof/>
          <w:lang w:val="en-US"/>
        </w:rPr>
        <w:tab/>
      </w:r>
      <w:r w:rsidRPr="00227541">
        <w:rPr>
          <w:noProof/>
          <w:lang w:val="en-US"/>
        </w:rPr>
        <w:t xml:space="preserve">Köhler T, Dietrich C, Scheffrahn RH, Brune A: </w:t>
      </w:r>
      <w:r w:rsidRPr="00227541">
        <w:rPr>
          <w:b/>
          <w:bCs/>
          <w:noProof/>
          <w:lang w:val="en-US"/>
        </w:rPr>
        <w:t>High-resolution analysis of gut environment and bacterial microbiota reveals functional compartmentation of the gut in wood-feeding higher termites (Nasutitermes spp.)</w:t>
      </w:r>
      <w:r w:rsidRPr="00227541">
        <w:rPr>
          <w:noProof/>
          <w:lang w:val="en-US"/>
        </w:rPr>
        <w:t xml:space="preserve">. </w:t>
      </w:r>
      <w:r w:rsidRPr="00227541">
        <w:rPr>
          <w:i/>
          <w:iCs/>
          <w:noProof/>
          <w:lang w:val="en-US"/>
        </w:rPr>
        <w:t>Appl Environ Microbiol</w:t>
      </w:r>
      <w:r w:rsidRPr="00227541">
        <w:rPr>
          <w:noProof/>
          <w:lang w:val="en-US"/>
        </w:rPr>
        <w:t xml:space="preserve"> 2012, </w:t>
      </w:r>
      <w:r w:rsidRPr="00227541">
        <w:rPr>
          <w:b/>
          <w:bCs/>
          <w:noProof/>
          <w:lang w:val="en-US"/>
        </w:rPr>
        <w:t>78</w:t>
      </w:r>
      <w:r w:rsidRPr="00227541">
        <w:rPr>
          <w:noProof/>
          <w:lang w:val="en-US"/>
        </w:rPr>
        <w:t>:4691–4701.</w:t>
      </w:r>
    </w:p>
    <w:p w14:paraId="27B26513" w14:textId="1C88E1E1" w:rsidR="00222892" w:rsidRPr="00227541" w:rsidRDefault="00222892" w:rsidP="00227541">
      <w:pPr>
        <w:pStyle w:val="NormalWeb"/>
        <w:ind w:left="284" w:hanging="284"/>
        <w:jc w:val="both"/>
        <w:divId w:val="96411099"/>
        <w:rPr>
          <w:noProof/>
          <w:lang w:val="en-US"/>
        </w:rPr>
      </w:pPr>
      <w:r w:rsidRPr="00227541">
        <w:rPr>
          <w:noProof/>
          <w:lang w:val="en-US"/>
        </w:rPr>
        <w:t>3.</w:t>
      </w:r>
      <w:r w:rsidR="00227541">
        <w:rPr>
          <w:noProof/>
          <w:lang w:val="en-US"/>
        </w:rPr>
        <w:tab/>
      </w:r>
      <w:r w:rsidRPr="00227541">
        <w:rPr>
          <w:noProof/>
          <w:lang w:val="en-US"/>
        </w:rPr>
        <w:t xml:space="preserve">Degnan PH, Ochman H: </w:t>
      </w:r>
      <w:r w:rsidRPr="00227541">
        <w:rPr>
          <w:b/>
          <w:bCs/>
          <w:noProof/>
          <w:lang w:val="en-US"/>
        </w:rPr>
        <w:t>Illumina-based analysis of microbial community diversity</w:t>
      </w:r>
      <w:r w:rsidRPr="00227541">
        <w:rPr>
          <w:noProof/>
          <w:lang w:val="en-US"/>
        </w:rPr>
        <w:t xml:space="preserve">. </w:t>
      </w:r>
      <w:r w:rsidRPr="00227541">
        <w:rPr>
          <w:i/>
          <w:iCs/>
          <w:noProof/>
          <w:lang w:val="en-US"/>
        </w:rPr>
        <w:t>ISME J</w:t>
      </w:r>
      <w:r w:rsidRPr="00227541">
        <w:rPr>
          <w:noProof/>
          <w:lang w:val="en-US"/>
        </w:rPr>
        <w:t xml:space="preserve"> 2012, </w:t>
      </w:r>
      <w:r w:rsidRPr="00227541">
        <w:rPr>
          <w:b/>
          <w:bCs/>
          <w:noProof/>
          <w:lang w:val="en-US"/>
        </w:rPr>
        <w:t>6</w:t>
      </w:r>
      <w:r w:rsidRPr="00227541">
        <w:rPr>
          <w:noProof/>
          <w:lang w:val="en-US"/>
        </w:rPr>
        <w:t>:183–194.</w:t>
      </w:r>
    </w:p>
    <w:p w14:paraId="01DC5283" w14:textId="6C0434E1" w:rsidR="00222892" w:rsidRPr="00227541" w:rsidRDefault="00222892" w:rsidP="00227541">
      <w:pPr>
        <w:pStyle w:val="NormalWeb"/>
        <w:ind w:left="284" w:hanging="284"/>
        <w:jc w:val="both"/>
        <w:divId w:val="96411099"/>
        <w:rPr>
          <w:noProof/>
          <w:lang w:val="en-US"/>
        </w:rPr>
      </w:pPr>
      <w:r w:rsidRPr="00227541">
        <w:rPr>
          <w:noProof/>
          <w:lang w:val="en-US"/>
        </w:rPr>
        <w:t>4.</w:t>
      </w:r>
      <w:r w:rsidR="00227541">
        <w:rPr>
          <w:noProof/>
          <w:lang w:val="en-US"/>
        </w:rPr>
        <w:tab/>
      </w:r>
      <w:r w:rsidRPr="00227541">
        <w:rPr>
          <w:noProof/>
          <w:lang w:val="en-US"/>
        </w:rPr>
        <w:t xml:space="preserve">Caporaso JG, Lauber CL, Walters WA, Berg-Lyons D, Lozupone CA, Turnbaugh PJ, Fierer N, Knight R: </w:t>
      </w:r>
      <w:r w:rsidRPr="00227541">
        <w:rPr>
          <w:b/>
          <w:bCs/>
          <w:noProof/>
          <w:lang w:val="en-US"/>
        </w:rPr>
        <w:t>Global patterns of 16S rRNA diversity at a depth of millions of sequences per sample</w:t>
      </w:r>
      <w:r w:rsidRPr="00227541">
        <w:rPr>
          <w:noProof/>
          <w:lang w:val="en-US"/>
        </w:rPr>
        <w:t xml:space="preserve">. </w:t>
      </w:r>
      <w:r w:rsidRPr="00227541">
        <w:rPr>
          <w:i/>
          <w:iCs/>
          <w:noProof/>
          <w:lang w:val="en-US"/>
        </w:rPr>
        <w:t>Proc Natl Acad Sci</w:t>
      </w:r>
      <w:r w:rsidRPr="00227541">
        <w:rPr>
          <w:noProof/>
          <w:lang w:val="en-US"/>
        </w:rPr>
        <w:t xml:space="preserve"> 2011, </w:t>
      </w:r>
      <w:r w:rsidRPr="00227541">
        <w:rPr>
          <w:b/>
          <w:bCs/>
          <w:noProof/>
          <w:lang w:val="en-US"/>
        </w:rPr>
        <w:t>108</w:t>
      </w:r>
      <w:r w:rsidRPr="00227541">
        <w:rPr>
          <w:noProof/>
          <w:lang w:val="en-US"/>
        </w:rPr>
        <w:t>:4516–4522.</w:t>
      </w:r>
    </w:p>
    <w:p w14:paraId="7C561F70" w14:textId="5C3C8021" w:rsidR="00222892" w:rsidRPr="00227541" w:rsidRDefault="00222892" w:rsidP="00227541">
      <w:pPr>
        <w:pStyle w:val="NormalWeb"/>
        <w:ind w:left="284" w:hanging="284"/>
        <w:jc w:val="both"/>
        <w:divId w:val="96411099"/>
        <w:rPr>
          <w:noProof/>
          <w:lang w:val="en-US"/>
        </w:rPr>
      </w:pPr>
      <w:r w:rsidRPr="00227541">
        <w:rPr>
          <w:noProof/>
          <w:lang w:val="en-US"/>
        </w:rPr>
        <w:t>5.</w:t>
      </w:r>
      <w:r w:rsidR="00227541">
        <w:rPr>
          <w:noProof/>
          <w:lang w:val="en-US"/>
        </w:rPr>
        <w:tab/>
      </w:r>
      <w:r w:rsidRPr="00227541">
        <w:rPr>
          <w:noProof/>
          <w:lang w:val="en-US"/>
        </w:rPr>
        <w:t xml:space="preserve">Schloss PD, Westcott SL, Ryabin T, Hall JR, Hartmann M, Hollister EB, Lesniewski RA, Oakley BB, Parks DH, Robinson CJ, Sahl JW, Stres B, Thallinger GG, Van Horn DJ, Weber CF: </w:t>
      </w:r>
      <w:r w:rsidRPr="00227541">
        <w:rPr>
          <w:b/>
          <w:bCs/>
          <w:noProof/>
          <w:lang w:val="en-US"/>
        </w:rPr>
        <w:t>Introducing mothur: Open-source, platform-independent, community-supported software for describing and comparing microbial communities</w:t>
      </w:r>
      <w:r w:rsidRPr="00227541">
        <w:rPr>
          <w:noProof/>
          <w:lang w:val="en-US"/>
        </w:rPr>
        <w:t xml:space="preserve">. </w:t>
      </w:r>
      <w:r w:rsidRPr="00227541">
        <w:rPr>
          <w:i/>
          <w:iCs/>
          <w:noProof/>
          <w:lang w:val="en-US"/>
        </w:rPr>
        <w:t>Appl Environ Microbiol</w:t>
      </w:r>
      <w:r w:rsidRPr="00227541">
        <w:rPr>
          <w:noProof/>
          <w:lang w:val="en-US"/>
        </w:rPr>
        <w:t xml:space="preserve"> 2009, </w:t>
      </w:r>
      <w:r w:rsidRPr="00227541">
        <w:rPr>
          <w:b/>
          <w:bCs/>
          <w:noProof/>
          <w:lang w:val="en-US"/>
        </w:rPr>
        <w:t>75</w:t>
      </w:r>
      <w:r w:rsidRPr="00227541">
        <w:rPr>
          <w:noProof/>
          <w:lang w:val="en-US"/>
        </w:rPr>
        <w:t>:7537–7541.</w:t>
      </w:r>
    </w:p>
    <w:p w14:paraId="0F010035" w14:textId="52D52C18" w:rsidR="00222892" w:rsidRPr="00227541" w:rsidRDefault="00222892" w:rsidP="00227541">
      <w:pPr>
        <w:pStyle w:val="NormalWeb"/>
        <w:ind w:left="284" w:hanging="284"/>
        <w:jc w:val="both"/>
        <w:divId w:val="96411099"/>
        <w:rPr>
          <w:noProof/>
          <w:lang w:val="en-US"/>
        </w:rPr>
      </w:pPr>
      <w:r w:rsidRPr="00227541">
        <w:rPr>
          <w:noProof/>
          <w:lang w:val="en-US"/>
        </w:rPr>
        <w:t>6.</w:t>
      </w:r>
      <w:r w:rsidR="00227541">
        <w:rPr>
          <w:noProof/>
          <w:lang w:val="en-US"/>
        </w:rPr>
        <w:tab/>
      </w:r>
      <w:r w:rsidR="00227541" w:rsidRPr="003226C6">
        <w:rPr>
          <w:noProof/>
          <w:lang w:val="en-US"/>
        </w:rPr>
        <w:t xml:space="preserve">Mikaelyan A, Köhler T, Lampert N, Rohland J, Boga H, Meuser K, Brune A: </w:t>
      </w:r>
      <w:r w:rsidR="00227541" w:rsidRPr="003226C6">
        <w:rPr>
          <w:b/>
          <w:bCs/>
          <w:noProof/>
          <w:lang w:val="en-US"/>
        </w:rPr>
        <w:t>Classifying the bacterial gut microbiota of termites and cockroaches: a curated phylogenetic reference database (DictDb)</w:t>
      </w:r>
      <w:r w:rsidR="00227541" w:rsidRPr="003226C6">
        <w:rPr>
          <w:noProof/>
          <w:lang w:val="en-US"/>
        </w:rPr>
        <w:t xml:space="preserve">. </w:t>
      </w:r>
      <w:r w:rsidR="00227541" w:rsidRPr="003226C6">
        <w:rPr>
          <w:i/>
          <w:iCs/>
          <w:noProof/>
          <w:lang w:val="en-US"/>
        </w:rPr>
        <w:t>Syst Appl Microbiol</w:t>
      </w:r>
      <w:r w:rsidR="00227541">
        <w:rPr>
          <w:iCs/>
          <w:noProof/>
          <w:lang w:val="en-US"/>
        </w:rPr>
        <w:t>, in revision</w:t>
      </w:r>
      <w:r w:rsidR="00227541" w:rsidRPr="003226C6">
        <w:rPr>
          <w:noProof/>
          <w:lang w:val="en-US"/>
        </w:rPr>
        <w:t>.</w:t>
      </w:r>
    </w:p>
    <w:p w14:paraId="3471A6AE" w14:textId="68B0F320" w:rsidR="00222892" w:rsidRPr="00227541" w:rsidRDefault="00222892" w:rsidP="00227541">
      <w:pPr>
        <w:pStyle w:val="NormalWeb"/>
        <w:ind w:left="284" w:hanging="284"/>
        <w:jc w:val="both"/>
        <w:divId w:val="96411099"/>
        <w:rPr>
          <w:noProof/>
          <w:lang w:val="en-US"/>
        </w:rPr>
      </w:pPr>
      <w:r w:rsidRPr="00227541">
        <w:rPr>
          <w:noProof/>
          <w:lang w:val="en-US"/>
        </w:rPr>
        <w:t>7.</w:t>
      </w:r>
      <w:r w:rsidR="00227541">
        <w:rPr>
          <w:noProof/>
          <w:lang w:val="en-US"/>
        </w:rPr>
        <w:tab/>
      </w:r>
      <w:r w:rsidRPr="00227541">
        <w:rPr>
          <w:noProof/>
          <w:lang w:val="en-US"/>
        </w:rPr>
        <w:t xml:space="preserve">Li R, Zhu H, Ruan J, Qian W, Fang X, Shi Z, Li Y, Li S, Shan G, Kristiansen K, Li S, Yang H, Wang J, Wang J: </w:t>
      </w:r>
      <w:r w:rsidRPr="00227541">
        <w:rPr>
          <w:b/>
          <w:bCs/>
          <w:noProof/>
          <w:lang w:val="en-US"/>
        </w:rPr>
        <w:t>De novo assembly of human genomes with massively parallel short read sequencing</w:t>
      </w:r>
      <w:r w:rsidRPr="00227541">
        <w:rPr>
          <w:noProof/>
          <w:lang w:val="en-US"/>
        </w:rPr>
        <w:t xml:space="preserve">. </w:t>
      </w:r>
      <w:r w:rsidRPr="00227541">
        <w:rPr>
          <w:i/>
          <w:iCs/>
          <w:noProof/>
          <w:lang w:val="en-US"/>
        </w:rPr>
        <w:t>Genome Res</w:t>
      </w:r>
      <w:r w:rsidRPr="00227541">
        <w:rPr>
          <w:noProof/>
          <w:lang w:val="en-US"/>
        </w:rPr>
        <w:t xml:space="preserve"> 2010, </w:t>
      </w:r>
      <w:r w:rsidRPr="00227541">
        <w:rPr>
          <w:b/>
          <w:bCs/>
          <w:noProof/>
          <w:lang w:val="en-US"/>
        </w:rPr>
        <w:t>20</w:t>
      </w:r>
      <w:r w:rsidRPr="00227541">
        <w:rPr>
          <w:noProof/>
          <w:lang w:val="en-US"/>
        </w:rPr>
        <w:t>:265–272.</w:t>
      </w:r>
    </w:p>
    <w:p w14:paraId="0714283F" w14:textId="35344FDF" w:rsidR="00222892" w:rsidRPr="00227541" w:rsidRDefault="00222892" w:rsidP="00227541">
      <w:pPr>
        <w:pStyle w:val="NormalWeb"/>
        <w:ind w:left="284" w:hanging="284"/>
        <w:jc w:val="both"/>
        <w:divId w:val="96411099"/>
        <w:rPr>
          <w:noProof/>
          <w:lang w:val="en-US"/>
        </w:rPr>
      </w:pPr>
      <w:r w:rsidRPr="00227541">
        <w:rPr>
          <w:noProof/>
          <w:lang w:val="en-US"/>
        </w:rPr>
        <w:t>8.</w:t>
      </w:r>
      <w:r w:rsidR="00227541">
        <w:rPr>
          <w:noProof/>
          <w:lang w:val="en-US"/>
        </w:rPr>
        <w:tab/>
      </w:r>
      <w:r w:rsidRPr="00227541">
        <w:rPr>
          <w:noProof/>
          <w:lang w:val="en-US"/>
        </w:rPr>
        <w:t xml:space="preserve">Tatusov RL, Fedorova ND, Jackson JD, Jacobs AR, Kiryutin B, Koonin E V, Krylov DM, Mazumder R, Mekhedov SL, Nikolskaya AN, Rao BS, Smirnov S, Sverdlov A V, Vasudevan S, Wolf YI, Yin JJ, Natale DA: </w:t>
      </w:r>
      <w:r w:rsidRPr="00227541">
        <w:rPr>
          <w:b/>
          <w:bCs/>
          <w:noProof/>
          <w:lang w:val="en-US"/>
        </w:rPr>
        <w:t>The COG database: an updated version includes eukaryotes.</w:t>
      </w:r>
      <w:r w:rsidRPr="00227541">
        <w:rPr>
          <w:noProof/>
          <w:lang w:val="en-US"/>
        </w:rPr>
        <w:t xml:space="preserve"> </w:t>
      </w:r>
      <w:r w:rsidRPr="00227541">
        <w:rPr>
          <w:i/>
          <w:iCs/>
          <w:noProof/>
          <w:lang w:val="en-US"/>
        </w:rPr>
        <w:t>BMC Bioinformatics</w:t>
      </w:r>
      <w:r w:rsidRPr="00227541">
        <w:rPr>
          <w:noProof/>
          <w:lang w:val="en-US"/>
        </w:rPr>
        <w:t xml:space="preserve"> 2003, </w:t>
      </w:r>
      <w:r w:rsidRPr="00227541">
        <w:rPr>
          <w:b/>
          <w:bCs/>
          <w:noProof/>
          <w:lang w:val="en-US"/>
        </w:rPr>
        <w:t>4</w:t>
      </w:r>
      <w:r w:rsidRPr="00227541">
        <w:rPr>
          <w:noProof/>
          <w:lang w:val="en-US"/>
        </w:rPr>
        <w:t>:41.</w:t>
      </w:r>
    </w:p>
    <w:p w14:paraId="0CCDA7C8" w14:textId="7CB4AFBD" w:rsidR="00D94070" w:rsidRPr="00D94070" w:rsidRDefault="00222892" w:rsidP="00227541">
      <w:pPr>
        <w:pStyle w:val="NormalWeb"/>
        <w:ind w:left="284" w:hanging="284"/>
        <w:jc w:val="both"/>
        <w:divId w:val="1807090296"/>
      </w:pPr>
      <w:r w:rsidRPr="00227541">
        <w:rPr>
          <w:noProof/>
          <w:lang w:val="en-US"/>
        </w:rPr>
        <w:t>9.</w:t>
      </w:r>
      <w:r w:rsidR="00227541">
        <w:rPr>
          <w:noProof/>
          <w:lang w:val="en-US"/>
        </w:rPr>
        <w:tab/>
      </w:r>
      <w:r w:rsidRPr="00227541">
        <w:rPr>
          <w:noProof/>
          <w:lang w:val="en-US"/>
        </w:rPr>
        <w:t xml:space="preserve">Hammer Ø, Harper DAT, Ryan PD: </w:t>
      </w:r>
      <w:r w:rsidRPr="00227541">
        <w:rPr>
          <w:b/>
          <w:bCs/>
          <w:noProof/>
          <w:lang w:val="en-US"/>
        </w:rPr>
        <w:t>PAST: Paleontological Statistics Software Package for Education and Data Analysis. v.2.17</w:t>
      </w:r>
      <w:r w:rsidRPr="00227541">
        <w:rPr>
          <w:noProof/>
          <w:lang w:val="en-US"/>
        </w:rPr>
        <w:t xml:space="preserve">. </w:t>
      </w:r>
      <w:r w:rsidRPr="00222892">
        <w:rPr>
          <w:i/>
          <w:iCs/>
          <w:noProof/>
        </w:rPr>
        <w:t>Palaeontol Electron</w:t>
      </w:r>
      <w:r w:rsidRPr="00222892">
        <w:rPr>
          <w:noProof/>
        </w:rPr>
        <w:t xml:space="preserve"> 2001, </w:t>
      </w:r>
      <w:r w:rsidRPr="00222892">
        <w:rPr>
          <w:b/>
          <w:bCs/>
          <w:noProof/>
        </w:rPr>
        <w:t>4</w:t>
      </w:r>
      <w:r w:rsidRPr="00222892">
        <w:rPr>
          <w:noProof/>
        </w:rPr>
        <w:t xml:space="preserve">:1–92. </w:t>
      </w:r>
    </w:p>
    <w:sectPr w:rsidR="00D94070" w:rsidRPr="00D94070" w:rsidSect="002F58B3">
      <w:pgSz w:w="12240" w:h="15840" w:code="1"/>
      <w:pgMar w:top="1440" w:right="1440" w:bottom="1440" w:left="1440" w:header="720" w:footer="720" w:gutter="0"/>
      <w:lnNumType w:countBy="1" w:restart="continuous"/>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100B604"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B73172"/>
    <w:multiLevelType w:val="hybridMultilevel"/>
    <w:tmpl w:val="A41C78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BEE29F3"/>
    <w:multiLevelType w:val="hybridMultilevel"/>
    <w:tmpl w:val="25D0E3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arsten Dietrich">
    <w15:presenceInfo w15:providerId="Windows Live" w15:userId="01fb505b350eadd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oNotTrackFormatting/>
  <w:defaultTabStop w:val="720"/>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Microbi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86625D"/>
    <w:rsid w:val="00002192"/>
    <w:rsid w:val="00010997"/>
    <w:rsid w:val="00035303"/>
    <w:rsid w:val="000412CE"/>
    <w:rsid w:val="000423C1"/>
    <w:rsid w:val="00055A67"/>
    <w:rsid w:val="0005718B"/>
    <w:rsid w:val="00057879"/>
    <w:rsid w:val="000645B6"/>
    <w:rsid w:val="0006463C"/>
    <w:rsid w:val="000655A5"/>
    <w:rsid w:val="00081970"/>
    <w:rsid w:val="00083502"/>
    <w:rsid w:val="00085202"/>
    <w:rsid w:val="000A5CCA"/>
    <w:rsid w:val="000B0CFE"/>
    <w:rsid w:val="000B1687"/>
    <w:rsid w:val="000B2174"/>
    <w:rsid w:val="000B4CA8"/>
    <w:rsid w:val="000B4D04"/>
    <w:rsid w:val="000D4561"/>
    <w:rsid w:val="000D7351"/>
    <w:rsid w:val="000F396C"/>
    <w:rsid w:val="000F56B7"/>
    <w:rsid w:val="00102479"/>
    <w:rsid w:val="00106CC4"/>
    <w:rsid w:val="00122738"/>
    <w:rsid w:val="00123073"/>
    <w:rsid w:val="00124BAC"/>
    <w:rsid w:val="001367D2"/>
    <w:rsid w:val="00143CD5"/>
    <w:rsid w:val="00152057"/>
    <w:rsid w:val="00152C8C"/>
    <w:rsid w:val="00163CAD"/>
    <w:rsid w:val="00167383"/>
    <w:rsid w:val="00172FF3"/>
    <w:rsid w:val="00197884"/>
    <w:rsid w:val="001A143B"/>
    <w:rsid w:val="001A3D44"/>
    <w:rsid w:val="001A6194"/>
    <w:rsid w:val="001A638B"/>
    <w:rsid w:val="001C1616"/>
    <w:rsid w:val="001C4972"/>
    <w:rsid w:val="001D1F51"/>
    <w:rsid w:val="0021680C"/>
    <w:rsid w:val="00221EB2"/>
    <w:rsid w:val="00222892"/>
    <w:rsid w:val="00227541"/>
    <w:rsid w:val="0023561F"/>
    <w:rsid w:val="002515BB"/>
    <w:rsid w:val="002552D0"/>
    <w:rsid w:val="002646BD"/>
    <w:rsid w:val="00275961"/>
    <w:rsid w:val="00280C42"/>
    <w:rsid w:val="002861F3"/>
    <w:rsid w:val="00290509"/>
    <w:rsid w:val="002952FE"/>
    <w:rsid w:val="0029541E"/>
    <w:rsid w:val="00296844"/>
    <w:rsid w:val="00297B15"/>
    <w:rsid w:val="002A2DA7"/>
    <w:rsid w:val="002B2F40"/>
    <w:rsid w:val="002B7F48"/>
    <w:rsid w:val="002D4672"/>
    <w:rsid w:val="002F508D"/>
    <w:rsid w:val="002F55C1"/>
    <w:rsid w:val="002F58B3"/>
    <w:rsid w:val="003011B5"/>
    <w:rsid w:val="00302D44"/>
    <w:rsid w:val="003114CA"/>
    <w:rsid w:val="0031704B"/>
    <w:rsid w:val="003219D8"/>
    <w:rsid w:val="003401E1"/>
    <w:rsid w:val="00345407"/>
    <w:rsid w:val="00345802"/>
    <w:rsid w:val="00351689"/>
    <w:rsid w:val="00364780"/>
    <w:rsid w:val="0036621C"/>
    <w:rsid w:val="00373D4A"/>
    <w:rsid w:val="00374B7C"/>
    <w:rsid w:val="00382427"/>
    <w:rsid w:val="00390EA3"/>
    <w:rsid w:val="003914DE"/>
    <w:rsid w:val="003937AC"/>
    <w:rsid w:val="00397164"/>
    <w:rsid w:val="003A0ADE"/>
    <w:rsid w:val="003A4C39"/>
    <w:rsid w:val="003B25CF"/>
    <w:rsid w:val="003B2EC9"/>
    <w:rsid w:val="003B533D"/>
    <w:rsid w:val="003C42E8"/>
    <w:rsid w:val="003D1EF5"/>
    <w:rsid w:val="003D2BCA"/>
    <w:rsid w:val="003E27EE"/>
    <w:rsid w:val="003E3E40"/>
    <w:rsid w:val="003F5017"/>
    <w:rsid w:val="00411E8D"/>
    <w:rsid w:val="00436FBC"/>
    <w:rsid w:val="00443D54"/>
    <w:rsid w:val="00452F7A"/>
    <w:rsid w:val="00455E7A"/>
    <w:rsid w:val="0046733F"/>
    <w:rsid w:val="004712A6"/>
    <w:rsid w:val="00471B93"/>
    <w:rsid w:val="00474D12"/>
    <w:rsid w:val="0048430F"/>
    <w:rsid w:val="00490EA4"/>
    <w:rsid w:val="00490FAF"/>
    <w:rsid w:val="00491809"/>
    <w:rsid w:val="00492DF9"/>
    <w:rsid w:val="004B7658"/>
    <w:rsid w:val="00501220"/>
    <w:rsid w:val="00504617"/>
    <w:rsid w:val="00507643"/>
    <w:rsid w:val="005226B5"/>
    <w:rsid w:val="00526B10"/>
    <w:rsid w:val="00530607"/>
    <w:rsid w:val="005322B5"/>
    <w:rsid w:val="0053655C"/>
    <w:rsid w:val="005365E5"/>
    <w:rsid w:val="00540909"/>
    <w:rsid w:val="005427D2"/>
    <w:rsid w:val="00556C79"/>
    <w:rsid w:val="00563658"/>
    <w:rsid w:val="005856A0"/>
    <w:rsid w:val="005945AD"/>
    <w:rsid w:val="00597871"/>
    <w:rsid w:val="00597F54"/>
    <w:rsid w:val="005A0B9F"/>
    <w:rsid w:val="005A2217"/>
    <w:rsid w:val="005B2A70"/>
    <w:rsid w:val="005B77D3"/>
    <w:rsid w:val="005C0D51"/>
    <w:rsid w:val="005C677A"/>
    <w:rsid w:val="005E3993"/>
    <w:rsid w:val="005F494E"/>
    <w:rsid w:val="00613840"/>
    <w:rsid w:val="00645210"/>
    <w:rsid w:val="006736B1"/>
    <w:rsid w:val="006860B0"/>
    <w:rsid w:val="00686FD9"/>
    <w:rsid w:val="006958CC"/>
    <w:rsid w:val="006A018A"/>
    <w:rsid w:val="006A5A84"/>
    <w:rsid w:val="006B1267"/>
    <w:rsid w:val="006B1C11"/>
    <w:rsid w:val="006C4AB6"/>
    <w:rsid w:val="006D6C71"/>
    <w:rsid w:val="006E416C"/>
    <w:rsid w:val="006E432F"/>
    <w:rsid w:val="006F2542"/>
    <w:rsid w:val="006F2C76"/>
    <w:rsid w:val="006F646E"/>
    <w:rsid w:val="00704A09"/>
    <w:rsid w:val="00707B39"/>
    <w:rsid w:val="007113DD"/>
    <w:rsid w:val="00711D6C"/>
    <w:rsid w:val="00715CF1"/>
    <w:rsid w:val="00720389"/>
    <w:rsid w:val="007254ED"/>
    <w:rsid w:val="007348B2"/>
    <w:rsid w:val="0074393B"/>
    <w:rsid w:val="007457C8"/>
    <w:rsid w:val="00746BE3"/>
    <w:rsid w:val="0075288D"/>
    <w:rsid w:val="00752FAC"/>
    <w:rsid w:val="00757A6B"/>
    <w:rsid w:val="00760A37"/>
    <w:rsid w:val="00760DDB"/>
    <w:rsid w:val="00774BBF"/>
    <w:rsid w:val="0077555A"/>
    <w:rsid w:val="007843B5"/>
    <w:rsid w:val="00792698"/>
    <w:rsid w:val="007953A9"/>
    <w:rsid w:val="007A04AD"/>
    <w:rsid w:val="007A6373"/>
    <w:rsid w:val="007C1F77"/>
    <w:rsid w:val="007D1A59"/>
    <w:rsid w:val="007D2A26"/>
    <w:rsid w:val="007E18E9"/>
    <w:rsid w:val="007E52BC"/>
    <w:rsid w:val="007F38B4"/>
    <w:rsid w:val="007F691A"/>
    <w:rsid w:val="007F6A97"/>
    <w:rsid w:val="00804A87"/>
    <w:rsid w:val="00810D21"/>
    <w:rsid w:val="00822393"/>
    <w:rsid w:val="00822BCD"/>
    <w:rsid w:val="008275EC"/>
    <w:rsid w:val="00832056"/>
    <w:rsid w:val="00832F23"/>
    <w:rsid w:val="00833227"/>
    <w:rsid w:val="00840932"/>
    <w:rsid w:val="00844108"/>
    <w:rsid w:val="0084654A"/>
    <w:rsid w:val="0085102B"/>
    <w:rsid w:val="00862F60"/>
    <w:rsid w:val="00863773"/>
    <w:rsid w:val="0086625D"/>
    <w:rsid w:val="00880D77"/>
    <w:rsid w:val="00883D54"/>
    <w:rsid w:val="00895857"/>
    <w:rsid w:val="008A2B62"/>
    <w:rsid w:val="008A3E9A"/>
    <w:rsid w:val="008B5F0F"/>
    <w:rsid w:val="008D55C2"/>
    <w:rsid w:val="008D773F"/>
    <w:rsid w:val="008E17FF"/>
    <w:rsid w:val="008F004B"/>
    <w:rsid w:val="00901350"/>
    <w:rsid w:val="00904CB6"/>
    <w:rsid w:val="0091494F"/>
    <w:rsid w:val="00930307"/>
    <w:rsid w:val="00930959"/>
    <w:rsid w:val="00933B12"/>
    <w:rsid w:val="0093404F"/>
    <w:rsid w:val="00945965"/>
    <w:rsid w:val="00950203"/>
    <w:rsid w:val="00954935"/>
    <w:rsid w:val="009558CD"/>
    <w:rsid w:val="00955E93"/>
    <w:rsid w:val="009562AC"/>
    <w:rsid w:val="0096470C"/>
    <w:rsid w:val="00964E78"/>
    <w:rsid w:val="00972877"/>
    <w:rsid w:val="009760FF"/>
    <w:rsid w:val="0098630A"/>
    <w:rsid w:val="0098715A"/>
    <w:rsid w:val="00994399"/>
    <w:rsid w:val="009943F6"/>
    <w:rsid w:val="00997212"/>
    <w:rsid w:val="009B3158"/>
    <w:rsid w:val="009B7A58"/>
    <w:rsid w:val="009D1B69"/>
    <w:rsid w:val="009D56A5"/>
    <w:rsid w:val="009E002F"/>
    <w:rsid w:val="009F1373"/>
    <w:rsid w:val="009F15CF"/>
    <w:rsid w:val="009F20BE"/>
    <w:rsid w:val="009F6446"/>
    <w:rsid w:val="00A07709"/>
    <w:rsid w:val="00A11D88"/>
    <w:rsid w:val="00A123E4"/>
    <w:rsid w:val="00A1301E"/>
    <w:rsid w:val="00A24F6B"/>
    <w:rsid w:val="00A2588A"/>
    <w:rsid w:val="00A269E4"/>
    <w:rsid w:val="00A30C12"/>
    <w:rsid w:val="00A34F60"/>
    <w:rsid w:val="00A4529A"/>
    <w:rsid w:val="00A520B0"/>
    <w:rsid w:val="00A5435C"/>
    <w:rsid w:val="00A60846"/>
    <w:rsid w:val="00A703A6"/>
    <w:rsid w:val="00A72EBA"/>
    <w:rsid w:val="00A861F5"/>
    <w:rsid w:val="00A91A2C"/>
    <w:rsid w:val="00A966A9"/>
    <w:rsid w:val="00AA6E2E"/>
    <w:rsid w:val="00AA6FF4"/>
    <w:rsid w:val="00AA74F4"/>
    <w:rsid w:val="00AB0E9D"/>
    <w:rsid w:val="00AB2E99"/>
    <w:rsid w:val="00AB3BD9"/>
    <w:rsid w:val="00AB4919"/>
    <w:rsid w:val="00AB77D8"/>
    <w:rsid w:val="00AD3325"/>
    <w:rsid w:val="00AD5EA7"/>
    <w:rsid w:val="00AE5ABD"/>
    <w:rsid w:val="00AF3B10"/>
    <w:rsid w:val="00B027F7"/>
    <w:rsid w:val="00B053F2"/>
    <w:rsid w:val="00B216FF"/>
    <w:rsid w:val="00B278A9"/>
    <w:rsid w:val="00B325D1"/>
    <w:rsid w:val="00B32B17"/>
    <w:rsid w:val="00B40ED6"/>
    <w:rsid w:val="00B44670"/>
    <w:rsid w:val="00B5244F"/>
    <w:rsid w:val="00B722D8"/>
    <w:rsid w:val="00B7302A"/>
    <w:rsid w:val="00B76963"/>
    <w:rsid w:val="00B84417"/>
    <w:rsid w:val="00B962AB"/>
    <w:rsid w:val="00BA4E6B"/>
    <w:rsid w:val="00BB0E60"/>
    <w:rsid w:val="00BC4D82"/>
    <w:rsid w:val="00BC63DE"/>
    <w:rsid w:val="00BE6C88"/>
    <w:rsid w:val="00BF2A84"/>
    <w:rsid w:val="00C01F8F"/>
    <w:rsid w:val="00C0531A"/>
    <w:rsid w:val="00C054F6"/>
    <w:rsid w:val="00C078D5"/>
    <w:rsid w:val="00C10969"/>
    <w:rsid w:val="00C1108B"/>
    <w:rsid w:val="00C12B2A"/>
    <w:rsid w:val="00C255E5"/>
    <w:rsid w:val="00C3105E"/>
    <w:rsid w:val="00C36580"/>
    <w:rsid w:val="00C44D00"/>
    <w:rsid w:val="00C4611B"/>
    <w:rsid w:val="00C55AE7"/>
    <w:rsid w:val="00C61B1A"/>
    <w:rsid w:val="00C75E2C"/>
    <w:rsid w:val="00CA01A2"/>
    <w:rsid w:val="00CC0E17"/>
    <w:rsid w:val="00CC307F"/>
    <w:rsid w:val="00CC44B3"/>
    <w:rsid w:val="00CC68B4"/>
    <w:rsid w:val="00CD0625"/>
    <w:rsid w:val="00CD29AF"/>
    <w:rsid w:val="00CE2A7F"/>
    <w:rsid w:val="00CE7FF6"/>
    <w:rsid w:val="00CF0E4F"/>
    <w:rsid w:val="00D01879"/>
    <w:rsid w:val="00D12E43"/>
    <w:rsid w:val="00D22C0B"/>
    <w:rsid w:val="00D25959"/>
    <w:rsid w:val="00D26905"/>
    <w:rsid w:val="00D317E6"/>
    <w:rsid w:val="00D34BB0"/>
    <w:rsid w:val="00D41E2F"/>
    <w:rsid w:val="00D604AA"/>
    <w:rsid w:val="00D85F8C"/>
    <w:rsid w:val="00D94070"/>
    <w:rsid w:val="00D960A8"/>
    <w:rsid w:val="00DA004A"/>
    <w:rsid w:val="00DA5E34"/>
    <w:rsid w:val="00DB31C2"/>
    <w:rsid w:val="00DB4B25"/>
    <w:rsid w:val="00DC15FD"/>
    <w:rsid w:val="00DD00CD"/>
    <w:rsid w:val="00DD065F"/>
    <w:rsid w:val="00DD290A"/>
    <w:rsid w:val="00DD7D1C"/>
    <w:rsid w:val="00DE3EB3"/>
    <w:rsid w:val="00DE4ED3"/>
    <w:rsid w:val="00DE7D1D"/>
    <w:rsid w:val="00DF55AB"/>
    <w:rsid w:val="00E0558E"/>
    <w:rsid w:val="00E1091C"/>
    <w:rsid w:val="00E20707"/>
    <w:rsid w:val="00E2620E"/>
    <w:rsid w:val="00E414CD"/>
    <w:rsid w:val="00E44D03"/>
    <w:rsid w:val="00E56920"/>
    <w:rsid w:val="00E61CBE"/>
    <w:rsid w:val="00E75C68"/>
    <w:rsid w:val="00E80FEE"/>
    <w:rsid w:val="00E93755"/>
    <w:rsid w:val="00EA1379"/>
    <w:rsid w:val="00EB22DD"/>
    <w:rsid w:val="00EC0138"/>
    <w:rsid w:val="00EC15DE"/>
    <w:rsid w:val="00ED61AB"/>
    <w:rsid w:val="00EF05BD"/>
    <w:rsid w:val="00F02C87"/>
    <w:rsid w:val="00F32A50"/>
    <w:rsid w:val="00F37A6D"/>
    <w:rsid w:val="00F46C47"/>
    <w:rsid w:val="00F549AB"/>
    <w:rsid w:val="00F552C7"/>
    <w:rsid w:val="00F574A5"/>
    <w:rsid w:val="00F72244"/>
    <w:rsid w:val="00F7226D"/>
    <w:rsid w:val="00F81553"/>
    <w:rsid w:val="00F8169F"/>
    <w:rsid w:val="00F82808"/>
    <w:rsid w:val="00F90AF0"/>
    <w:rsid w:val="00FA0A68"/>
    <w:rsid w:val="00FA510D"/>
    <w:rsid w:val="00FB6251"/>
    <w:rsid w:val="00FC0BEE"/>
    <w:rsid w:val="00FD7480"/>
    <w:rsid w:val="00FD7BE3"/>
    <w:rsid w:val="00FE4125"/>
    <w:rsid w:val="00FE5573"/>
    <w:rsid w:val="00FF79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A3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655C"/>
    <w:pPr>
      <w:spacing w:after="240" w:line="360" w:lineRule="auto"/>
      <w:jc w:val="both"/>
    </w:pPr>
    <w:rPr>
      <w:rFonts w:ascii="Times New Roman" w:hAnsi="Times New Roman" w:cs="Times New Roman"/>
      <w:sz w:val="24"/>
      <w:szCs w:val="24"/>
    </w:rPr>
  </w:style>
  <w:style w:type="paragraph" w:styleId="Heading1">
    <w:name w:val="heading 1"/>
    <w:basedOn w:val="Normal"/>
    <w:next w:val="Normal"/>
    <w:link w:val="Heading1Char"/>
    <w:uiPriority w:val="9"/>
    <w:qFormat/>
    <w:rsid w:val="00994399"/>
    <w:pPr>
      <w:keepNext/>
      <w:spacing w:before="480" w:after="120"/>
      <w:outlineLvl w:val="0"/>
    </w:pPr>
    <w:rPr>
      <w:rFonts w:ascii="Arial" w:hAnsi="Arial" w:cs="Arial"/>
      <w:b/>
    </w:rPr>
  </w:style>
  <w:style w:type="paragraph" w:styleId="Heading2">
    <w:name w:val="heading 2"/>
    <w:basedOn w:val="Normal"/>
    <w:next w:val="Normal"/>
    <w:link w:val="Heading2Char"/>
    <w:uiPriority w:val="9"/>
    <w:unhideWhenUsed/>
    <w:qFormat/>
    <w:rsid w:val="00057879"/>
    <w:pPr>
      <w:keepNext/>
      <w:spacing w:before="240" w:after="120"/>
      <w:outlineLvl w:val="1"/>
    </w:pPr>
    <w:rPr>
      <w:rFonts w:ascii="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nhideWhenUsed/>
    <w:rsid w:val="0086625D"/>
    <w:rPr>
      <w:sz w:val="16"/>
      <w:szCs w:val="16"/>
    </w:rPr>
  </w:style>
  <w:style w:type="paragraph" w:styleId="CommentText">
    <w:name w:val="annotation text"/>
    <w:basedOn w:val="Normal"/>
    <w:link w:val="CommentTextChar"/>
    <w:unhideWhenUsed/>
    <w:rsid w:val="0086625D"/>
    <w:pPr>
      <w:spacing w:line="240" w:lineRule="auto"/>
    </w:pPr>
    <w:rPr>
      <w:sz w:val="20"/>
      <w:szCs w:val="20"/>
    </w:rPr>
  </w:style>
  <w:style w:type="character" w:customStyle="1" w:styleId="CommentTextChar">
    <w:name w:val="Comment Text Char"/>
    <w:basedOn w:val="DefaultParagraphFont"/>
    <w:link w:val="CommentText"/>
    <w:uiPriority w:val="99"/>
    <w:rsid w:val="0086625D"/>
    <w:rPr>
      <w:sz w:val="20"/>
      <w:szCs w:val="20"/>
    </w:rPr>
  </w:style>
  <w:style w:type="paragraph" w:styleId="CommentSubject">
    <w:name w:val="annotation subject"/>
    <w:basedOn w:val="CommentText"/>
    <w:next w:val="CommentText"/>
    <w:link w:val="CommentSubjectChar"/>
    <w:uiPriority w:val="99"/>
    <w:semiHidden/>
    <w:unhideWhenUsed/>
    <w:rsid w:val="0086625D"/>
    <w:rPr>
      <w:b/>
      <w:bCs/>
    </w:rPr>
  </w:style>
  <w:style w:type="character" w:customStyle="1" w:styleId="CommentSubjectChar">
    <w:name w:val="Comment Subject Char"/>
    <w:basedOn w:val="CommentTextChar"/>
    <w:link w:val="CommentSubject"/>
    <w:uiPriority w:val="99"/>
    <w:semiHidden/>
    <w:rsid w:val="0086625D"/>
    <w:rPr>
      <w:b/>
      <w:bCs/>
      <w:sz w:val="20"/>
      <w:szCs w:val="20"/>
    </w:rPr>
  </w:style>
  <w:style w:type="paragraph" w:styleId="BalloonText">
    <w:name w:val="Balloon Text"/>
    <w:basedOn w:val="Normal"/>
    <w:link w:val="BalloonTextChar"/>
    <w:uiPriority w:val="99"/>
    <w:semiHidden/>
    <w:unhideWhenUsed/>
    <w:rsid w:val="008662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625D"/>
    <w:rPr>
      <w:rFonts w:ascii="Tahoma" w:hAnsi="Tahoma" w:cs="Tahoma"/>
      <w:sz w:val="16"/>
      <w:szCs w:val="16"/>
    </w:rPr>
  </w:style>
  <w:style w:type="paragraph" w:customStyle="1" w:styleId="EndNoteBibliographyTitle">
    <w:name w:val="EndNote Bibliography Title"/>
    <w:basedOn w:val="Normal"/>
    <w:link w:val="EndNoteBibliographyTitleChar"/>
    <w:rsid w:val="0086625D"/>
    <w:pPr>
      <w:spacing w:after="0"/>
      <w:jc w:val="center"/>
    </w:pPr>
    <w:rPr>
      <w:rFonts w:ascii="Calibri" w:hAnsi="Calibri"/>
      <w:noProof/>
      <w:sz w:val="22"/>
    </w:rPr>
  </w:style>
  <w:style w:type="character" w:customStyle="1" w:styleId="EndNoteBibliographyTitleChar">
    <w:name w:val="EndNote Bibliography Title Char"/>
    <w:basedOn w:val="DefaultParagraphFont"/>
    <w:link w:val="EndNoteBibliographyTitle"/>
    <w:rsid w:val="0086625D"/>
    <w:rPr>
      <w:rFonts w:ascii="Calibri" w:hAnsi="Calibri" w:cs="Times New Roman"/>
      <w:noProof/>
      <w:szCs w:val="24"/>
    </w:rPr>
  </w:style>
  <w:style w:type="paragraph" w:customStyle="1" w:styleId="EndNoteBibliography">
    <w:name w:val="EndNote Bibliography"/>
    <w:basedOn w:val="Normal"/>
    <w:link w:val="EndNoteBibliographyChar"/>
    <w:rsid w:val="003B25CF"/>
    <w:pPr>
      <w:spacing w:line="240" w:lineRule="auto"/>
      <w:ind w:left="567" w:hanging="567"/>
    </w:pPr>
    <w:rPr>
      <w:rFonts w:ascii="Calibri" w:hAnsi="Calibri"/>
      <w:noProof/>
      <w:sz w:val="22"/>
    </w:rPr>
  </w:style>
  <w:style w:type="character" w:customStyle="1" w:styleId="EndNoteBibliographyChar">
    <w:name w:val="EndNote Bibliography Char"/>
    <w:basedOn w:val="DefaultParagraphFont"/>
    <w:link w:val="EndNoteBibliography"/>
    <w:rsid w:val="003B25CF"/>
    <w:rPr>
      <w:rFonts w:ascii="Calibri" w:hAnsi="Calibri" w:cs="Times New Roman"/>
      <w:noProof/>
      <w:szCs w:val="24"/>
    </w:rPr>
  </w:style>
  <w:style w:type="character" w:styleId="LineNumber">
    <w:name w:val="line number"/>
    <w:basedOn w:val="DefaultParagraphFont"/>
    <w:uiPriority w:val="99"/>
    <w:semiHidden/>
    <w:unhideWhenUsed/>
    <w:rsid w:val="0086625D"/>
  </w:style>
  <w:style w:type="character" w:styleId="Hyperlink">
    <w:name w:val="Hyperlink"/>
    <w:basedOn w:val="DefaultParagraphFont"/>
    <w:uiPriority w:val="99"/>
    <w:unhideWhenUsed/>
    <w:rsid w:val="0086625D"/>
    <w:rPr>
      <w:color w:val="0000FF" w:themeColor="hyperlink"/>
      <w:u w:val="single"/>
    </w:rPr>
  </w:style>
  <w:style w:type="paragraph" w:styleId="ListParagraph">
    <w:name w:val="List Paragraph"/>
    <w:basedOn w:val="Normal"/>
    <w:uiPriority w:val="34"/>
    <w:qFormat/>
    <w:rsid w:val="0086625D"/>
    <w:pPr>
      <w:ind w:left="720"/>
      <w:contextualSpacing/>
    </w:pPr>
  </w:style>
  <w:style w:type="paragraph" w:customStyle="1" w:styleId="Paragraph">
    <w:name w:val="Paragraph"/>
    <w:basedOn w:val="Normal"/>
    <w:rsid w:val="0086625D"/>
    <w:pPr>
      <w:spacing w:after="0" w:line="480" w:lineRule="atLeast"/>
      <w:ind w:firstLine="720"/>
    </w:pPr>
    <w:rPr>
      <w:rFonts w:eastAsia="Times New Roman"/>
      <w:lang w:bidi="en-US"/>
    </w:rPr>
  </w:style>
  <w:style w:type="character" w:customStyle="1" w:styleId="Heading2Char">
    <w:name w:val="Heading 2 Char"/>
    <w:basedOn w:val="DefaultParagraphFont"/>
    <w:link w:val="Heading2"/>
    <w:uiPriority w:val="9"/>
    <w:rsid w:val="00057879"/>
    <w:rPr>
      <w:rFonts w:ascii="Arial" w:hAnsi="Arial" w:cs="Arial"/>
      <w:b/>
      <w:sz w:val="20"/>
      <w:szCs w:val="20"/>
    </w:rPr>
  </w:style>
  <w:style w:type="character" w:customStyle="1" w:styleId="Heading1Char">
    <w:name w:val="Heading 1 Char"/>
    <w:basedOn w:val="DefaultParagraphFont"/>
    <w:link w:val="Heading1"/>
    <w:uiPriority w:val="9"/>
    <w:rsid w:val="00994399"/>
    <w:rPr>
      <w:rFonts w:ascii="Arial" w:hAnsi="Arial" w:cs="Arial"/>
      <w:b/>
      <w:sz w:val="24"/>
      <w:szCs w:val="24"/>
    </w:rPr>
  </w:style>
  <w:style w:type="paragraph" w:customStyle="1" w:styleId="Tables">
    <w:name w:val="Tables"/>
    <w:basedOn w:val="Normal"/>
    <w:qFormat/>
    <w:rsid w:val="002F55C1"/>
    <w:pPr>
      <w:outlineLvl w:val="1"/>
    </w:pPr>
  </w:style>
  <w:style w:type="paragraph" w:customStyle="1" w:styleId="Figures">
    <w:name w:val="Figures"/>
    <w:basedOn w:val="Normal"/>
    <w:qFormat/>
    <w:rsid w:val="000D4561"/>
    <w:pPr>
      <w:spacing w:after="0"/>
      <w:outlineLvl w:val="1"/>
    </w:pPr>
    <w:rPr>
      <w:rFonts w:ascii="Arial" w:hAnsi="Arial"/>
    </w:rPr>
  </w:style>
  <w:style w:type="paragraph" w:styleId="Title">
    <w:name w:val="Title"/>
    <w:basedOn w:val="Heading1"/>
    <w:next w:val="Normal"/>
    <w:link w:val="TitleChar"/>
    <w:uiPriority w:val="10"/>
    <w:qFormat/>
    <w:rsid w:val="005B2A70"/>
  </w:style>
  <w:style w:type="character" w:customStyle="1" w:styleId="TitleChar">
    <w:name w:val="Title Char"/>
    <w:basedOn w:val="DefaultParagraphFont"/>
    <w:link w:val="Title"/>
    <w:uiPriority w:val="10"/>
    <w:rsid w:val="005B2A70"/>
    <w:rPr>
      <w:rFonts w:ascii="Arial" w:hAnsi="Arial" w:cs="Arial"/>
      <w:b/>
      <w:sz w:val="24"/>
      <w:szCs w:val="24"/>
    </w:rPr>
  </w:style>
  <w:style w:type="character" w:styleId="FollowedHyperlink">
    <w:name w:val="FollowedHyperlink"/>
    <w:basedOn w:val="DefaultParagraphFont"/>
    <w:uiPriority w:val="99"/>
    <w:semiHidden/>
    <w:unhideWhenUsed/>
    <w:rsid w:val="00FD7BE3"/>
    <w:rPr>
      <w:color w:val="800080" w:themeColor="followedHyperlink"/>
      <w:u w:val="single"/>
    </w:rPr>
  </w:style>
  <w:style w:type="character" w:customStyle="1" w:styleId="DefaultParagraphFont2">
    <w:name w:val="Default Paragraph Font2"/>
    <w:rsid w:val="001D1F51"/>
  </w:style>
  <w:style w:type="paragraph" w:customStyle="1" w:styleId="Normal2">
    <w:name w:val="Normal2"/>
    <w:link w:val="Normal2Char"/>
    <w:rsid w:val="00880D77"/>
    <w:pPr>
      <w:tabs>
        <w:tab w:val="left" w:pos="709"/>
      </w:tabs>
      <w:suppressAutoHyphens/>
      <w:spacing w:before="120" w:after="120" w:line="480" w:lineRule="auto"/>
    </w:pPr>
    <w:rPr>
      <w:rFonts w:ascii="Times New Roman" w:eastAsia="Times New Roman" w:hAnsi="Times New Roman" w:cs="Times New Roman"/>
      <w:sz w:val="24"/>
      <w:szCs w:val="24"/>
      <w:lang w:val="de-DE" w:eastAsia="zh-CN"/>
    </w:rPr>
  </w:style>
  <w:style w:type="character" w:customStyle="1" w:styleId="Normal2Char">
    <w:name w:val="Normal2 Char"/>
    <w:basedOn w:val="DefaultParagraphFont"/>
    <w:link w:val="Normal2"/>
    <w:rsid w:val="00880D77"/>
    <w:rPr>
      <w:rFonts w:ascii="Times New Roman" w:eastAsia="Times New Roman" w:hAnsi="Times New Roman" w:cs="Times New Roman"/>
      <w:sz w:val="24"/>
      <w:szCs w:val="24"/>
      <w:lang w:val="de-DE" w:eastAsia="zh-CN"/>
    </w:rPr>
  </w:style>
  <w:style w:type="paragraph" w:styleId="Revision">
    <w:name w:val="Revision"/>
    <w:hidden/>
    <w:uiPriority w:val="99"/>
    <w:semiHidden/>
    <w:rsid w:val="00E1091C"/>
    <w:pPr>
      <w:spacing w:after="0" w:line="240" w:lineRule="auto"/>
    </w:pPr>
    <w:rPr>
      <w:rFonts w:ascii="Times New Roman" w:hAnsi="Times New Roman" w:cs="Times New Roman"/>
      <w:sz w:val="24"/>
      <w:szCs w:val="24"/>
    </w:rPr>
  </w:style>
  <w:style w:type="character" w:styleId="Emphasis">
    <w:name w:val="Emphasis"/>
    <w:uiPriority w:val="20"/>
    <w:qFormat/>
    <w:rsid w:val="00364780"/>
    <w:rPr>
      <w:i/>
    </w:rPr>
  </w:style>
  <w:style w:type="paragraph" w:customStyle="1" w:styleId="Normal1">
    <w:name w:val="Normal1"/>
    <w:basedOn w:val="Normal2"/>
    <w:link w:val="NormalChar"/>
    <w:qFormat/>
    <w:rsid w:val="00364780"/>
    <w:pPr>
      <w:spacing w:after="0" w:line="360" w:lineRule="auto"/>
      <w:jc w:val="both"/>
    </w:pPr>
    <w:rPr>
      <w:lang w:bidi="en-US"/>
    </w:rPr>
  </w:style>
  <w:style w:type="character" w:customStyle="1" w:styleId="NormalChar">
    <w:name w:val="Normal Char"/>
    <w:basedOn w:val="Normal2Char"/>
    <w:link w:val="Normal1"/>
    <w:rsid w:val="00364780"/>
    <w:rPr>
      <w:rFonts w:ascii="Times New Roman" w:eastAsia="Times New Roman" w:hAnsi="Times New Roman" w:cs="Times New Roman"/>
      <w:sz w:val="24"/>
      <w:szCs w:val="24"/>
      <w:lang w:val="de-DE" w:eastAsia="zh-CN" w:bidi="en-US"/>
    </w:rPr>
  </w:style>
  <w:style w:type="character" w:customStyle="1" w:styleId="smallcaps">
    <w:name w:val="smallcaps"/>
    <w:basedOn w:val="DefaultParagraphFont"/>
    <w:rsid w:val="00364780"/>
  </w:style>
  <w:style w:type="paragraph" w:styleId="DocumentMap">
    <w:name w:val="Document Map"/>
    <w:basedOn w:val="Normal"/>
    <w:link w:val="DocumentMapChar"/>
    <w:uiPriority w:val="99"/>
    <w:semiHidden/>
    <w:unhideWhenUsed/>
    <w:rsid w:val="00FC0BEE"/>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C0BEE"/>
    <w:rPr>
      <w:rFonts w:ascii="Tahoma" w:hAnsi="Tahoma" w:cs="Tahoma"/>
      <w:sz w:val="16"/>
      <w:szCs w:val="16"/>
    </w:rPr>
  </w:style>
  <w:style w:type="paragraph" w:customStyle="1" w:styleId="CVRefs">
    <w:name w:val="CV_Refs"/>
    <w:basedOn w:val="Normal"/>
    <w:qFormat/>
    <w:rsid w:val="00CE2A7F"/>
    <w:pPr>
      <w:spacing w:after="200" w:line="276" w:lineRule="auto"/>
      <w:ind w:left="709" w:hanging="709"/>
      <w:jc w:val="left"/>
    </w:pPr>
    <w:rPr>
      <w:rFonts w:asciiTheme="minorHAnsi" w:hAnsiTheme="minorHAnsi" w:cstheme="minorBidi"/>
      <w:b/>
      <w:sz w:val="22"/>
      <w:szCs w:val="22"/>
      <w:lang w:val="de-DE"/>
    </w:rPr>
  </w:style>
  <w:style w:type="paragraph" w:styleId="NormalWeb">
    <w:name w:val="Normal (Web)"/>
    <w:basedOn w:val="Normal"/>
    <w:uiPriority w:val="99"/>
    <w:unhideWhenUsed/>
    <w:rsid w:val="00B722D8"/>
    <w:pPr>
      <w:spacing w:before="100" w:beforeAutospacing="1" w:after="100" w:afterAutospacing="1" w:line="240" w:lineRule="auto"/>
      <w:jc w:val="left"/>
    </w:pPr>
    <w:rPr>
      <w:rFonts w:eastAsiaTheme="minorEastAsia"/>
      <w:lang w:val="de-DE"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655C"/>
    <w:pPr>
      <w:spacing w:after="240" w:line="360" w:lineRule="auto"/>
      <w:jc w:val="both"/>
    </w:pPr>
    <w:rPr>
      <w:rFonts w:ascii="Times New Roman" w:hAnsi="Times New Roman" w:cs="Times New Roman"/>
      <w:sz w:val="24"/>
      <w:szCs w:val="24"/>
    </w:rPr>
  </w:style>
  <w:style w:type="paragraph" w:styleId="Heading1">
    <w:name w:val="heading 1"/>
    <w:basedOn w:val="Normal"/>
    <w:next w:val="Normal"/>
    <w:link w:val="Heading1Char"/>
    <w:uiPriority w:val="9"/>
    <w:qFormat/>
    <w:rsid w:val="00994399"/>
    <w:pPr>
      <w:keepNext/>
      <w:spacing w:before="480" w:after="120"/>
      <w:outlineLvl w:val="0"/>
    </w:pPr>
    <w:rPr>
      <w:rFonts w:ascii="Arial" w:hAnsi="Arial" w:cs="Arial"/>
      <w:b/>
    </w:rPr>
  </w:style>
  <w:style w:type="paragraph" w:styleId="Heading2">
    <w:name w:val="heading 2"/>
    <w:basedOn w:val="Normal"/>
    <w:next w:val="Normal"/>
    <w:link w:val="Heading2Char"/>
    <w:uiPriority w:val="9"/>
    <w:unhideWhenUsed/>
    <w:qFormat/>
    <w:rsid w:val="00057879"/>
    <w:pPr>
      <w:keepNext/>
      <w:spacing w:before="240" w:after="120"/>
      <w:outlineLvl w:val="1"/>
    </w:pPr>
    <w:rPr>
      <w:rFonts w:ascii="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nhideWhenUsed/>
    <w:rsid w:val="0086625D"/>
    <w:rPr>
      <w:sz w:val="16"/>
      <w:szCs w:val="16"/>
    </w:rPr>
  </w:style>
  <w:style w:type="paragraph" w:styleId="CommentText">
    <w:name w:val="annotation text"/>
    <w:basedOn w:val="Normal"/>
    <w:link w:val="CommentTextChar"/>
    <w:unhideWhenUsed/>
    <w:rsid w:val="0086625D"/>
    <w:pPr>
      <w:spacing w:line="240" w:lineRule="auto"/>
    </w:pPr>
    <w:rPr>
      <w:sz w:val="20"/>
      <w:szCs w:val="20"/>
    </w:rPr>
  </w:style>
  <w:style w:type="character" w:customStyle="1" w:styleId="CommentTextChar">
    <w:name w:val="Comment Text Char"/>
    <w:basedOn w:val="DefaultParagraphFont"/>
    <w:link w:val="CommentText"/>
    <w:uiPriority w:val="99"/>
    <w:rsid w:val="0086625D"/>
    <w:rPr>
      <w:sz w:val="20"/>
      <w:szCs w:val="20"/>
    </w:rPr>
  </w:style>
  <w:style w:type="paragraph" w:styleId="CommentSubject">
    <w:name w:val="annotation subject"/>
    <w:basedOn w:val="CommentText"/>
    <w:next w:val="CommentText"/>
    <w:link w:val="CommentSubjectChar"/>
    <w:uiPriority w:val="99"/>
    <w:semiHidden/>
    <w:unhideWhenUsed/>
    <w:rsid w:val="0086625D"/>
    <w:rPr>
      <w:b/>
      <w:bCs/>
    </w:rPr>
  </w:style>
  <w:style w:type="character" w:customStyle="1" w:styleId="CommentSubjectChar">
    <w:name w:val="Comment Subject Char"/>
    <w:basedOn w:val="CommentTextChar"/>
    <w:link w:val="CommentSubject"/>
    <w:uiPriority w:val="99"/>
    <w:semiHidden/>
    <w:rsid w:val="0086625D"/>
    <w:rPr>
      <w:b/>
      <w:bCs/>
      <w:sz w:val="20"/>
      <w:szCs w:val="20"/>
    </w:rPr>
  </w:style>
  <w:style w:type="paragraph" w:styleId="BalloonText">
    <w:name w:val="Balloon Text"/>
    <w:basedOn w:val="Normal"/>
    <w:link w:val="BalloonTextChar"/>
    <w:uiPriority w:val="99"/>
    <w:semiHidden/>
    <w:unhideWhenUsed/>
    <w:rsid w:val="008662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625D"/>
    <w:rPr>
      <w:rFonts w:ascii="Tahoma" w:hAnsi="Tahoma" w:cs="Tahoma"/>
      <w:sz w:val="16"/>
      <w:szCs w:val="16"/>
    </w:rPr>
  </w:style>
  <w:style w:type="paragraph" w:customStyle="1" w:styleId="EndNoteBibliographyTitle">
    <w:name w:val="EndNote Bibliography Title"/>
    <w:basedOn w:val="Normal"/>
    <w:link w:val="EndNoteBibliographyTitleChar"/>
    <w:rsid w:val="0086625D"/>
    <w:pPr>
      <w:spacing w:after="0"/>
      <w:jc w:val="center"/>
    </w:pPr>
    <w:rPr>
      <w:rFonts w:ascii="Calibri" w:hAnsi="Calibri"/>
      <w:noProof/>
      <w:sz w:val="22"/>
    </w:rPr>
  </w:style>
  <w:style w:type="character" w:customStyle="1" w:styleId="EndNoteBibliographyTitleChar">
    <w:name w:val="EndNote Bibliography Title Char"/>
    <w:basedOn w:val="DefaultParagraphFont"/>
    <w:link w:val="EndNoteBibliographyTitle"/>
    <w:rsid w:val="0086625D"/>
    <w:rPr>
      <w:rFonts w:ascii="Calibri" w:hAnsi="Calibri" w:cs="Times New Roman"/>
      <w:noProof/>
      <w:szCs w:val="24"/>
    </w:rPr>
  </w:style>
  <w:style w:type="paragraph" w:customStyle="1" w:styleId="EndNoteBibliography">
    <w:name w:val="EndNote Bibliography"/>
    <w:basedOn w:val="Normal"/>
    <w:link w:val="EndNoteBibliographyChar"/>
    <w:rsid w:val="003B25CF"/>
    <w:pPr>
      <w:spacing w:line="240" w:lineRule="auto"/>
      <w:ind w:left="567" w:hanging="567"/>
    </w:pPr>
    <w:rPr>
      <w:rFonts w:ascii="Calibri" w:hAnsi="Calibri"/>
      <w:noProof/>
      <w:sz w:val="22"/>
    </w:rPr>
  </w:style>
  <w:style w:type="character" w:customStyle="1" w:styleId="EndNoteBibliographyChar">
    <w:name w:val="EndNote Bibliography Char"/>
    <w:basedOn w:val="DefaultParagraphFont"/>
    <w:link w:val="EndNoteBibliography"/>
    <w:rsid w:val="003B25CF"/>
    <w:rPr>
      <w:rFonts w:ascii="Calibri" w:hAnsi="Calibri" w:cs="Times New Roman"/>
      <w:noProof/>
      <w:szCs w:val="24"/>
    </w:rPr>
  </w:style>
  <w:style w:type="character" w:styleId="LineNumber">
    <w:name w:val="line number"/>
    <w:basedOn w:val="DefaultParagraphFont"/>
    <w:uiPriority w:val="99"/>
    <w:semiHidden/>
    <w:unhideWhenUsed/>
    <w:rsid w:val="0086625D"/>
  </w:style>
  <w:style w:type="character" w:styleId="Hyperlink">
    <w:name w:val="Hyperlink"/>
    <w:basedOn w:val="DefaultParagraphFont"/>
    <w:uiPriority w:val="99"/>
    <w:unhideWhenUsed/>
    <w:rsid w:val="0086625D"/>
    <w:rPr>
      <w:color w:val="0000FF" w:themeColor="hyperlink"/>
      <w:u w:val="single"/>
    </w:rPr>
  </w:style>
  <w:style w:type="paragraph" w:styleId="ListParagraph">
    <w:name w:val="List Paragraph"/>
    <w:basedOn w:val="Normal"/>
    <w:uiPriority w:val="34"/>
    <w:qFormat/>
    <w:rsid w:val="0086625D"/>
    <w:pPr>
      <w:ind w:left="720"/>
      <w:contextualSpacing/>
    </w:pPr>
  </w:style>
  <w:style w:type="paragraph" w:customStyle="1" w:styleId="Paragraph">
    <w:name w:val="Paragraph"/>
    <w:basedOn w:val="Normal"/>
    <w:rsid w:val="0086625D"/>
    <w:pPr>
      <w:spacing w:after="0" w:line="480" w:lineRule="atLeast"/>
      <w:ind w:firstLine="720"/>
    </w:pPr>
    <w:rPr>
      <w:rFonts w:eastAsia="Times New Roman"/>
      <w:lang w:bidi="en-US"/>
    </w:rPr>
  </w:style>
  <w:style w:type="character" w:customStyle="1" w:styleId="Heading2Char">
    <w:name w:val="Heading 2 Char"/>
    <w:basedOn w:val="DefaultParagraphFont"/>
    <w:link w:val="Heading2"/>
    <w:uiPriority w:val="9"/>
    <w:rsid w:val="00057879"/>
    <w:rPr>
      <w:rFonts w:ascii="Arial" w:hAnsi="Arial" w:cs="Arial"/>
      <w:b/>
      <w:sz w:val="20"/>
      <w:szCs w:val="20"/>
    </w:rPr>
  </w:style>
  <w:style w:type="character" w:customStyle="1" w:styleId="Heading1Char">
    <w:name w:val="Heading 1 Char"/>
    <w:basedOn w:val="DefaultParagraphFont"/>
    <w:link w:val="Heading1"/>
    <w:uiPriority w:val="9"/>
    <w:rsid w:val="00994399"/>
    <w:rPr>
      <w:rFonts w:ascii="Arial" w:hAnsi="Arial" w:cs="Arial"/>
      <w:b/>
      <w:sz w:val="24"/>
      <w:szCs w:val="24"/>
    </w:rPr>
  </w:style>
  <w:style w:type="paragraph" w:customStyle="1" w:styleId="Tables">
    <w:name w:val="Tables"/>
    <w:basedOn w:val="Normal"/>
    <w:qFormat/>
    <w:rsid w:val="002F55C1"/>
    <w:pPr>
      <w:outlineLvl w:val="1"/>
    </w:pPr>
  </w:style>
  <w:style w:type="paragraph" w:customStyle="1" w:styleId="Figures">
    <w:name w:val="Figures"/>
    <w:basedOn w:val="Normal"/>
    <w:qFormat/>
    <w:rsid w:val="000D4561"/>
    <w:pPr>
      <w:spacing w:after="0"/>
      <w:outlineLvl w:val="1"/>
    </w:pPr>
    <w:rPr>
      <w:rFonts w:ascii="Arial" w:hAnsi="Arial"/>
    </w:rPr>
  </w:style>
  <w:style w:type="paragraph" w:styleId="Title">
    <w:name w:val="Title"/>
    <w:basedOn w:val="Heading1"/>
    <w:next w:val="Normal"/>
    <w:link w:val="TitleChar"/>
    <w:uiPriority w:val="10"/>
    <w:qFormat/>
    <w:rsid w:val="005B2A70"/>
  </w:style>
  <w:style w:type="character" w:customStyle="1" w:styleId="TitleChar">
    <w:name w:val="Title Char"/>
    <w:basedOn w:val="DefaultParagraphFont"/>
    <w:link w:val="Title"/>
    <w:uiPriority w:val="10"/>
    <w:rsid w:val="005B2A70"/>
    <w:rPr>
      <w:rFonts w:ascii="Arial" w:hAnsi="Arial" w:cs="Arial"/>
      <w:b/>
      <w:sz w:val="24"/>
      <w:szCs w:val="24"/>
    </w:rPr>
  </w:style>
  <w:style w:type="character" w:styleId="FollowedHyperlink">
    <w:name w:val="FollowedHyperlink"/>
    <w:basedOn w:val="DefaultParagraphFont"/>
    <w:uiPriority w:val="99"/>
    <w:semiHidden/>
    <w:unhideWhenUsed/>
    <w:rsid w:val="00FD7BE3"/>
    <w:rPr>
      <w:color w:val="800080" w:themeColor="followedHyperlink"/>
      <w:u w:val="single"/>
    </w:rPr>
  </w:style>
  <w:style w:type="character" w:customStyle="1" w:styleId="DefaultParagraphFont2">
    <w:name w:val="Default Paragraph Font2"/>
    <w:rsid w:val="001D1F51"/>
  </w:style>
  <w:style w:type="paragraph" w:customStyle="1" w:styleId="Normal2">
    <w:name w:val="Normal2"/>
    <w:link w:val="Normal2Char"/>
    <w:rsid w:val="00880D77"/>
    <w:pPr>
      <w:tabs>
        <w:tab w:val="left" w:pos="709"/>
      </w:tabs>
      <w:suppressAutoHyphens/>
      <w:spacing w:before="120" w:after="120" w:line="480" w:lineRule="auto"/>
    </w:pPr>
    <w:rPr>
      <w:rFonts w:ascii="Times New Roman" w:eastAsia="Times New Roman" w:hAnsi="Times New Roman" w:cs="Times New Roman"/>
      <w:sz w:val="24"/>
      <w:szCs w:val="24"/>
      <w:lang w:val="de-DE" w:eastAsia="zh-CN"/>
    </w:rPr>
  </w:style>
  <w:style w:type="character" w:customStyle="1" w:styleId="Normal2Char">
    <w:name w:val="Normal2 Char"/>
    <w:basedOn w:val="DefaultParagraphFont"/>
    <w:link w:val="Normal2"/>
    <w:rsid w:val="00880D77"/>
    <w:rPr>
      <w:rFonts w:ascii="Times New Roman" w:eastAsia="Times New Roman" w:hAnsi="Times New Roman" w:cs="Times New Roman"/>
      <w:sz w:val="24"/>
      <w:szCs w:val="24"/>
      <w:lang w:val="de-DE" w:eastAsia="zh-CN"/>
    </w:rPr>
  </w:style>
  <w:style w:type="paragraph" w:styleId="Revision">
    <w:name w:val="Revision"/>
    <w:hidden/>
    <w:uiPriority w:val="99"/>
    <w:semiHidden/>
    <w:rsid w:val="00E1091C"/>
    <w:pPr>
      <w:spacing w:after="0" w:line="240" w:lineRule="auto"/>
    </w:pPr>
    <w:rPr>
      <w:rFonts w:ascii="Times New Roman" w:hAnsi="Times New Roman" w:cs="Times New Roman"/>
      <w:sz w:val="24"/>
      <w:szCs w:val="24"/>
    </w:rPr>
  </w:style>
  <w:style w:type="character" w:styleId="Emphasis">
    <w:name w:val="Emphasis"/>
    <w:uiPriority w:val="20"/>
    <w:qFormat/>
    <w:rsid w:val="00364780"/>
    <w:rPr>
      <w:i/>
    </w:rPr>
  </w:style>
  <w:style w:type="paragraph" w:customStyle="1" w:styleId="Normal1">
    <w:name w:val="Normal1"/>
    <w:basedOn w:val="Normal2"/>
    <w:link w:val="NormalChar"/>
    <w:qFormat/>
    <w:rsid w:val="00364780"/>
    <w:pPr>
      <w:spacing w:after="0" w:line="360" w:lineRule="auto"/>
      <w:jc w:val="both"/>
    </w:pPr>
    <w:rPr>
      <w:lang w:bidi="en-US"/>
    </w:rPr>
  </w:style>
  <w:style w:type="character" w:customStyle="1" w:styleId="NormalChar">
    <w:name w:val="Normal Char"/>
    <w:basedOn w:val="Normal2Char"/>
    <w:link w:val="Normal1"/>
    <w:rsid w:val="00364780"/>
    <w:rPr>
      <w:rFonts w:ascii="Times New Roman" w:eastAsia="Times New Roman" w:hAnsi="Times New Roman" w:cs="Times New Roman"/>
      <w:sz w:val="24"/>
      <w:szCs w:val="24"/>
      <w:lang w:val="de-DE" w:eastAsia="zh-CN" w:bidi="en-US"/>
    </w:rPr>
  </w:style>
  <w:style w:type="character" w:customStyle="1" w:styleId="smallcaps">
    <w:name w:val="smallcaps"/>
    <w:basedOn w:val="DefaultParagraphFont"/>
    <w:rsid w:val="00364780"/>
  </w:style>
  <w:style w:type="paragraph" w:styleId="DocumentMap">
    <w:name w:val="Document Map"/>
    <w:basedOn w:val="Normal"/>
    <w:link w:val="DocumentMapChar"/>
    <w:uiPriority w:val="99"/>
    <w:semiHidden/>
    <w:unhideWhenUsed/>
    <w:rsid w:val="00FC0BEE"/>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C0BEE"/>
    <w:rPr>
      <w:rFonts w:ascii="Tahoma" w:hAnsi="Tahoma" w:cs="Tahoma"/>
      <w:sz w:val="16"/>
      <w:szCs w:val="16"/>
    </w:rPr>
  </w:style>
  <w:style w:type="paragraph" w:customStyle="1" w:styleId="CVRefs">
    <w:name w:val="CV_Refs"/>
    <w:basedOn w:val="Normal"/>
    <w:qFormat/>
    <w:rsid w:val="00CE2A7F"/>
    <w:pPr>
      <w:spacing w:after="200" w:line="276" w:lineRule="auto"/>
      <w:ind w:left="709" w:hanging="709"/>
      <w:jc w:val="left"/>
    </w:pPr>
    <w:rPr>
      <w:rFonts w:asciiTheme="minorHAnsi" w:hAnsiTheme="minorHAnsi" w:cstheme="minorBidi"/>
      <w:b/>
      <w:sz w:val="22"/>
      <w:szCs w:val="22"/>
      <w:lang w:val="de-DE"/>
    </w:rPr>
  </w:style>
  <w:style w:type="paragraph" w:styleId="NormalWeb">
    <w:name w:val="Normal (Web)"/>
    <w:basedOn w:val="Normal"/>
    <w:uiPriority w:val="99"/>
    <w:unhideWhenUsed/>
    <w:rsid w:val="00B722D8"/>
    <w:pPr>
      <w:spacing w:before="100" w:beforeAutospacing="1" w:after="100" w:afterAutospacing="1" w:line="240" w:lineRule="auto"/>
      <w:jc w:val="left"/>
    </w:pPr>
    <w:rPr>
      <w:rFonts w:eastAsiaTheme="minorEastAsia"/>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9345220">
      <w:bodyDiv w:val="1"/>
      <w:marLeft w:val="0"/>
      <w:marRight w:val="0"/>
      <w:marTop w:val="0"/>
      <w:marBottom w:val="0"/>
      <w:divBdr>
        <w:top w:val="none" w:sz="0" w:space="0" w:color="auto"/>
        <w:left w:val="none" w:sz="0" w:space="0" w:color="auto"/>
        <w:bottom w:val="none" w:sz="0" w:space="0" w:color="auto"/>
        <w:right w:val="none" w:sz="0" w:space="0" w:color="auto"/>
      </w:divBdr>
      <w:divsChild>
        <w:div w:id="1807090296">
          <w:marLeft w:val="0"/>
          <w:marRight w:val="0"/>
          <w:marTop w:val="0"/>
          <w:marBottom w:val="0"/>
          <w:divBdr>
            <w:top w:val="none" w:sz="0" w:space="0" w:color="auto"/>
            <w:left w:val="none" w:sz="0" w:space="0" w:color="auto"/>
            <w:bottom w:val="none" w:sz="0" w:space="0" w:color="auto"/>
            <w:right w:val="none" w:sz="0" w:space="0" w:color="auto"/>
          </w:divBdr>
          <w:divsChild>
            <w:div w:id="9641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604058">
      <w:bodyDiv w:val="1"/>
      <w:marLeft w:val="0"/>
      <w:marRight w:val="0"/>
      <w:marTop w:val="0"/>
      <w:marBottom w:val="0"/>
      <w:divBdr>
        <w:top w:val="none" w:sz="0" w:space="0" w:color="auto"/>
        <w:left w:val="none" w:sz="0" w:space="0" w:color="auto"/>
        <w:bottom w:val="none" w:sz="0" w:space="0" w:color="auto"/>
        <w:right w:val="none" w:sz="0" w:space="0" w:color="auto"/>
      </w:divBdr>
    </w:div>
    <w:div w:id="1128162385">
      <w:bodyDiv w:val="1"/>
      <w:marLeft w:val="0"/>
      <w:marRight w:val="0"/>
      <w:marTop w:val="0"/>
      <w:marBottom w:val="0"/>
      <w:divBdr>
        <w:top w:val="none" w:sz="0" w:space="0" w:color="auto"/>
        <w:left w:val="none" w:sz="0" w:space="0" w:color="auto"/>
        <w:bottom w:val="none" w:sz="0" w:space="0" w:color="auto"/>
        <w:right w:val="none" w:sz="0" w:space="0" w:color="auto"/>
      </w:divBdr>
      <w:divsChild>
        <w:div w:id="507253736">
          <w:marLeft w:val="0"/>
          <w:marRight w:val="0"/>
          <w:marTop w:val="0"/>
          <w:marBottom w:val="0"/>
          <w:divBdr>
            <w:top w:val="none" w:sz="0" w:space="0" w:color="auto"/>
            <w:left w:val="none" w:sz="0" w:space="0" w:color="auto"/>
            <w:bottom w:val="none" w:sz="0" w:space="0" w:color="auto"/>
            <w:right w:val="none" w:sz="0" w:space="0" w:color="auto"/>
          </w:divBdr>
          <w:divsChild>
            <w:div w:id="816728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microsoft.com/office/2011/relationships/people" Target="people.xml"/><Relationship Id="rId4" Type="http://schemas.microsoft.com/office/2007/relationships/stylesWithEffects" Target="stylesWithEffect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8D193D-8172-4BE8-9B4D-463FDE06A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4716</Words>
  <Characters>29714</Characters>
  <Application>Microsoft Office Word</Application>
  <DocSecurity>0</DocSecurity>
  <Lines>247</Lines>
  <Paragraphs>68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MPI</Company>
  <LinksUpToDate>false</LinksUpToDate>
  <CharactersWithSpaces>34362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Rossmassler</dc:creator>
  <cp:lastModifiedBy>Brune</cp:lastModifiedBy>
  <cp:revision>4</cp:revision>
  <cp:lastPrinted>2015-02-20T14:50:00Z</cp:lastPrinted>
  <dcterms:created xsi:type="dcterms:W3CDTF">2015-07-15T20:05:00Z</dcterms:created>
  <dcterms:modified xsi:type="dcterms:W3CDTF">2015-07-15T20:08:00Z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carsten.dietrich@gmail.com@www.mendeley.com</vt:lpwstr>
  </property>
  <property fmtid="{D5CDD505-2E9C-101B-9397-08002B2CF9AE}" pid="4" name="Mendeley Citation Style_1">
    <vt:lpwstr>http://www.zotero.org/styles/microbiome</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6th edition</vt:lpwstr>
  </property>
  <property fmtid="{D5CDD505-2E9C-101B-9397-08002B2CF9AE}" pid="7" name="Mendeley Recent Style Id 1_1">
    <vt:lpwstr>http://www.zotero.org/styles/american-society-for-microbiology</vt:lpwstr>
  </property>
  <property fmtid="{D5CDD505-2E9C-101B-9397-08002B2CF9AE}" pid="8" name="Mendeley Recent Style Name 1_1">
    <vt:lpwstr>American Society for Microbiology</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16th edition (author-date)</vt:lpwstr>
  </property>
  <property fmtid="{D5CDD505-2E9C-101B-9397-08002B2CF9AE}" pid="11" name="Mendeley Recent Style Id 3_1">
    <vt:lpwstr>http://www.zotero.org/styles/environmental-microbiology</vt:lpwstr>
  </property>
  <property fmtid="{D5CDD505-2E9C-101B-9397-08002B2CF9AE}" pid="12" name="Mendeley Recent Style Name 3_1">
    <vt:lpwstr>Environmental Microbiology</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http://www.zotero.org/styles/microbiome</vt:lpwstr>
  </property>
  <property fmtid="{D5CDD505-2E9C-101B-9397-08002B2CF9AE}" pid="18" name="Mendeley Recent Style Name 6_1">
    <vt:lpwstr>Microbiome</vt:lpwstr>
  </property>
  <property fmtid="{D5CDD505-2E9C-101B-9397-08002B2CF9AE}" pid="19" name="Mendeley Recent Style Id 7_1">
    <vt:lpwstr>http://www.zotero.org/styles/mhra</vt:lpwstr>
  </property>
  <property fmtid="{D5CDD505-2E9C-101B-9397-08002B2CF9AE}" pid="20" name="Mendeley Recent Style Name 7_1">
    <vt:lpwstr>Modern Humanities Research Association (note with bibliography)</vt:lpwstr>
  </property>
  <property fmtid="{D5CDD505-2E9C-101B-9397-08002B2CF9AE}" pid="21" name="Mendeley Recent Style Id 8_1">
    <vt:lpwstr>http://www.zotero.org/styles/mla</vt:lpwstr>
  </property>
  <property fmtid="{D5CDD505-2E9C-101B-9397-08002B2CF9AE}" pid="22" name="Mendeley Recent Style Name 8_1">
    <vt:lpwstr>Modern Language Association</vt:lpwstr>
  </property>
  <property fmtid="{D5CDD505-2E9C-101B-9397-08002B2CF9AE}" pid="23" name="Mendeley Recent Style Id 9_1">
    <vt:lpwstr>http://www.zotero.org/styles/mbio</vt:lpwstr>
  </property>
  <property fmtid="{D5CDD505-2E9C-101B-9397-08002B2CF9AE}" pid="24" name="Mendeley Recent Style Name 9_1">
    <vt:lpwstr>mBio</vt:lpwstr>
  </property>
</Properties>
</file>