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F3" w:rsidRPr="00C06BB1" w:rsidRDefault="00DF3D96">
      <w:pPr>
        <w:rPr>
          <w:rFonts w:ascii="Arial" w:hAnsi="Arial" w:cs="Arial"/>
          <w:b/>
          <w:sz w:val="22"/>
          <w:szCs w:val="22"/>
        </w:rPr>
      </w:pPr>
      <w:r w:rsidRPr="00C06BB1">
        <w:rPr>
          <w:rFonts w:ascii="Arial" w:hAnsi="Arial" w:cs="Arial"/>
          <w:b/>
          <w:sz w:val="22"/>
          <w:szCs w:val="22"/>
        </w:rPr>
        <w:t>Work Flow</w:t>
      </w:r>
    </w:p>
    <w:p w:rsidR="00DF3D96" w:rsidRPr="00C06BB1" w:rsidRDefault="00DF3D96">
      <w:pPr>
        <w:rPr>
          <w:rFonts w:ascii="Arial" w:hAnsi="Arial" w:cs="Arial"/>
          <w:sz w:val="22"/>
          <w:szCs w:val="22"/>
        </w:rPr>
      </w:pPr>
    </w:p>
    <w:p w:rsidR="00DF3D96" w:rsidRPr="00C06BB1" w:rsidRDefault="00DF3D96">
      <w:pPr>
        <w:rPr>
          <w:rFonts w:ascii="Arial" w:hAnsi="Arial" w:cs="Arial"/>
          <w:sz w:val="22"/>
          <w:szCs w:val="22"/>
          <w:u w:val="single"/>
        </w:rPr>
      </w:pPr>
      <w:r w:rsidRPr="00C06BB1">
        <w:rPr>
          <w:rFonts w:ascii="Arial" w:hAnsi="Arial" w:cs="Arial"/>
          <w:sz w:val="22"/>
          <w:szCs w:val="22"/>
          <w:u w:val="single"/>
        </w:rPr>
        <w:t>Cross</w:t>
      </w:r>
      <w:r w:rsidR="00C06BB1" w:rsidRPr="00C06BB1">
        <w:rPr>
          <w:rFonts w:ascii="Arial" w:hAnsi="Arial" w:cs="Arial"/>
          <w:sz w:val="22"/>
          <w:szCs w:val="22"/>
          <w:u w:val="single"/>
        </w:rPr>
        <w:t xml:space="preserve"> s</w:t>
      </w:r>
      <w:r w:rsidRPr="00C06BB1">
        <w:rPr>
          <w:rFonts w:ascii="Arial" w:hAnsi="Arial" w:cs="Arial"/>
          <w:sz w:val="22"/>
          <w:szCs w:val="22"/>
          <w:u w:val="single"/>
        </w:rPr>
        <w:t>ectional study</w:t>
      </w:r>
    </w:p>
    <w:p w:rsidR="00DF3D96" w:rsidRDefault="00DF3D96">
      <w:pPr>
        <w:rPr>
          <w:lang w:val="en-GB"/>
        </w:rPr>
      </w:pPr>
    </w:p>
    <w:p w:rsidR="00DF3D96" w:rsidRDefault="00DF3D96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>
            <wp:extent cx="5503653" cy="5331124"/>
            <wp:effectExtent l="19050" t="0" r="59055" b="222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C06BB1" w:rsidRDefault="00C06BB1">
      <w:pPr>
        <w:rPr>
          <w:lang w:val="en-GB"/>
        </w:rPr>
      </w:pPr>
    </w:p>
    <w:p w:rsidR="00EC648A" w:rsidRDefault="00EC648A">
      <w:pPr>
        <w:spacing w:after="200" w:line="276" w:lineRule="auto"/>
        <w:jc w:val="lef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 w:rsidR="00C06BB1" w:rsidRDefault="00C06BB1" w:rsidP="00C06BB1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 xml:space="preserve">Longitudinal </w:t>
      </w:r>
      <w:r w:rsidRPr="00C06BB1">
        <w:rPr>
          <w:rFonts w:ascii="Arial" w:hAnsi="Arial" w:cs="Arial"/>
          <w:sz w:val="22"/>
          <w:szCs w:val="22"/>
          <w:u w:val="single"/>
        </w:rPr>
        <w:t>study</w:t>
      </w:r>
    </w:p>
    <w:p w:rsidR="00EC648A" w:rsidRPr="00C06BB1" w:rsidRDefault="00EC648A" w:rsidP="00C06BB1">
      <w:pPr>
        <w:rPr>
          <w:rFonts w:ascii="Arial" w:hAnsi="Arial" w:cs="Arial"/>
          <w:sz w:val="22"/>
          <w:szCs w:val="22"/>
          <w:u w:val="single"/>
        </w:rPr>
      </w:pPr>
    </w:p>
    <w:p w:rsidR="00C06BB1" w:rsidRPr="00DF3D96" w:rsidRDefault="00C06BB1">
      <w:pPr>
        <w:rPr>
          <w:lang w:val="en-GB"/>
        </w:rPr>
      </w:pPr>
      <w:bookmarkStart w:id="0" w:name="_GoBack"/>
      <w:r>
        <w:rPr>
          <w:noProof/>
          <w:lang w:val="en-GB"/>
        </w:rPr>
        <w:drawing>
          <wp:inline distT="0" distB="0" distL="0" distR="0" wp14:anchorId="1BF856C0" wp14:editId="2124CE61">
            <wp:extent cx="5486400" cy="5037827"/>
            <wp:effectExtent l="19050" t="0" r="57150" b="1079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bookmarkEnd w:id="0"/>
    </w:p>
    <w:sectPr w:rsidR="00C06BB1" w:rsidRPr="00DF3D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Ｐゴシック">
    <w:altName w:val="MS Gothic"/>
    <w:charset w:val="4E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0793D"/>
    <w:multiLevelType w:val="multilevel"/>
    <w:tmpl w:val="062C185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3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4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1.%2.%3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Restart w:val="1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42B14BB4"/>
    <w:multiLevelType w:val="hybridMultilevel"/>
    <w:tmpl w:val="5F1876D4"/>
    <w:lvl w:ilvl="0" w:tplc="3B00D9A8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pStyle w:val="Heading8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5C44BD1"/>
    <w:multiLevelType w:val="multilevel"/>
    <w:tmpl w:val="7AFCB190"/>
    <w:styleLink w:val="Styl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Restart w:val="1"/>
      <w:lvlText w:val="%1.%2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96"/>
    <w:rsid w:val="002F7F07"/>
    <w:rsid w:val="003F7BA3"/>
    <w:rsid w:val="00474817"/>
    <w:rsid w:val="004A18F3"/>
    <w:rsid w:val="00543366"/>
    <w:rsid w:val="00563081"/>
    <w:rsid w:val="005871A4"/>
    <w:rsid w:val="005E7D92"/>
    <w:rsid w:val="006B317F"/>
    <w:rsid w:val="006E2587"/>
    <w:rsid w:val="007A5FD1"/>
    <w:rsid w:val="00897137"/>
    <w:rsid w:val="008C18F0"/>
    <w:rsid w:val="009848E0"/>
    <w:rsid w:val="009979B3"/>
    <w:rsid w:val="009A563A"/>
    <w:rsid w:val="009E619C"/>
    <w:rsid w:val="00A412F2"/>
    <w:rsid w:val="00A56C4B"/>
    <w:rsid w:val="00A97139"/>
    <w:rsid w:val="00B94BFA"/>
    <w:rsid w:val="00BB0800"/>
    <w:rsid w:val="00BE00FB"/>
    <w:rsid w:val="00C06BB1"/>
    <w:rsid w:val="00D05B6A"/>
    <w:rsid w:val="00D852EB"/>
    <w:rsid w:val="00D94BBB"/>
    <w:rsid w:val="00DF3D96"/>
    <w:rsid w:val="00E47510"/>
    <w:rsid w:val="00EC648A"/>
    <w:rsid w:val="00F57170"/>
    <w:rsid w:val="00F7330C"/>
    <w:rsid w:val="00FC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8E0"/>
    <w:pPr>
      <w:spacing w:after="0" w:line="360" w:lineRule="auto"/>
      <w:jc w:val="both"/>
    </w:pPr>
    <w:rPr>
      <w:rFonts w:asciiTheme="majorHAnsi" w:hAnsiTheme="majorHAnsi"/>
      <w:sz w:val="18"/>
      <w:szCs w:val="24"/>
      <w:lang w:val="en-US"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852EB"/>
    <w:pPr>
      <w:keepNext/>
      <w:keepLines/>
      <w:numPr>
        <w:numId w:val="4"/>
      </w:numPr>
      <w:shd w:val="clear" w:color="auto" w:fill="FFFFFF"/>
      <w:spacing w:after="180"/>
      <w:textAlignment w:val="baseline"/>
      <w:outlineLvl w:val="0"/>
    </w:pPr>
    <w:rPr>
      <w:rFonts w:eastAsiaTheme="majorEastAsia" w:cs="Arial"/>
      <w:b/>
      <w:caps/>
      <w:color w:val="17365D" w:themeColor="text2" w:themeShade="BF"/>
      <w:sz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852EB"/>
    <w:pPr>
      <w:keepLines/>
      <w:spacing w:before="120" w:after="240"/>
      <w:outlineLvl w:val="1"/>
    </w:pPr>
    <w:rPr>
      <w:rFonts w:eastAsiaTheme="majorEastAsia" w:cstheme="majorBidi"/>
      <w:b/>
      <w:bCs/>
      <w:i/>
      <w:color w:val="17365D" w:themeColor="text2" w:themeShade="BF"/>
      <w:sz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852EB"/>
    <w:pPr>
      <w:keepNext/>
      <w:keepLines/>
      <w:numPr>
        <w:ilvl w:val="1"/>
        <w:numId w:val="4"/>
      </w:numPr>
      <w:spacing w:before="320" w:after="120"/>
      <w:outlineLvl w:val="2"/>
    </w:pPr>
    <w:rPr>
      <w:rFonts w:eastAsiaTheme="majorEastAsia" w:cstheme="majorBidi"/>
      <w:b/>
      <w:bCs/>
      <w:color w:val="0F243E" w:themeColor="text2" w:themeShade="80"/>
      <w:sz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852EB"/>
    <w:pPr>
      <w:keepNext/>
      <w:keepLines/>
      <w:numPr>
        <w:ilvl w:val="2"/>
        <w:numId w:val="4"/>
      </w:numPr>
      <w:spacing w:before="200"/>
      <w:outlineLvl w:val="3"/>
    </w:pPr>
    <w:rPr>
      <w:rFonts w:eastAsiaTheme="majorEastAsia" w:cstheme="majorBidi"/>
      <w:b/>
      <w:bCs/>
      <w:iCs/>
      <w:color w:val="17365D" w:themeColor="text2" w:themeShade="BF"/>
      <w:sz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A412F2"/>
    <w:pPr>
      <w:spacing w:before="300" w:line="276" w:lineRule="auto"/>
      <w:jc w:val="left"/>
      <w:outlineLvl w:val="4"/>
    </w:pPr>
    <w:rPr>
      <w:b/>
      <w:color w:val="365F91" w:themeColor="accent1" w:themeShade="BF"/>
      <w:spacing w:val="10"/>
      <w:sz w:val="20"/>
      <w:szCs w:val="22"/>
      <w:u w:val="single"/>
      <w:lang w:val="en-GB" w:eastAsia="en-US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474817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82D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F07"/>
    <w:pPr>
      <w:keepNext/>
      <w:keepLines/>
      <w:numPr>
        <w:ilvl w:val="7"/>
        <w:numId w:val="2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82D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852EB"/>
    <w:rPr>
      <w:rFonts w:ascii="Arial" w:eastAsiaTheme="majorEastAsia" w:hAnsi="Arial" w:cstheme="majorBidi"/>
      <w:b/>
      <w:bCs/>
      <w:i/>
      <w:color w:val="17365D" w:themeColor="text2" w:themeShade="BF"/>
      <w:sz w:val="32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852EB"/>
    <w:rPr>
      <w:rFonts w:ascii="Arial" w:eastAsiaTheme="majorEastAsia" w:hAnsi="Arial" w:cstheme="majorBidi"/>
      <w:b/>
      <w:bCs/>
      <w:color w:val="0F243E" w:themeColor="text2" w:themeShade="80"/>
      <w:sz w:val="26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852EB"/>
    <w:rPr>
      <w:rFonts w:ascii="Arial" w:eastAsiaTheme="majorEastAsia" w:hAnsi="Arial" w:cs="Arial"/>
      <w:b/>
      <w:caps/>
      <w:color w:val="17365D" w:themeColor="text2" w:themeShade="BF"/>
      <w:sz w:val="36"/>
      <w:szCs w:val="24"/>
      <w:shd w:val="clear" w:color="auto" w:fill="FFFFFF"/>
    </w:rPr>
  </w:style>
  <w:style w:type="character" w:customStyle="1" w:styleId="Heading4Char">
    <w:name w:val="Heading 4 Char"/>
    <w:basedOn w:val="DefaultParagraphFont"/>
    <w:link w:val="Heading4"/>
    <w:uiPriority w:val="9"/>
    <w:rsid w:val="00D852EB"/>
    <w:rPr>
      <w:rFonts w:ascii="Arial" w:eastAsiaTheme="majorEastAsia" w:hAnsi="Arial" w:cstheme="majorBidi"/>
      <w:b/>
      <w:bCs/>
      <w:iCs/>
      <w:color w:val="17365D" w:themeColor="text2" w:themeShade="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A412F2"/>
    <w:rPr>
      <w:rFonts w:asciiTheme="majorHAnsi" w:hAnsiTheme="majorHAnsi"/>
      <w:b/>
      <w:color w:val="365F91" w:themeColor="accent1" w:themeShade="BF"/>
      <w:spacing w:val="10"/>
      <w:sz w:val="20"/>
      <w:u w:val="single"/>
    </w:rPr>
  </w:style>
  <w:style w:type="paragraph" w:styleId="Caption">
    <w:name w:val="caption"/>
    <w:basedOn w:val="Normal"/>
    <w:next w:val="Normal"/>
    <w:link w:val="CaptionChar"/>
    <w:autoRedefine/>
    <w:uiPriority w:val="35"/>
    <w:unhideWhenUsed/>
    <w:qFormat/>
    <w:rsid w:val="00D852EB"/>
    <w:pPr>
      <w:keepNext/>
      <w:spacing w:line="240" w:lineRule="auto"/>
      <w:ind w:left="567" w:right="567"/>
    </w:pPr>
    <w:rPr>
      <w:rFonts w:cs="Arial"/>
      <w:bCs/>
      <w:noProof/>
      <w:color w:val="000000" w:themeColor="text1" w:themeShade="80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D852EB"/>
    <w:rPr>
      <w:rFonts w:ascii="Arial" w:hAnsi="Arial" w:cs="Arial"/>
      <w:bCs/>
      <w:noProof/>
      <w:color w:val="000000" w:themeColor="text1" w:themeShade="80"/>
      <w:szCs w:val="18"/>
      <w:lang w:eastAsia="en-GB"/>
    </w:rPr>
  </w:style>
  <w:style w:type="paragraph" w:customStyle="1" w:styleId="Lindsaythesis">
    <w:name w:val="Lindsay thesis"/>
    <w:basedOn w:val="Normal"/>
    <w:link w:val="LindsaythesisChar"/>
    <w:autoRedefine/>
    <w:qFormat/>
    <w:rsid w:val="002F7F07"/>
    <w:pPr>
      <w:autoSpaceDE w:val="0"/>
      <w:autoSpaceDN w:val="0"/>
      <w:adjustRightInd w:val="0"/>
      <w:spacing w:line="240" w:lineRule="auto"/>
    </w:pPr>
    <w:rPr>
      <w:rFonts w:cs="Calibri"/>
      <w:b/>
      <w:bCs/>
      <w:color w:val="000000"/>
      <w:sz w:val="23"/>
      <w:szCs w:val="23"/>
    </w:rPr>
  </w:style>
  <w:style w:type="character" w:customStyle="1" w:styleId="LindsaythesisChar">
    <w:name w:val="Lindsay thesis Char"/>
    <w:basedOn w:val="DefaultParagraphFont"/>
    <w:link w:val="Lindsaythesis"/>
    <w:rsid w:val="002F7F07"/>
    <w:rPr>
      <w:rFonts w:ascii="Arial" w:hAnsi="Arial" w:cs="Calibri"/>
      <w:b/>
      <w:bCs/>
      <w:color w:val="000000"/>
      <w:sz w:val="23"/>
      <w:szCs w:val="23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F07"/>
    <w:rPr>
      <w:rFonts w:ascii="Arial" w:eastAsiaTheme="majorEastAsia" w:hAnsi="Arial" w:cstheme="majorBidi"/>
      <w:i/>
      <w:iCs/>
      <w:color w:val="243F60" w:themeColor="accent1" w:themeShade="7F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F07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F0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F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F7F07"/>
    <w:pPr>
      <w:spacing w:before="360"/>
    </w:pPr>
    <w:rPr>
      <w:b/>
      <w:bCs/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F7F07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F7F07"/>
    <w:pPr>
      <w:ind w:left="220"/>
    </w:pPr>
  </w:style>
  <w:style w:type="paragraph" w:styleId="TOC4">
    <w:name w:val="toc 4"/>
    <w:basedOn w:val="Normal"/>
    <w:next w:val="Normal"/>
    <w:autoRedefine/>
    <w:uiPriority w:val="39"/>
    <w:unhideWhenUsed/>
    <w:qFormat/>
    <w:rsid w:val="002F7F07"/>
    <w:pPr>
      <w:ind w:left="720"/>
    </w:pPr>
    <w:rPr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2F7F07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7F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F07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F7F0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GB"/>
    </w:rPr>
  </w:style>
  <w:style w:type="character" w:styleId="Strong">
    <w:name w:val="Strong"/>
    <w:basedOn w:val="LindsaythesisChar"/>
    <w:uiPriority w:val="22"/>
    <w:qFormat/>
    <w:rsid w:val="002F7F07"/>
    <w:rPr>
      <w:rFonts w:ascii="Arial" w:hAnsi="Arial" w:cs="Calibri"/>
      <w:b/>
      <w:bCs w:val="0"/>
      <w:color w:val="000000"/>
      <w:sz w:val="24"/>
      <w:szCs w:val="23"/>
    </w:rPr>
  </w:style>
  <w:style w:type="character" w:styleId="Emphasis">
    <w:name w:val="Emphasis"/>
    <w:basedOn w:val="DefaultParagraphFont"/>
    <w:uiPriority w:val="20"/>
    <w:qFormat/>
    <w:rsid w:val="002F7F07"/>
    <w:rPr>
      <w:i/>
      <w:iCs/>
    </w:rPr>
  </w:style>
  <w:style w:type="paragraph" w:styleId="NoSpacing">
    <w:name w:val="No Spacing"/>
    <w:link w:val="NoSpacingChar"/>
    <w:autoRedefine/>
    <w:uiPriority w:val="1"/>
    <w:qFormat/>
    <w:rsid w:val="002F7F07"/>
    <w:pPr>
      <w:spacing w:after="0" w:line="240" w:lineRule="auto"/>
      <w:jc w:val="both"/>
    </w:pPr>
    <w:rPr>
      <w:rFonts w:ascii="Arial" w:hAnsi="Arial"/>
      <w:szCs w:val="24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2F7F07"/>
    <w:rPr>
      <w:rFonts w:ascii="Arial" w:hAnsi="Arial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F7F0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F7F07"/>
    <w:rPr>
      <w:rFonts w:asciiTheme="minorHAnsi" w:hAnsiTheme="minorHAns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F7F07"/>
    <w:rPr>
      <w:i/>
      <w:iCs/>
      <w:color w:val="000000" w:themeColor="text1"/>
      <w:szCs w:val="24"/>
      <w:lang w:eastAsia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F07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F07"/>
    <w:rPr>
      <w:b/>
      <w:bCs/>
      <w:i/>
      <w:iCs/>
      <w:color w:val="4F81BD" w:themeColor="accent1"/>
      <w:szCs w:val="24"/>
      <w:lang w:eastAsia="en-GB"/>
    </w:rPr>
  </w:style>
  <w:style w:type="character" w:styleId="SubtleEmphasis">
    <w:name w:val="Subtle Emphasis"/>
    <w:uiPriority w:val="19"/>
    <w:qFormat/>
    <w:rsid w:val="002F7F0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F7F07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2F7F07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2F7F07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2F7F0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F7F07"/>
    <w:pPr>
      <w:numPr>
        <w:numId w:val="0"/>
      </w:numPr>
      <w:outlineLvl w:val="9"/>
    </w:pPr>
    <w:rPr>
      <w:color w:val="365F91" w:themeColor="accent1" w:themeShade="BF"/>
      <w:sz w:val="28"/>
      <w:szCs w:val="28"/>
    </w:rPr>
  </w:style>
  <w:style w:type="numbering" w:customStyle="1" w:styleId="Style1">
    <w:name w:val="Style1"/>
    <w:uiPriority w:val="99"/>
    <w:rsid w:val="00F7330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D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D96"/>
    <w:rPr>
      <w:rFonts w:ascii="Tahoma" w:hAnsi="Tahoma" w:cs="Tahoma"/>
      <w:sz w:val="16"/>
      <w:szCs w:val="16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8E0"/>
    <w:pPr>
      <w:spacing w:after="0" w:line="360" w:lineRule="auto"/>
      <w:jc w:val="both"/>
    </w:pPr>
    <w:rPr>
      <w:rFonts w:asciiTheme="majorHAnsi" w:hAnsiTheme="majorHAnsi"/>
      <w:sz w:val="18"/>
      <w:szCs w:val="24"/>
      <w:lang w:val="en-US"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852EB"/>
    <w:pPr>
      <w:keepNext/>
      <w:keepLines/>
      <w:numPr>
        <w:numId w:val="4"/>
      </w:numPr>
      <w:shd w:val="clear" w:color="auto" w:fill="FFFFFF"/>
      <w:spacing w:after="180"/>
      <w:textAlignment w:val="baseline"/>
      <w:outlineLvl w:val="0"/>
    </w:pPr>
    <w:rPr>
      <w:rFonts w:eastAsiaTheme="majorEastAsia" w:cs="Arial"/>
      <w:b/>
      <w:caps/>
      <w:color w:val="17365D" w:themeColor="text2" w:themeShade="BF"/>
      <w:sz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852EB"/>
    <w:pPr>
      <w:keepLines/>
      <w:spacing w:before="120" w:after="240"/>
      <w:outlineLvl w:val="1"/>
    </w:pPr>
    <w:rPr>
      <w:rFonts w:eastAsiaTheme="majorEastAsia" w:cstheme="majorBidi"/>
      <w:b/>
      <w:bCs/>
      <w:i/>
      <w:color w:val="17365D" w:themeColor="text2" w:themeShade="BF"/>
      <w:sz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852EB"/>
    <w:pPr>
      <w:keepNext/>
      <w:keepLines/>
      <w:numPr>
        <w:ilvl w:val="1"/>
        <w:numId w:val="4"/>
      </w:numPr>
      <w:spacing w:before="320" w:after="120"/>
      <w:outlineLvl w:val="2"/>
    </w:pPr>
    <w:rPr>
      <w:rFonts w:eastAsiaTheme="majorEastAsia" w:cstheme="majorBidi"/>
      <w:b/>
      <w:bCs/>
      <w:color w:val="0F243E" w:themeColor="text2" w:themeShade="80"/>
      <w:sz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852EB"/>
    <w:pPr>
      <w:keepNext/>
      <w:keepLines/>
      <w:numPr>
        <w:ilvl w:val="2"/>
        <w:numId w:val="4"/>
      </w:numPr>
      <w:spacing w:before="200"/>
      <w:outlineLvl w:val="3"/>
    </w:pPr>
    <w:rPr>
      <w:rFonts w:eastAsiaTheme="majorEastAsia" w:cstheme="majorBidi"/>
      <w:b/>
      <w:bCs/>
      <w:iCs/>
      <w:color w:val="17365D" w:themeColor="text2" w:themeShade="BF"/>
      <w:sz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A412F2"/>
    <w:pPr>
      <w:spacing w:before="300" w:line="276" w:lineRule="auto"/>
      <w:jc w:val="left"/>
      <w:outlineLvl w:val="4"/>
    </w:pPr>
    <w:rPr>
      <w:b/>
      <w:color w:val="365F91" w:themeColor="accent1" w:themeShade="BF"/>
      <w:spacing w:val="10"/>
      <w:sz w:val="20"/>
      <w:szCs w:val="22"/>
      <w:u w:val="single"/>
      <w:lang w:val="en-GB" w:eastAsia="en-US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474817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82D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F07"/>
    <w:pPr>
      <w:keepNext/>
      <w:keepLines/>
      <w:numPr>
        <w:ilvl w:val="7"/>
        <w:numId w:val="2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82D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852EB"/>
    <w:rPr>
      <w:rFonts w:ascii="Arial" w:eastAsiaTheme="majorEastAsia" w:hAnsi="Arial" w:cstheme="majorBidi"/>
      <w:b/>
      <w:bCs/>
      <w:i/>
      <w:color w:val="17365D" w:themeColor="text2" w:themeShade="BF"/>
      <w:sz w:val="32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852EB"/>
    <w:rPr>
      <w:rFonts w:ascii="Arial" w:eastAsiaTheme="majorEastAsia" w:hAnsi="Arial" w:cstheme="majorBidi"/>
      <w:b/>
      <w:bCs/>
      <w:color w:val="0F243E" w:themeColor="text2" w:themeShade="80"/>
      <w:sz w:val="26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852EB"/>
    <w:rPr>
      <w:rFonts w:ascii="Arial" w:eastAsiaTheme="majorEastAsia" w:hAnsi="Arial" w:cs="Arial"/>
      <w:b/>
      <w:caps/>
      <w:color w:val="17365D" w:themeColor="text2" w:themeShade="BF"/>
      <w:sz w:val="36"/>
      <w:szCs w:val="24"/>
      <w:shd w:val="clear" w:color="auto" w:fill="FFFFFF"/>
    </w:rPr>
  </w:style>
  <w:style w:type="character" w:customStyle="1" w:styleId="Heading4Char">
    <w:name w:val="Heading 4 Char"/>
    <w:basedOn w:val="DefaultParagraphFont"/>
    <w:link w:val="Heading4"/>
    <w:uiPriority w:val="9"/>
    <w:rsid w:val="00D852EB"/>
    <w:rPr>
      <w:rFonts w:ascii="Arial" w:eastAsiaTheme="majorEastAsia" w:hAnsi="Arial" w:cstheme="majorBidi"/>
      <w:b/>
      <w:bCs/>
      <w:iCs/>
      <w:color w:val="17365D" w:themeColor="text2" w:themeShade="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A412F2"/>
    <w:rPr>
      <w:rFonts w:asciiTheme="majorHAnsi" w:hAnsiTheme="majorHAnsi"/>
      <w:b/>
      <w:color w:val="365F91" w:themeColor="accent1" w:themeShade="BF"/>
      <w:spacing w:val="10"/>
      <w:sz w:val="20"/>
      <w:u w:val="single"/>
    </w:rPr>
  </w:style>
  <w:style w:type="paragraph" w:styleId="Caption">
    <w:name w:val="caption"/>
    <w:basedOn w:val="Normal"/>
    <w:next w:val="Normal"/>
    <w:link w:val="CaptionChar"/>
    <w:autoRedefine/>
    <w:uiPriority w:val="35"/>
    <w:unhideWhenUsed/>
    <w:qFormat/>
    <w:rsid w:val="00D852EB"/>
    <w:pPr>
      <w:keepNext/>
      <w:spacing w:line="240" w:lineRule="auto"/>
      <w:ind w:left="567" w:right="567"/>
    </w:pPr>
    <w:rPr>
      <w:rFonts w:cs="Arial"/>
      <w:bCs/>
      <w:noProof/>
      <w:color w:val="000000" w:themeColor="text1" w:themeShade="80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D852EB"/>
    <w:rPr>
      <w:rFonts w:ascii="Arial" w:hAnsi="Arial" w:cs="Arial"/>
      <w:bCs/>
      <w:noProof/>
      <w:color w:val="000000" w:themeColor="text1" w:themeShade="80"/>
      <w:szCs w:val="18"/>
      <w:lang w:eastAsia="en-GB"/>
    </w:rPr>
  </w:style>
  <w:style w:type="paragraph" w:customStyle="1" w:styleId="Lindsaythesis">
    <w:name w:val="Lindsay thesis"/>
    <w:basedOn w:val="Normal"/>
    <w:link w:val="LindsaythesisChar"/>
    <w:autoRedefine/>
    <w:qFormat/>
    <w:rsid w:val="002F7F07"/>
    <w:pPr>
      <w:autoSpaceDE w:val="0"/>
      <w:autoSpaceDN w:val="0"/>
      <w:adjustRightInd w:val="0"/>
      <w:spacing w:line="240" w:lineRule="auto"/>
    </w:pPr>
    <w:rPr>
      <w:rFonts w:cs="Calibri"/>
      <w:b/>
      <w:bCs/>
      <w:color w:val="000000"/>
      <w:sz w:val="23"/>
      <w:szCs w:val="23"/>
    </w:rPr>
  </w:style>
  <w:style w:type="character" w:customStyle="1" w:styleId="LindsaythesisChar">
    <w:name w:val="Lindsay thesis Char"/>
    <w:basedOn w:val="DefaultParagraphFont"/>
    <w:link w:val="Lindsaythesis"/>
    <w:rsid w:val="002F7F07"/>
    <w:rPr>
      <w:rFonts w:ascii="Arial" w:hAnsi="Arial" w:cs="Calibri"/>
      <w:b/>
      <w:bCs/>
      <w:color w:val="000000"/>
      <w:sz w:val="23"/>
      <w:szCs w:val="23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F07"/>
    <w:rPr>
      <w:rFonts w:ascii="Arial" w:eastAsiaTheme="majorEastAsia" w:hAnsi="Arial" w:cstheme="majorBidi"/>
      <w:i/>
      <w:iCs/>
      <w:color w:val="243F60" w:themeColor="accent1" w:themeShade="7F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F07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F0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F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F7F07"/>
    <w:pPr>
      <w:spacing w:before="360"/>
    </w:pPr>
    <w:rPr>
      <w:b/>
      <w:bCs/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F7F07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F7F07"/>
    <w:pPr>
      <w:ind w:left="220"/>
    </w:pPr>
  </w:style>
  <w:style w:type="paragraph" w:styleId="TOC4">
    <w:name w:val="toc 4"/>
    <w:basedOn w:val="Normal"/>
    <w:next w:val="Normal"/>
    <w:autoRedefine/>
    <w:uiPriority w:val="39"/>
    <w:unhideWhenUsed/>
    <w:qFormat/>
    <w:rsid w:val="002F7F07"/>
    <w:pPr>
      <w:ind w:left="720"/>
    </w:pPr>
    <w:rPr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2F7F07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7F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F07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F7F0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GB"/>
    </w:rPr>
  </w:style>
  <w:style w:type="character" w:styleId="Strong">
    <w:name w:val="Strong"/>
    <w:basedOn w:val="LindsaythesisChar"/>
    <w:uiPriority w:val="22"/>
    <w:qFormat/>
    <w:rsid w:val="002F7F07"/>
    <w:rPr>
      <w:rFonts w:ascii="Arial" w:hAnsi="Arial" w:cs="Calibri"/>
      <w:b/>
      <w:bCs w:val="0"/>
      <w:color w:val="000000"/>
      <w:sz w:val="24"/>
      <w:szCs w:val="23"/>
    </w:rPr>
  </w:style>
  <w:style w:type="character" w:styleId="Emphasis">
    <w:name w:val="Emphasis"/>
    <w:basedOn w:val="DefaultParagraphFont"/>
    <w:uiPriority w:val="20"/>
    <w:qFormat/>
    <w:rsid w:val="002F7F07"/>
    <w:rPr>
      <w:i/>
      <w:iCs/>
    </w:rPr>
  </w:style>
  <w:style w:type="paragraph" w:styleId="NoSpacing">
    <w:name w:val="No Spacing"/>
    <w:link w:val="NoSpacingChar"/>
    <w:autoRedefine/>
    <w:uiPriority w:val="1"/>
    <w:qFormat/>
    <w:rsid w:val="002F7F07"/>
    <w:pPr>
      <w:spacing w:after="0" w:line="240" w:lineRule="auto"/>
      <w:jc w:val="both"/>
    </w:pPr>
    <w:rPr>
      <w:rFonts w:ascii="Arial" w:hAnsi="Arial"/>
      <w:szCs w:val="24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2F7F07"/>
    <w:rPr>
      <w:rFonts w:ascii="Arial" w:hAnsi="Arial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F7F0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F7F07"/>
    <w:rPr>
      <w:rFonts w:asciiTheme="minorHAnsi" w:hAnsiTheme="minorHAns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F7F07"/>
    <w:rPr>
      <w:i/>
      <w:iCs/>
      <w:color w:val="000000" w:themeColor="text1"/>
      <w:szCs w:val="24"/>
      <w:lang w:eastAsia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F07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F07"/>
    <w:rPr>
      <w:b/>
      <w:bCs/>
      <w:i/>
      <w:iCs/>
      <w:color w:val="4F81BD" w:themeColor="accent1"/>
      <w:szCs w:val="24"/>
      <w:lang w:eastAsia="en-GB"/>
    </w:rPr>
  </w:style>
  <w:style w:type="character" w:styleId="SubtleEmphasis">
    <w:name w:val="Subtle Emphasis"/>
    <w:uiPriority w:val="19"/>
    <w:qFormat/>
    <w:rsid w:val="002F7F0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F7F07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2F7F07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2F7F07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2F7F0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F7F07"/>
    <w:pPr>
      <w:numPr>
        <w:numId w:val="0"/>
      </w:numPr>
      <w:outlineLvl w:val="9"/>
    </w:pPr>
    <w:rPr>
      <w:color w:val="365F91" w:themeColor="accent1" w:themeShade="BF"/>
      <w:sz w:val="28"/>
      <w:szCs w:val="28"/>
    </w:rPr>
  </w:style>
  <w:style w:type="numbering" w:customStyle="1" w:styleId="Style1">
    <w:name w:val="Style1"/>
    <w:uiPriority w:val="99"/>
    <w:rsid w:val="00F7330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D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D96"/>
    <w:rPr>
      <w:rFonts w:ascii="Tahoma" w:hAnsi="Tahoma" w:cs="Tahoma"/>
      <w:sz w:val="16"/>
      <w:szCs w:val="16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0F5A2B7-5F41-4FC7-B6F1-A78570467F7C}" type="doc">
      <dgm:prSet loTypeId="urn:microsoft.com/office/officeart/2005/8/layout/process2" loCatId="process" qsTypeId="urn:microsoft.com/office/officeart/2005/8/quickstyle/simple1" qsCatId="simple" csTypeId="urn:microsoft.com/office/officeart/2005/8/colors/accent0_1" csCatId="mainScheme" phldr="1"/>
      <dgm:spPr/>
    </dgm:pt>
    <dgm:pt modelId="{ADBDF2DF-CE2E-4708-B837-B9FA3372CF03}">
      <dgm:prSet phldrT="[Text]" custT="1"/>
      <dgm:spPr/>
      <dgm:t>
        <a:bodyPr/>
        <a:lstStyle/>
        <a:p>
          <a:pPr algn="l"/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Pregnant women with a prior spontaneous preterm birth &lt;37weeks attending preterm surviellance clinic were recruited at 16 weeks gestation. </a:t>
          </a:r>
        </a:p>
        <a:p>
          <a:pPr algn="l"/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Consenting participants underwent:</a:t>
          </a:r>
        </a:p>
        <a:p>
          <a:pPr algn="l"/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1. Transvaginal ultrasound scan  for measurement of cervical length (CL)</a:t>
          </a:r>
        </a:p>
        <a:p>
          <a:pPr algn="l"/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2. High vaginal sampling. (Swab, frozen at -80°C for later 16s rRNA gene sequencing)</a:t>
          </a:r>
        </a:p>
      </dgm:t>
    </dgm:pt>
    <dgm:pt modelId="{E696199A-F5A7-4E6C-BD2B-A65AC92876FC}" type="parTrans" cxnId="{B41ACBBD-C400-4F9D-8530-92A6E379EA40}">
      <dgm:prSet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B0413EC-8677-4877-9279-3C64FAB799C7}" type="sibTrans" cxnId="{B41ACBBD-C400-4F9D-8530-92A6E379EA40}">
      <dgm:prSet custT="1"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31539D0-67B0-4F84-8DD0-900525924E74}">
      <dgm:prSet phldrT="[Text]" custT="1"/>
      <dgm:spPr/>
      <dgm:t>
        <a:bodyPr/>
        <a:lstStyle/>
        <a:p>
          <a:pPr algn="l"/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Subsequent clinical care was not influenced by participation in the study.  </a:t>
          </a:r>
        </a:p>
        <a:p>
          <a:pPr algn="l"/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(Indication for intervention was a CL &lt;25mm measured at ≤23</a:t>
          </a:r>
          <a:r>
            <a:rPr lang="en-US" sz="1000" baseline="30000">
              <a:latin typeface="Arial" panose="020B0604020202020204" pitchFamily="34" charset="0"/>
              <a:cs typeface="Arial" panose="020B0604020202020204" pitchFamily="34" charset="0"/>
            </a:rPr>
            <a:t>+6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 weeks gestation, 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as per local hospital guidelines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. Choice of intervention, cerclage or progesterone, was at the discretion of the clinician)</a:t>
          </a:r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7264789-5E40-4582-9DA5-E5EAAB88C996}" type="parTrans" cxnId="{CFAE336D-E2B7-43B4-B325-D4C765CBD27E}">
      <dgm:prSet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610EF29-E993-48CF-9688-F5CB939294AE}" type="sibTrans" cxnId="{CFAE336D-E2B7-43B4-B325-D4C765CBD27E}">
      <dgm:prSet custT="1"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4EAC049-3CC8-4D0B-9A7F-5F04A705E786}">
      <dgm:prSet phldrT="[Text]" custT="1"/>
      <dgm:spPr/>
      <dgm:t>
        <a:bodyPr/>
        <a:lstStyle/>
        <a:p>
          <a:pPr algn="l"/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Metadata collected included: gestation age at sampling, subsequent interventions for preterm birth, gestation at birth, BMI, ethnicity.</a:t>
          </a:r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34B30A8-7C16-4492-B575-36F0CFC55B81}" type="parTrans" cxnId="{F0ECD7EA-D658-4B6D-BCE2-81C074E5BEBA}">
      <dgm:prSet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9F99C07-462A-48FC-815A-C8452F9C8045}" type="sibTrans" cxnId="{F0ECD7EA-D658-4B6D-BCE2-81C074E5BEBA}">
      <dgm:prSet custT="1"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4C23461-8C47-44A3-8C2B-959BD8D35F53}">
      <dgm:prSet custT="1"/>
      <dgm:spPr/>
      <dgm:t>
        <a:bodyPr/>
        <a:lstStyle/>
        <a:p>
          <a:pPr algn="l"/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Vaginal CSTs were compared to </a:t>
          </a:r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ethnicity, cervical length and requirement for future intervention, and subsequent gestation at birth (&lt;34 weeks, 34-27 weeks, and ≥37 weeks).</a:t>
          </a:r>
        </a:p>
        <a:p>
          <a:pPr algn="l"/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Accuracy parameters (sensitivity, specificity, positive predictive and negative predictive values) were calculated for the prediction of preterm birth &lt;34weeks according to CST</a:t>
          </a:r>
        </a:p>
      </dgm:t>
    </dgm:pt>
    <dgm:pt modelId="{867CB11C-CF13-4784-9305-616E9C28D93E}" type="parTrans" cxnId="{97167D13-C52F-409F-910B-CDFB676A7BCD}">
      <dgm:prSet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6CF1839-2E77-414A-904F-906F5ABD70AC}" type="sibTrans" cxnId="{97167D13-C52F-409F-910B-CDFB676A7BCD}">
      <dgm:prSet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FAE85BD-F4E7-4682-A97D-3486E48FE8D2}">
      <dgm:prSet phldrT="[Text]" custT="1"/>
      <dgm:spPr/>
      <dgm:t>
        <a:bodyPr/>
        <a:lstStyle/>
        <a:p>
          <a:pPr algn="l"/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Hierarchical clustering analysis of </a:t>
          </a:r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16s rRNA 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species </a:t>
          </a:r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sequence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 data 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classified vaginal bacterial communities into community state types (CSTs); I (</a:t>
          </a:r>
          <a:r>
            <a:rPr lang="en-US" sz="1000" i="1">
              <a:latin typeface="Arial" panose="020B0604020202020204" pitchFamily="34" charset="0"/>
              <a:cs typeface="Arial" panose="020B0604020202020204" pitchFamily="34" charset="0"/>
            </a:rPr>
            <a:t>L. crispatus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), II (</a:t>
          </a:r>
          <a:r>
            <a:rPr lang="en-US" sz="1000" i="1">
              <a:latin typeface="Arial" panose="020B0604020202020204" pitchFamily="34" charset="0"/>
              <a:cs typeface="Arial" panose="020B0604020202020204" pitchFamily="34" charset="0"/>
            </a:rPr>
            <a:t>L. gasseri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), III (</a:t>
          </a:r>
          <a:r>
            <a:rPr lang="en-US" sz="1000" i="1">
              <a:latin typeface="Arial" panose="020B0604020202020204" pitchFamily="34" charset="0"/>
              <a:cs typeface="Arial" panose="020B0604020202020204" pitchFamily="34" charset="0"/>
            </a:rPr>
            <a:t>L. iners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), IV (mixed bacterial species) and V (</a:t>
          </a:r>
          <a:r>
            <a:rPr lang="en-US" sz="1000" i="1">
              <a:latin typeface="Arial" panose="020B0604020202020204" pitchFamily="34" charset="0"/>
              <a:cs typeface="Arial" panose="020B0604020202020204" pitchFamily="34" charset="0"/>
            </a:rPr>
            <a:t>L. jensenii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). </a:t>
          </a:r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6110E1B-4682-4447-BBE7-A2FBAE4B3B59}" type="parTrans" cxnId="{CBB7C880-2444-4043-9BEF-1B3C2B3AD748}">
      <dgm:prSet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5DCF78A-7342-4548-BCEF-CF63A72C25AA}" type="sibTrans" cxnId="{CBB7C880-2444-4043-9BEF-1B3C2B3AD748}">
      <dgm:prSet custT="1"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011CA99-35D5-4FAA-8C51-72DA8F32FC84}" type="pres">
      <dgm:prSet presAssocID="{60F5A2B7-5F41-4FC7-B6F1-A78570467F7C}" presName="linearFlow" presStyleCnt="0">
        <dgm:presLayoutVars>
          <dgm:resizeHandles val="exact"/>
        </dgm:presLayoutVars>
      </dgm:prSet>
      <dgm:spPr/>
    </dgm:pt>
    <dgm:pt modelId="{A7AC4B29-2565-4ECF-92C2-B52FCC8CAEC0}" type="pres">
      <dgm:prSet presAssocID="{ADBDF2DF-CE2E-4708-B837-B9FA3372CF03}" presName="node" presStyleLbl="node1" presStyleIdx="0" presStyleCnt="5" custScaleX="233304" custScaleY="110189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C6C07203-658C-482A-A686-5A71C2161CAD}" type="pres">
      <dgm:prSet presAssocID="{DB0413EC-8677-4877-9279-3C64FAB799C7}" presName="sibTrans" presStyleLbl="sibTrans2D1" presStyleIdx="0" presStyleCnt="4" custAng="21509662"/>
      <dgm:spPr/>
    </dgm:pt>
    <dgm:pt modelId="{191D6C9E-292D-43EA-B674-3032B2552FF0}" type="pres">
      <dgm:prSet presAssocID="{DB0413EC-8677-4877-9279-3C64FAB799C7}" presName="connectorText" presStyleLbl="sibTrans2D1" presStyleIdx="0" presStyleCnt="4"/>
      <dgm:spPr/>
    </dgm:pt>
    <dgm:pt modelId="{C9EBE379-3449-4E45-8860-FE32EA4146E9}" type="pres">
      <dgm:prSet presAssocID="{031539D0-67B0-4F84-8DD0-900525924E74}" presName="node" presStyleLbl="node1" presStyleIdx="1" presStyleCnt="5" custScaleX="233304" custScaleY="84428" custLinFactNeighborX="-3301" custLinFactNeighborY="-1008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C8673F8C-E3AB-4140-B85B-8340349C6D03}" type="pres">
      <dgm:prSet presAssocID="{3610EF29-E993-48CF-9688-F5CB939294AE}" presName="sibTrans" presStyleLbl="sibTrans2D1" presStyleIdx="1" presStyleCnt="4" custAng="104842"/>
      <dgm:spPr/>
    </dgm:pt>
    <dgm:pt modelId="{076F21A6-D458-4B7D-9954-29F75B15D51B}" type="pres">
      <dgm:prSet presAssocID="{3610EF29-E993-48CF-9688-F5CB939294AE}" presName="connectorText" presStyleLbl="sibTrans2D1" presStyleIdx="1" presStyleCnt="4"/>
      <dgm:spPr/>
    </dgm:pt>
    <dgm:pt modelId="{77896D59-FD25-4D30-BCFA-1AA6D92D6254}" type="pres">
      <dgm:prSet presAssocID="{B4EAC049-3CC8-4D0B-9A7F-5F04A705E786}" presName="node" presStyleLbl="node1" presStyleIdx="2" presStyleCnt="5" custScaleX="233304" custScaleY="50638" custLinFactNeighborX="-448" custLinFactNeighborY="-1066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2B8AAADE-460B-494E-ABDD-D37FB6EFFC7A}" type="pres">
      <dgm:prSet presAssocID="{59F99C07-462A-48FC-815A-C8452F9C8045}" presName="sibTrans" presStyleLbl="sibTrans2D1" presStyleIdx="2" presStyleCnt="4" custAng="21477793"/>
      <dgm:spPr/>
    </dgm:pt>
    <dgm:pt modelId="{28457E9E-F6E1-48B5-808F-9592F23D9BD8}" type="pres">
      <dgm:prSet presAssocID="{59F99C07-462A-48FC-815A-C8452F9C8045}" presName="connectorText" presStyleLbl="sibTrans2D1" presStyleIdx="2" presStyleCnt="4"/>
      <dgm:spPr/>
    </dgm:pt>
    <dgm:pt modelId="{F9230D63-A9CA-48D2-8FFF-48D37BD5E985}" type="pres">
      <dgm:prSet presAssocID="{8FAE85BD-F4E7-4682-A97D-3486E48FE8D2}" presName="node" presStyleLbl="node1" presStyleIdx="3" presStyleCnt="5" custScaleX="233304" custScaleY="70532" custLinFactNeighborX="-1436" custLinFactNeighborY="-10879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7489F872-B232-4353-9FCA-7126A6D17EC0}" type="pres">
      <dgm:prSet presAssocID="{F5DCF78A-7342-4548-BCEF-CF63A72C25AA}" presName="sibTrans" presStyleLbl="sibTrans2D1" presStyleIdx="3" presStyleCnt="4" custAng="98534"/>
      <dgm:spPr/>
    </dgm:pt>
    <dgm:pt modelId="{04AC054D-7518-424C-A77C-CD2D71A2C4F4}" type="pres">
      <dgm:prSet presAssocID="{F5DCF78A-7342-4548-BCEF-CF63A72C25AA}" presName="connectorText" presStyleLbl="sibTrans2D1" presStyleIdx="3" presStyleCnt="4"/>
      <dgm:spPr/>
    </dgm:pt>
    <dgm:pt modelId="{269C9B20-F9CC-43BC-B0B6-88ABB22E2E90}" type="pres">
      <dgm:prSet presAssocID="{A4C23461-8C47-44A3-8C2B-959BD8D35F53}" presName="node" presStyleLbl="node1" presStyleIdx="4" presStyleCnt="5" custScaleX="236175" custScaleY="7944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041466FF-44C4-4E6B-BF0C-20346851A117}" type="presOf" srcId="{F5DCF78A-7342-4548-BCEF-CF63A72C25AA}" destId="{04AC054D-7518-424C-A77C-CD2D71A2C4F4}" srcOrd="1" destOrd="0" presId="urn:microsoft.com/office/officeart/2005/8/layout/process2"/>
    <dgm:cxn modelId="{EDAAFE0D-7221-492A-A347-9C07012CE08D}" type="presOf" srcId="{A4C23461-8C47-44A3-8C2B-959BD8D35F53}" destId="{269C9B20-F9CC-43BC-B0B6-88ABB22E2E90}" srcOrd="0" destOrd="0" presId="urn:microsoft.com/office/officeart/2005/8/layout/process2"/>
    <dgm:cxn modelId="{CFAE336D-E2B7-43B4-B325-D4C765CBD27E}" srcId="{60F5A2B7-5F41-4FC7-B6F1-A78570467F7C}" destId="{031539D0-67B0-4F84-8DD0-900525924E74}" srcOrd="1" destOrd="0" parTransId="{27264789-5E40-4582-9DA5-E5EAAB88C996}" sibTransId="{3610EF29-E993-48CF-9688-F5CB939294AE}"/>
    <dgm:cxn modelId="{47AF735D-EFFD-454A-A8CD-827BC197A884}" type="presOf" srcId="{DB0413EC-8677-4877-9279-3C64FAB799C7}" destId="{C6C07203-658C-482A-A686-5A71C2161CAD}" srcOrd="0" destOrd="0" presId="urn:microsoft.com/office/officeart/2005/8/layout/process2"/>
    <dgm:cxn modelId="{492859AD-8BDF-4B71-963D-8D9C0FFF8760}" type="presOf" srcId="{3610EF29-E993-48CF-9688-F5CB939294AE}" destId="{C8673F8C-E3AB-4140-B85B-8340349C6D03}" srcOrd="0" destOrd="0" presId="urn:microsoft.com/office/officeart/2005/8/layout/process2"/>
    <dgm:cxn modelId="{452B93F0-D1A2-4F83-9D71-A6BD26E32DFD}" type="presOf" srcId="{59F99C07-462A-48FC-815A-C8452F9C8045}" destId="{28457E9E-F6E1-48B5-808F-9592F23D9BD8}" srcOrd="1" destOrd="0" presId="urn:microsoft.com/office/officeart/2005/8/layout/process2"/>
    <dgm:cxn modelId="{D181F1C9-3014-442E-B527-B48FDF188E75}" type="presOf" srcId="{ADBDF2DF-CE2E-4708-B837-B9FA3372CF03}" destId="{A7AC4B29-2565-4ECF-92C2-B52FCC8CAEC0}" srcOrd="0" destOrd="0" presId="urn:microsoft.com/office/officeart/2005/8/layout/process2"/>
    <dgm:cxn modelId="{CAE7D425-086F-474B-BEC6-F572AF270D36}" type="presOf" srcId="{8FAE85BD-F4E7-4682-A97D-3486E48FE8D2}" destId="{F9230D63-A9CA-48D2-8FFF-48D37BD5E985}" srcOrd="0" destOrd="0" presId="urn:microsoft.com/office/officeart/2005/8/layout/process2"/>
    <dgm:cxn modelId="{D26D17D9-B982-4A15-9A06-32AD7B6F3D46}" type="presOf" srcId="{59F99C07-462A-48FC-815A-C8452F9C8045}" destId="{2B8AAADE-460B-494E-ABDD-D37FB6EFFC7A}" srcOrd="0" destOrd="0" presId="urn:microsoft.com/office/officeart/2005/8/layout/process2"/>
    <dgm:cxn modelId="{F0ECD7EA-D658-4B6D-BCE2-81C074E5BEBA}" srcId="{60F5A2B7-5F41-4FC7-B6F1-A78570467F7C}" destId="{B4EAC049-3CC8-4D0B-9A7F-5F04A705E786}" srcOrd="2" destOrd="0" parTransId="{134B30A8-7C16-4492-B575-36F0CFC55B81}" sibTransId="{59F99C07-462A-48FC-815A-C8452F9C8045}"/>
    <dgm:cxn modelId="{B9C8EF05-F8E8-4C2F-B981-6D6CD9944006}" type="presOf" srcId="{DB0413EC-8677-4877-9279-3C64FAB799C7}" destId="{191D6C9E-292D-43EA-B674-3032B2552FF0}" srcOrd="1" destOrd="0" presId="urn:microsoft.com/office/officeart/2005/8/layout/process2"/>
    <dgm:cxn modelId="{7B860194-5BFA-4186-AE11-A9B648A102C0}" type="presOf" srcId="{3610EF29-E993-48CF-9688-F5CB939294AE}" destId="{076F21A6-D458-4B7D-9954-29F75B15D51B}" srcOrd="1" destOrd="0" presId="urn:microsoft.com/office/officeart/2005/8/layout/process2"/>
    <dgm:cxn modelId="{CB661873-917A-4C13-B6A6-BC5C9C8FB430}" type="presOf" srcId="{031539D0-67B0-4F84-8DD0-900525924E74}" destId="{C9EBE379-3449-4E45-8860-FE32EA4146E9}" srcOrd="0" destOrd="0" presId="urn:microsoft.com/office/officeart/2005/8/layout/process2"/>
    <dgm:cxn modelId="{97167D13-C52F-409F-910B-CDFB676A7BCD}" srcId="{60F5A2B7-5F41-4FC7-B6F1-A78570467F7C}" destId="{A4C23461-8C47-44A3-8C2B-959BD8D35F53}" srcOrd="4" destOrd="0" parTransId="{867CB11C-CF13-4784-9305-616E9C28D93E}" sibTransId="{A6CF1839-2E77-414A-904F-906F5ABD70AC}"/>
    <dgm:cxn modelId="{1FA03060-0FAC-445D-817A-F4ED06DAD774}" type="presOf" srcId="{60F5A2B7-5F41-4FC7-B6F1-A78570467F7C}" destId="{3011CA99-35D5-4FAA-8C51-72DA8F32FC84}" srcOrd="0" destOrd="0" presId="urn:microsoft.com/office/officeart/2005/8/layout/process2"/>
    <dgm:cxn modelId="{1DF239BA-EAC7-448A-84A6-30DA9A6BF889}" type="presOf" srcId="{B4EAC049-3CC8-4D0B-9A7F-5F04A705E786}" destId="{77896D59-FD25-4D30-BCFA-1AA6D92D6254}" srcOrd="0" destOrd="0" presId="urn:microsoft.com/office/officeart/2005/8/layout/process2"/>
    <dgm:cxn modelId="{68EECB6E-8D8A-41DD-A17C-F608F25F56B5}" type="presOf" srcId="{F5DCF78A-7342-4548-BCEF-CF63A72C25AA}" destId="{7489F872-B232-4353-9FCA-7126A6D17EC0}" srcOrd="0" destOrd="0" presId="urn:microsoft.com/office/officeart/2005/8/layout/process2"/>
    <dgm:cxn modelId="{CBB7C880-2444-4043-9BEF-1B3C2B3AD748}" srcId="{60F5A2B7-5F41-4FC7-B6F1-A78570467F7C}" destId="{8FAE85BD-F4E7-4682-A97D-3486E48FE8D2}" srcOrd="3" destOrd="0" parTransId="{16110E1B-4682-4447-BBE7-A2FBAE4B3B59}" sibTransId="{F5DCF78A-7342-4548-BCEF-CF63A72C25AA}"/>
    <dgm:cxn modelId="{B41ACBBD-C400-4F9D-8530-92A6E379EA40}" srcId="{60F5A2B7-5F41-4FC7-B6F1-A78570467F7C}" destId="{ADBDF2DF-CE2E-4708-B837-B9FA3372CF03}" srcOrd="0" destOrd="0" parTransId="{E696199A-F5A7-4E6C-BD2B-A65AC92876FC}" sibTransId="{DB0413EC-8677-4877-9279-3C64FAB799C7}"/>
    <dgm:cxn modelId="{F251FAB0-CDFC-497E-822F-10C65AB7DC14}" type="presParOf" srcId="{3011CA99-35D5-4FAA-8C51-72DA8F32FC84}" destId="{A7AC4B29-2565-4ECF-92C2-B52FCC8CAEC0}" srcOrd="0" destOrd="0" presId="urn:microsoft.com/office/officeart/2005/8/layout/process2"/>
    <dgm:cxn modelId="{55546AF1-BB84-48BC-AFBE-0625D89F276A}" type="presParOf" srcId="{3011CA99-35D5-4FAA-8C51-72DA8F32FC84}" destId="{C6C07203-658C-482A-A686-5A71C2161CAD}" srcOrd="1" destOrd="0" presId="urn:microsoft.com/office/officeart/2005/8/layout/process2"/>
    <dgm:cxn modelId="{54EFD006-5A92-4197-9257-0C1AF57D513D}" type="presParOf" srcId="{C6C07203-658C-482A-A686-5A71C2161CAD}" destId="{191D6C9E-292D-43EA-B674-3032B2552FF0}" srcOrd="0" destOrd="0" presId="urn:microsoft.com/office/officeart/2005/8/layout/process2"/>
    <dgm:cxn modelId="{83E7F10D-194F-4B86-BEA8-C24E6F78B30F}" type="presParOf" srcId="{3011CA99-35D5-4FAA-8C51-72DA8F32FC84}" destId="{C9EBE379-3449-4E45-8860-FE32EA4146E9}" srcOrd="2" destOrd="0" presId="urn:microsoft.com/office/officeart/2005/8/layout/process2"/>
    <dgm:cxn modelId="{9BB00F22-B09E-4A61-9945-4BC5737C18F5}" type="presParOf" srcId="{3011CA99-35D5-4FAA-8C51-72DA8F32FC84}" destId="{C8673F8C-E3AB-4140-B85B-8340349C6D03}" srcOrd="3" destOrd="0" presId="urn:microsoft.com/office/officeart/2005/8/layout/process2"/>
    <dgm:cxn modelId="{43F1F2E3-858C-49F8-BD7A-CF25ECAAB7F0}" type="presParOf" srcId="{C8673F8C-E3AB-4140-B85B-8340349C6D03}" destId="{076F21A6-D458-4B7D-9954-29F75B15D51B}" srcOrd="0" destOrd="0" presId="urn:microsoft.com/office/officeart/2005/8/layout/process2"/>
    <dgm:cxn modelId="{614F209A-F4B0-4598-A978-38D3B8B87E5C}" type="presParOf" srcId="{3011CA99-35D5-4FAA-8C51-72DA8F32FC84}" destId="{77896D59-FD25-4D30-BCFA-1AA6D92D6254}" srcOrd="4" destOrd="0" presId="urn:microsoft.com/office/officeart/2005/8/layout/process2"/>
    <dgm:cxn modelId="{B2504F66-A404-4E58-AACB-6477942B9D3C}" type="presParOf" srcId="{3011CA99-35D5-4FAA-8C51-72DA8F32FC84}" destId="{2B8AAADE-460B-494E-ABDD-D37FB6EFFC7A}" srcOrd="5" destOrd="0" presId="urn:microsoft.com/office/officeart/2005/8/layout/process2"/>
    <dgm:cxn modelId="{98F2C21C-7899-4334-A7D8-565D543D9F9F}" type="presParOf" srcId="{2B8AAADE-460B-494E-ABDD-D37FB6EFFC7A}" destId="{28457E9E-F6E1-48B5-808F-9592F23D9BD8}" srcOrd="0" destOrd="0" presId="urn:microsoft.com/office/officeart/2005/8/layout/process2"/>
    <dgm:cxn modelId="{936E71C3-389B-4258-9B41-46AB03F579B7}" type="presParOf" srcId="{3011CA99-35D5-4FAA-8C51-72DA8F32FC84}" destId="{F9230D63-A9CA-48D2-8FFF-48D37BD5E985}" srcOrd="6" destOrd="0" presId="urn:microsoft.com/office/officeart/2005/8/layout/process2"/>
    <dgm:cxn modelId="{08B74DC9-4D0B-407B-BC37-C83B47698F3B}" type="presParOf" srcId="{3011CA99-35D5-4FAA-8C51-72DA8F32FC84}" destId="{7489F872-B232-4353-9FCA-7126A6D17EC0}" srcOrd="7" destOrd="0" presId="urn:microsoft.com/office/officeart/2005/8/layout/process2"/>
    <dgm:cxn modelId="{B453F04B-17F6-4897-9F80-CD52A99D98C8}" type="presParOf" srcId="{7489F872-B232-4353-9FCA-7126A6D17EC0}" destId="{04AC054D-7518-424C-A77C-CD2D71A2C4F4}" srcOrd="0" destOrd="0" presId="urn:microsoft.com/office/officeart/2005/8/layout/process2"/>
    <dgm:cxn modelId="{8112727B-402F-4CFB-94FA-8401CB7BA908}" type="presParOf" srcId="{3011CA99-35D5-4FAA-8C51-72DA8F32FC84}" destId="{269C9B20-F9CC-43BC-B0B6-88ABB22E2E90}" srcOrd="8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0F5A2B7-5F41-4FC7-B6F1-A78570467F7C}" type="doc">
      <dgm:prSet loTypeId="urn:microsoft.com/office/officeart/2005/8/layout/process2" loCatId="process" qsTypeId="urn:microsoft.com/office/officeart/2005/8/quickstyle/simple1" qsCatId="simple" csTypeId="urn:microsoft.com/office/officeart/2005/8/colors/accent0_1" csCatId="mainScheme" phldr="1"/>
      <dgm:spPr/>
    </dgm:pt>
    <dgm:pt modelId="{ADBDF2DF-CE2E-4708-B837-B9FA3372CF03}">
      <dgm:prSet phldrT="[Text]" custT="1"/>
      <dgm:spPr/>
      <dgm:t>
        <a:bodyPr/>
        <a:lstStyle/>
        <a:p>
          <a:pPr algn="l"/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Pregnant women with a prior spontaneous preterm birth &lt;37weeks were recruited.</a:t>
          </a:r>
        </a:p>
        <a:p>
          <a:pPr algn="l"/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 I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nitial screening  at ≤ 18 weeks gestation, all women underwent:</a:t>
          </a:r>
        </a:p>
        <a:p>
          <a:pPr algn="l"/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1. Transvaginal ultrasound scan for measurement of cervical length (CL) </a:t>
          </a:r>
        </a:p>
        <a:p>
          <a:pPr algn="l"/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2. High vaginal sampling. (Swab, frozen at -80°C for later 16s rRNA gene sequencing)</a:t>
          </a:r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696199A-F5A7-4E6C-BD2B-A65AC92876FC}" type="parTrans" cxnId="{B41ACBBD-C400-4F9D-8530-92A6E379EA40}">
      <dgm:prSet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B0413EC-8677-4877-9279-3C64FAB799C7}" type="sibTrans" cxnId="{B41ACBBD-C400-4F9D-8530-92A6E379EA40}">
      <dgm:prSet custT="1"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31539D0-67B0-4F84-8DD0-900525924E74}">
      <dgm:prSet phldrT="[Text]" custT="1"/>
      <dgm:spPr/>
      <dgm:t>
        <a:bodyPr/>
        <a:lstStyle/>
        <a:p>
          <a:pPr algn="l"/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Based on CL measurement at 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screening  at ≤ 18 weeks gestation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, participants were allocated into one of two groups:</a:t>
          </a:r>
        </a:p>
        <a:p>
          <a:pPr algn="l"/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1. Short CL &lt;25mm: Commenced on vaginal progesterone 400mg once daily until 34 weeks</a:t>
          </a:r>
        </a:p>
        <a:p>
          <a:pPr algn="l"/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2. Normal CL ≥ 25mm:  No intervention, and followed up as controls</a:t>
          </a:r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7264789-5E40-4582-9DA5-E5EAAB88C996}" type="parTrans" cxnId="{CFAE336D-E2B7-43B4-B325-D4C765CBD27E}">
      <dgm:prSet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610EF29-E993-48CF-9688-F5CB939294AE}" type="sibTrans" cxnId="{CFAE336D-E2B7-43B4-B325-D4C765CBD27E}">
      <dgm:prSet custT="1"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4C23461-8C47-44A3-8C2B-959BD8D35F53}">
      <dgm:prSet custT="1"/>
      <dgm:spPr/>
      <dgm:t>
        <a:bodyPr/>
        <a:lstStyle/>
        <a:p>
          <a:pPr algn="l"/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The impact of progesterone  on vaginal bacterial communities in high risk prgenancy was assessed through comparison of CST distributions 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in progesterone and control groups 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at 22, 28 and 34</a:t>
          </a:r>
          <a:r>
            <a:rPr lang="en-US" sz="1000" baseline="300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weeks. </a:t>
          </a:r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67CB11C-CF13-4784-9305-616E9C28D93E}" type="parTrans" cxnId="{97167D13-C52F-409F-910B-CDFB676A7BCD}">
      <dgm:prSet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6CF1839-2E77-414A-904F-906F5ABD70AC}" type="sibTrans" cxnId="{97167D13-C52F-409F-910B-CDFB676A7BCD}">
      <dgm:prSet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D24EABE-48A7-4B38-9525-B1601FCE45F9}">
      <dgm:prSet phldrT="[Text]" custT="1"/>
      <dgm:spPr/>
      <dgm:t>
        <a:bodyPr/>
        <a:lstStyle/>
        <a:p>
          <a:pPr algn="l"/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Samples were classified into community state types based on </a:t>
          </a:r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16s rRNA species sequence data</a:t>
          </a:r>
          <a:r>
            <a:rPr lang="en-GB" sz="1000">
              <a:latin typeface="Arial" panose="020B0604020202020204" pitchFamily="34" charset="0"/>
              <a:cs typeface="Arial" panose="020B0604020202020204" pitchFamily="34" charset="0"/>
            </a:rPr>
            <a:t> (as per cross-sectional study)</a:t>
          </a:r>
        </a:p>
      </dgm:t>
    </dgm:pt>
    <dgm:pt modelId="{B781DAB1-4414-4472-93F0-C004B798E179}" type="parTrans" cxnId="{7CF08282-6851-49C7-9C38-667E0912D4D5}">
      <dgm:prSet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31F72D4-468B-4D71-A6B3-0222451572A3}" type="sibTrans" cxnId="{7CF08282-6851-49C7-9C38-667E0912D4D5}">
      <dgm:prSet custT="1"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C58F0D5-4569-41DE-9669-6931B852B4B8}">
      <dgm:prSet phldrT="[Text]" custT="1"/>
      <dgm:spPr/>
      <dgm:t>
        <a:bodyPr/>
        <a:lstStyle/>
        <a:p>
          <a:pPr algn="l"/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Both progesterone and control groups were followed up longituinally a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t 22, 28 and 34 weeks gestation, and a </a:t>
          </a:r>
          <a:r>
            <a:rPr lang="en-US" sz="1000">
              <a:latin typeface="Arial" panose="020B0604020202020204" pitchFamily="34" charset="0"/>
              <a:cs typeface="Arial" panose="020B0604020202020204" pitchFamily="34" charset="0"/>
            </a:rPr>
            <a:t>vaginal swab was taken at each timepoint.</a:t>
          </a:r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E86CA40-A9FB-4C7C-B773-F2B18AEFFD88}" type="parTrans" cxnId="{BEBB82CB-4E9F-428D-943F-EB12A1A07004}">
      <dgm:prSet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0A35BC8-D412-4BEB-982B-776EB8A09B19}" type="sibTrans" cxnId="{BEBB82CB-4E9F-428D-943F-EB12A1A07004}">
      <dgm:prSet custT="1"/>
      <dgm:spPr/>
      <dgm:t>
        <a:bodyPr/>
        <a:lstStyle/>
        <a:p>
          <a:pPr algn="l"/>
          <a:endParaRPr lang="en-GB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011CA99-35D5-4FAA-8C51-72DA8F32FC84}" type="pres">
      <dgm:prSet presAssocID="{60F5A2B7-5F41-4FC7-B6F1-A78570467F7C}" presName="linearFlow" presStyleCnt="0">
        <dgm:presLayoutVars>
          <dgm:resizeHandles val="exact"/>
        </dgm:presLayoutVars>
      </dgm:prSet>
      <dgm:spPr/>
    </dgm:pt>
    <dgm:pt modelId="{A7AC4B29-2565-4ECF-92C2-B52FCC8CAEC0}" type="pres">
      <dgm:prSet presAssocID="{ADBDF2DF-CE2E-4708-B837-B9FA3372CF03}" presName="node" presStyleLbl="node1" presStyleIdx="0" presStyleCnt="5" custScaleX="292634" custScaleY="10337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C6C07203-658C-482A-A686-5A71C2161CAD}" type="pres">
      <dgm:prSet presAssocID="{DB0413EC-8677-4877-9279-3C64FAB799C7}" presName="sibTrans" presStyleLbl="sibTrans2D1" presStyleIdx="0" presStyleCnt="4"/>
      <dgm:spPr/>
    </dgm:pt>
    <dgm:pt modelId="{191D6C9E-292D-43EA-B674-3032B2552FF0}" type="pres">
      <dgm:prSet presAssocID="{DB0413EC-8677-4877-9279-3C64FAB799C7}" presName="connectorText" presStyleLbl="sibTrans2D1" presStyleIdx="0" presStyleCnt="4"/>
      <dgm:spPr/>
    </dgm:pt>
    <dgm:pt modelId="{C9EBE379-3449-4E45-8860-FE32EA4146E9}" type="pres">
      <dgm:prSet presAssocID="{031539D0-67B0-4F84-8DD0-900525924E74}" presName="node" presStyleLbl="node1" presStyleIdx="1" presStyleCnt="5" custScaleX="292634" custScaleY="8298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C8673F8C-E3AB-4140-B85B-8340349C6D03}" type="pres">
      <dgm:prSet presAssocID="{3610EF29-E993-48CF-9688-F5CB939294AE}" presName="sibTrans" presStyleLbl="sibTrans2D1" presStyleIdx="1" presStyleCnt="4"/>
      <dgm:spPr/>
    </dgm:pt>
    <dgm:pt modelId="{076F21A6-D458-4B7D-9954-29F75B15D51B}" type="pres">
      <dgm:prSet presAssocID="{3610EF29-E993-48CF-9688-F5CB939294AE}" presName="connectorText" presStyleLbl="sibTrans2D1" presStyleIdx="1" presStyleCnt="4"/>
      <dgm:spPr/>
    </dgm:pt>
    <dgm:pt modelId="{7DBEC463-0135-443E-9117-6919CD9DBA24}" type="pres">
      <dgm:prSet presAssocID="{EC58F0D5-4569-41DE-9669-6931B852B4B8}" presName="node" presStyleLbl="node1" presStyleIdx="2" presStyleCnt="5" custScaleX="292634" custScaleY="5256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FE6277A1-CD2B-4E80-BAC7-926A80EE70B5}" type="pres">
      <dgm:prSet presAssocID="{20A35BC8-D412-4BEB-982B-776EB8A09B19}" presName="sibTrans" presStyleLbl="sibTrans2D1" presStyleIdx="2" presStyleCnt="4" custLinFactNeighborY="4571"/>
      <dgm:spPr/>
    </dgm:pt>
    <dgm:pt modelId="{62ADABB0-015A-4D70-8FC9-1D6AD42F7D0C}" type="pres">
      <dgm:prSet presAssocID="{20A35BC8-D412-4BEB-982B-776EB8A09B19}" presName="connectorText" presStyleLbl="sibTrans2D1" presStyleIdx="2" presStyleCnt="4"/>
      <dgm:spPr/>
    </dgm:pt>
    <dgm:pt modelId="{4154C40A-6A6C-48B0-B53A-E003804D392F}" type="pres">
      <dgm:prSet presAssocID="{DD24EABE-48A7-4B38-9525-B1601FCE45F9}" presName="node" presStyleLbl="node1" presStyleIdx="3" presStyleCnt="5" custScaleX="292634" custScaleY="54099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D9F3C828-2CDB-456A-B041-E905D87DC3BF}" type="pres">
      <dgm:prSet presAssocID="{131F72D4-468B-4D71-A6B3-0222451572A3}" presName="sibTrans" presStyleLbl="sibTrans2D1" presStyleIdx="3" presStyleCnt="4" custLinFactNeighborY="4571"/>
      <dgm:spPr/>
    </dgm:pt>
    <dgm:pt modelId="{64189C28-01E2-4E0F-AD1A-23B0F5B34C90}" type="pres">
      <dgm:prSet presAssocID="{131F72D4-468B-4D71-A6B3-0222451572A3}" presName="connectorText" presStyleLbl="sibTrans2D1" presStyleIdx="3" presStyleCnt="4"/>
      <dgm:spPr/>
    </dgm:pt>
    <dgm:pt modelId="{269C9B20-F9CC-43BC-B0B6-88ABB22E2E90}" type="pres">
      <dgm:prSet presAssocID="{A4C23461-8C47-44A3-8C2B-959BD8D35F53}" presName="node" presStyleLbl="node1" presStyleIdx="4" presStyleCnt="5" custScaleX="292634" custScaleY="56837" custLinFactNeighborX="-1193" custLinFactNeighborY="53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E07B285A-A973-4488-B1CA-0AFA0B539175}" type="presOf" srcId="{DB0413EC-8677-4877-9279-3C64FAB799C7}" destId="{C6C07203-658C-482A-A686-5A71C2161CAD}" srcOrd="0" destOrd="0" presId="urn:microsoft.com/office/officeart/2005/8/layout/process2"/>
    <dgm:cxn modelId="{CD29721C-8A87-4BE1-AAD8-FD1D891DE229}" type="presOf" srcId="{3610EF29-E993-48CF-9688-F5CB939294AE}" destId="{076F21A6-D458-4B7D-9954-29F75B15D51B}" srcOrd="1" destOrd="0" presId="urn:microsoft.com/office/officeart/2005/8/layout/process2"/>
    <dgm:cxn modelId="{F82E89B8-E111-4ACD-BDDE-63640FBB6B0D}" type="presOf" srcId="{DB0413EC-8677-4877-9279-3C64FAB799C7}" destId="{191D6C9E-292D-43EA-B674-3032B2552FF0}" srcOrd="1" destOrd="0" presId="urn:microsoft.com/office/officeart/2005/8/layout/process2"/>
    <dgm:cxn modelId="{9155EEB4-C253-4ED4-A65B-AC6C65E30A57}" type="presOf" srcId="{A4C23461-8C47-44A3-8C2B-959BD8D35F53}" destId="{269C9B20-F9CC-43BC-B0B6-88ABB22E2E90}" srcOrd="0" destOrd="0" presId="urn:microsoft.com/office/officeart/2005/8/layout/process2"/>
    <dgm:cxn modelId="{80DBC142-2FD3-49FD-93FE-B836C52A37A4}" type="presOf" srcId="{20A35BC8-D412-4BEB-982B-776EB8A09B19}" destId="{62ADABB0-015A-4D70-8FC9-1D6AD42F7D0C}" srcOrd="1" destOrd="0" presId="urn:microsoft.com/office/officeart/2005/8/layout/process2"/>
    <dgm:cxn modelId="{AB64286D-7FE3-4F72-8F2F-64A344C06E55}" type="presOf" srcId="{031539D0-67B0-4F84-8DD0-900525924E74}" destId="{C9EBE379-3449-4E45-8860-FE32EA4146E9}" srcOrd="0" destOrd="0" presId="urn:microsoft.com/office/officeart/2005/8/layout/process2"/>
    <dgm:cxn modelId="{8BBCDE25-92D1-46EE-859F-4E1D5D28657E}" type="presOf" srcId="{20A35BC8-D412-4BEB-982B-776EB8A09B19}" destId="{FE6277A1-CD2B-4E80-BAC7-926A80EE70B5}" srcOrd="0" destOrd="0" presId="urn:microsoft.com/office/officeart/2005/8/layout/process2"/>
    <dgm:cxn modelId="{7CF08282-6851-49C7-9C38-667E0912D4D5}" srcId="{60F5A2B7-5F41-4FC7-B6F1-A78570467F7C}" destId="{DD24EABE-48A7-4B38-9525-B1601FCE45F9}" srcOrd="3" destOrd="0" parTransId="{B781DAB1-4414-4472-93F0-C004B798E179}" sibTransId="{131F72D4-468B-4D71-A6B3-0222451572A3}"/>
    <dgm:cxn modelId="{310D4463-524E-4BB1-9FB8-0D7C92384098}" type="presOf" srcId="{131F72D4-468B-4D71-A6B3-0222451572A3}" destId="{64189C28-01E2-4E0F-AD1A-23B0F5B34C90}" srcOrd="1" destOrd="0" presId="urn:microsoft.com/office/officeart/2005/8/layout/process2"/>
    <dgm:cxn modelId="{974CA52A-B780-4790-8031-E049A39DD4A1}" type="presOf" srcId="{3610EF29-E993-48CF-9688-F5CB939294AE}" destId="{C8673F8C-E3AB-4140-B85B-8340349C6D03}" srcOrd="0" destOrd="0" presId="urn:microsoft.com/office/officeart/2005/8/layout/process2"/>
    <dgm:cxn modelId="{086F908C-17E6-4675-86E3-F30A3512C0EA}" type="presOf" srcId="{ADBDF2DF-CE2E-4708-B837-B9FA3372CF03}" destId="{A7AC4B29-2565-4ECF-92C2-B52FCC8CAEC0}" srcOrd="0" destOrd="0" presId="urn:microsoft.com/office/officeart/2005/8/layout/process2"/>
    <dgm:cxn modelId="{A26566AC-219C-4314-9E16-8BC48E1B150E}" type="presOf" srcId="{131F72D4-468B-4D71-A6B3-0222451572A3}" destId="{D9F3C828-2CDB-456A-B041-E905D87DC3BF}" srcOrd="0" destOrd="0" presId="urn:microsoft.com/office/officeart/2005/8/layout/process2"/>
    <dgm:cxn modelId="{97167D13-C52F-409F-910B-CDFB676A7BCD}" srcId="{60F5A2B7-5F41-4FC7-B6F1-A78570467F7C}" destId="{A4C23461-8C47-44A3-8C2B-959BD8D35F53}" srcOrd="4" destOrd="0" parTransId="{867CB11C-CF13-4784-9305-616E9C28D93E}" sibTransId="{A6CF1839-2E77-414A-904F-906F5ABD70AC}"/>
    <dgm:cxn modelId="{EBD795E2-50B9-4C46-BBFA-61EDAEFB0F72}" type="presOf" srcId="{60F5A2B7-5F41-4FC7-B6F1-A78570467F7C}" destId="{3011CA99-35D5-4FAA-8C51-72DA8F32FC84}" srcOrd="0" destOrd="0" presId="urn:microsoft.com/office/officeart/2005/8/layout/process2"/>
    <dgm:cxn modelId="{BEBB82CB-4E9F-428D-943F-EB12A1A07004}" srcId="{60F5A2B7-5F41-4FC7-B6F1-A78570467F7C}" destId="{EC58F0D5-4569-41DE-9669-6931B852B4B8}" srcOrd="2" destOrd="0" parTransId="{9E86CA40-A9FB-4C7C-B773-F2B18AEFFD88}" sibTransId="{20A35BC8-D412-4BEB-982B-776EB8A09B19}"/>
    <dgm:cxn modelId="{150BFBE7-E93A-48DA-8EBA-F6463E7D3435}" type="presOf" srcId="{DD24EABE-48A7-4B38-9525-B1601FCE45F9}" destId="{4154C40A-6A6C-48B0-B53A-E003804D392F}" srcOrd="0" destOrd="0" presId="urn:microsoft.com/office/officeart/2005/8/layout/process2"/>
    <dgm:cxn modelId="{CFAE336D-E2B7-43B4-B325-D4C765CBD27E}" srcId="{60F5A2B7-5F41-4FC7-B6F1-A78570467F7C}" destId="{031539D0-67B0-4F84-8DD0-900525924E74}" srcOrd="1" destOrd="0" parTransId="{27264789-5E40-4582-9DA5-E5EAAB88C996}" sibTransId="{3610EF29-E993-48CF-9688-F5CB939294AE}"/>
    <dgm:cxn modelId="{B41ACBBD-C400-4F9D-8530-92A6E379EA40}" srcId="{60F5A2B7-5F41-4FC7-B6F1-A78570467F7C}" destId="{ADBDF2DF-CE2E-4708-B837-B9FA3372CF03}" srcOrd="0" destOrd="0" parTransId="{E696199A-F5A7-4E6C-BD2B-A65AC92876FC}" sibTransId="{DB0413EC-8677-4877-9279-3C64FAB799C7}"/>
    <dgm:cxn modelId="{3EBE926D-1E6F-477B-8F39-6E8358656B6B}" type="presOf" srcId="{EC58F0D5-4569-41DE-9669-6931B852B4B8}" destId="{7DBEC463-0135-443E-9117-6919CD9DBA24}" srcOrd="0" destOrd="0" presId="urn:microsoft.com/office/officeart/2005/8/layout/process2"/>
    <dgm:cxn modelId="{FB9269E4-AEC4-4511-BC97-4A24148697D2}" type="presParOf" srcId="{3011CA99-35D5-4FAA-8C51-72DA8F32FC84}" destId="{A7AC4B29-2565-4ECF-92C2-B52FCC8CAEC0}" srcOrd="0" destOrd="0" presId="urn:microsoft.com/office/officeart/2005/8/layout/process2"/>
    <dgm:cxn modelId="{4377F0E3-B012-4CBD-B0F5-722181F97DA2}" type="presParOf" srcId="{3011CA99-35D5-4FAA-8C51-72DA8F32FC84}" destId="{C6C07203-658C-482A-A686-5A71C2161CAD}" srcOrd="1" destOrd="0" presId="urn:microsoft.com/office/officeart/2005/8/layout/process2"/>
    <dgm:cxn modelId="{92E7F15C-69A2-4C5F-AEC5-3887A62F77A4}" type="presParOf" srcId="{C6C07203-658C-482A-A686-5A71C2161CAD}" destId="{191D6C9E-292D-43EA-B674-3032B2552FF0}" srcOrd="0" destOrd="0" presId="urn:microsoft.com/office/officeart/2005/8/layout/process2"/>
    <dgm:cxn modelId="{FFA5379E-9F43-46BE-806F-8DC2844018F3}" type="presParOf" srcId="{3011CA99-35D5-4FAA-8C51-72DA8F32FC84}" destId="{C9EBE379-3449-4E45-8860-FE32EA4146E9}" srcOrd="2" destOrd="0" presId="urn:microsoft.com/office/officeart/2005/8/layout/process2"/>
    <dgm:cxn modelId="{01BCF267-2901-430C-A9DC-FAD656469193}" type="presParOf" srcId="{3011CA99-35D5-4FAA-8C51-72DA8F32FC84}" destId="{C8673F8C-E3AB-4140-B85B-8340349C6D03}" srcOrd="3" destOrd="0" presId="urn:microsoft.com/office/officeart/2005/8/layout/process2"/>
    <dgm:cxn modelId="{2689CD67-966B-4637-B458-2E7F54E05B4C}" type="presParOf" srcId="{C8673F8C-E3AB-4140-B85B-8340349C6D03}" destId="{076F21A6-D458-4B7D-9954-29F75B15D51B}" srcOrd="0" destOrd="0" presId="urn:microsoft.com/office/officeart/2005/8/layout/process2"/>
    <dgm:cxn modelId="{9B4BE43A-DFFE-406A-A69B-2F261F9513EA}" type="presParOf" srcId="{3011CA99-35D5-4FAA-8C51-72DA8F32FC84}" destId="{7DBEC463-0135-443E-9117-6919CD9DBA24}" srcOrd="4" destOrd="0" presId="urn:microsoft.com/office/officeart/2005/8/layout/process2"/>
    <dgm:cxn modelId="{88AB08D6-3024-4855-A0DD-44F7EC1EF2F8}" type="presParOf" srcId="{3011CA99-35D5-4FAA-8C51-72DA8F32FC84}" destId="{FE6277A1-CD2B-4E80-BAC7-926A80EE70B5}" srcOrd="5" destOrd="0" presId="urn:microsoft.com/office/officeart/2005/8/layout/process2"/>
    <dgm:cxn modelId="{E1D1FF02-6506-473B-90A2-179092063F3B}" type="presParOf" srcId="{FE6277A1-CD2B-4E80-BAC7-926A80EE70B5}" destId="{62ADABB0-015A-4D70-8FC9-1D6AD42F7D0C}" srcOrd="0" destOrd="0" presId="urn:microsoft.com/office/officeart/2005/8/layout/process2"/>
    <dgm:cxn modelId="{4FC72B27-15D4-4218-AC82-5921694919FB}" type="presParOf" srcId="{3011CA99-35D5-4FAA-8C51-72DA8F32FC84}" destId="{4154C40A-6A6C-48B0-B53A-E003804D392F}" srcOrd="6" destOrd="0" presId="urn:microsoft.com/office/officeart/2005/8/layout/process2"/>
    <dgm:cxn modelId="{18CF2036-5D9A-4564-BF92-88F764CEF8CC}" type="presParOf" srcId="{3011CA99-35D5-4FAA-8C51-72DA8F32FC84}" destId="{D9F3C828-2CDB-456A-B041-E905D87DC3BF}" srcOrd="7" destOrd="0" presId="urn:microsoft.com/office/officeart/2005/8/layout/process2"/>
    <dgm:cxn modelId="{FA48EF75-53A4-4892-B5E9-DE2827508637}" type="presParOf" srcId="{D9F3C828-2CDB-456A-B041-E905D87DC3BF}" destId="{64189C28-01E2-4E0F-AD1A-23B0F5B34C90}" srcOrd="0" destOrd="0" presId="urn:microsoft.com/office/officeart/2005/8/layout/process2"/>
    <dgm:cxn modelId="{41F640AD-F33A-4018-84C7-38CE749CC859}" type="presParOf" srcId="{3011CA99-35D5-4FAA-8C51-72DA8F32FC84}" destId="{269C9B20-F9CC-43BC-B0B6-88ABB22E2E90}" srcOrd="8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7AC4B29-2565-4ECF-92C2-B52FCC8CAEC0}">
      <dsp:nvSpPr>
        <dsp:cNvPr id="0" name=""/>
        <dsp:cNvSpPr/>
      </dsp:nvSpPr>
      <dsp:spPr>
        <a:xfrm>
          <a:off x="33451" y="3143"/>
          <a:ext cx="5436749" cy="98573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Pregnant women with a prior spontaneous preterm birth &lt;37weeks attending preterm surviellance clinic were recruited at 16 weeks gestation.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Consenting participants underwent: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1. Transvaginal ultrasound scan  for measurement of cervical length (CL)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2. High vaginal sampling. (Swab, frozen at -80°C for later 16s rRNA gene sequencing)</a:t>
          </a:r>
        </a:p>
      </dsp:txBody>
      <dsp:txXfrm>
        <a:off x="62322" y="32014"/>
        <a:ext cx="5379007" cy="927995"/>
      </dsp:txXfrm>
    </dsp:sp>
    <dsp:sp modelId="{C6C07203-658C-482A-A686-5A71C2161CAD}">
      <dsp:nvSpPr>
        <dsp:cNvPr id="0" name=""/>
        <dsp:cNvSpPr/>
      </dsp:nvSpPr>
      <dsp:spPr>
        <a:xfrm rot="5400000">
          <a:off x="2582713" y="988693"/>
          <a:ext cx="301745" cy="402564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-5400000">
        <a:off x="2612817" y="1039103"/>
        <a:ext cx="241538" cy="211222"/>
      </dsp:txXfrm>
    </dsp:sp>
    <dsp:sp modelId="{C9EBE379-3449-4E45-8860-FE32EA4146E9}">
      <dsp:nvSpPr>
        <dsp:cNvPr id="0" name=""/>
        <dsp:cNvSpPr/>
      </dsp:nvSpPr>
      <dsp:spPr>
        <a:xfrm>
          <a:off x="0" y="1391069"/>
          <a:ext cx="5436749" cy="75528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Subsequent clinical care was not influenced by participation in the study. 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(Indication for intervention was a CL &lt;25mm measured at ≤23</a:t>
          </a:r>
          <a:r>
            <a:rPr lang="en-US" sz="1000" kern="1200" baseline="30000">
              <a:latin typeface="Arial" panose="020B0604020202020204" pitchFamily="34" charset="0"/>
              <a:cs typeface="Arial" panose="020B0604020202020204" pitchFamily="34" charset="0"/>
            </a:rPr>
            <a:t>+6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 weeks gestation, 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as per local hospital guidelines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. Choice of intervention, cerclage or progesterone, was at the discretion of the clinician)</a:t>
          </a: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2121" y="1413190"/>
        <a:ext cx="5392507" cy="711040"/>
      </dsp:txXfrm>
    </dsp:sp>
    <dsp:sp modelId="{C8673F8C-E3AB-4140-B85B-8340349C6D03}">
      <dsp:nvSpPr>
        <dsp:cNvPr id="0" name=""/>
        <dsp:cNvSpPr/>
      </dsp:nvSpPr>
      <dsp:spPr>
        <a:xfrm rot="5429427">
          <a:off x="2564742" y="2167410"/>
          <a:ext cx="333591" cy="402564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-5400000">
        <a:off x="2611197" y="2201898"/>
        <a:ext cx="241538" cy="233514"/>
      </dsp:txXfrm>
    </dsp:sp>
    <dsp:sp modelId="{77896D59-FD25-4D30-BCFA-1AA6D92D6254}">
      <dsp:nvSpPr>
        <dsp:cNvPr id="0" name=""/>
        <dsp:cNvSpPr/>
      </dsp:nvSpPr>
      <dsp:spPr>
        <a:xfrm>
          <a:off x="23011" y="2591033"/>
          <a:ext cx="5436749" cy="45300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Metadata collected included: gestation age at sampling, subsequent interventions for preterm birth, gestation at birth, BMI, ethnicity.</a:t>
          </a: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6279" y="2604301"/>
        <a:ext cx="5410213" cy="426465"/>
      </dsp:txXfrm>
    </dsp:sp>
    <dsp:sp modelId="{2B8AAADE-460B-494E-ABDD-D37FB6EFFC7A}">
      <dsp:nvSpPr>
        <dsp:cNvPr id="0" name=""/>
        <dsp:cNvSpPr/>
      </dsp:nvSpPr>
      <dsp:spPr>
        <a:xfrm rot="5357822">
          <a:off x="2563489" y="3065928"/>
          <a:ext cx="334853" cy="402564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-5400000">
        <a:off x="2609531" y="3099787"/>
        <a:ext cx="241538" cy="234397"/>
      </dsp:txXfrm>
    </dsp:sp>
    <dsp:sp modelId="{F9230D63-A9CA-48D2-8FFF-48D37BD5E985}">
      <dsp:nvSpPr>
        <dsp:cNvPr id="0" name=""/>
        <dsp:cNvSpPr/>
      </dsp:nvSpPr>
      <dsp:spPr>
        <a:xfrm>
          <a:off x="0" y="3490385"/>
          <a:ext cx="5436749" cy="63097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Hierarchical clustering analysis of </a:t>
          </a: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16s rRNA 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species </a:t>
          </a: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sequence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 data 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classified vaginal bacterial communities into community state types (CSTs); I (</a:t>
          </a:r>
          <a:r>
            <a:rPr lang="en-US" sz="1000" i="1" kern="1200">
              <a:latin typeface="Arial" panose="020B0604020202020204" pitchFamily="34" charset="0"/>
              <a:cs typeface="Arial" panose="020B0604020202020204" pitchFamily="34" charset="0"/>
            </a:rPr>
            <a:t>L. crispatus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), II (</a:t>
          </a:r>
          <a:r>
            <a:rPr lang="en-US" sz="1000" i="1" kern="1200">
              <a:latin typeface="Arial" panose="020B0604020202020204" pitchFamily="34" charset="0"/>
              <a:cs typeface="Arial" panose="020B0604020202020204" pitchFamily="34" charset="0"/>
            </a:rPr>
            <a:t>L. gasseri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), III (</a:t>
          </a:r>
          <a:r>
            <a:rPr lang="en-US" sz="1000" i="1" kern="1200">
              <a:latin typeface="Arial" panose="020B0604020202020204" pitchFamily="34" charset="0"/>
              <a:cs typeface="Arial" panose="020B0604020202020204" pitchFamily="34" charset="0"/>
            </a:rPr>
            <a:t>L. iners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), IV (mixed bacterial species) and V (</a:t>
          </a:r>
          <a:r>
            <a:rPr lang="en-US" sz="1000" i="1" kern="1200">
              <a:latin typeface="Arial" panose="020B0604020202020204" pitchFamily="34" charset="0"/>
              <a:cs typeface="Arial" panose="020B0604020202020204" pitchFamily="34" charset="0"/>
            </a:rPr>
            <a:t>L. jensenii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). </a:t>
          </a: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8480" y="3508865"/>
        <a:ext cx="5399789" cy="594010"/>
      </dsp:txXfrm>
    </dsp:sp>
    <dsp:sp modelId="{7489F872-B232-4353-9FCA-7126A6D17EC0}">
      <dsp:nvSpPr>
        <dsp:cNvPr id="0" name=""/>
        <dsp:cNvSpPr/>
      </dsp:nvSpPr>
      <dsp:spPr>
        <a:xfrm rot="5400000">
          <a:off x="2548469" y="4168051"/>
          <a:ext cx="372119" cy="402564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-5400000">
        <a:off x="2613759" y="4183274"/>
        <a:ext cx="241538" cy="260483"/>
      </dsp:txXfrm>
    </dsp:sp>
    <dsp:sp modelId="{269C9B20-F9CC-43BC-B0B6-88ABB22E2E90}">
      <dsp:nvSpPr>
        <dsp:cNvPr id="0" name=""/>
        <dsp:cNvSpPr/>
      </dsp:nvSpPr>
      <dsp:spPr>
        <a:xfrm>
          <a:off x="0" y="4617310"/>
          <a:ext cx="5503653" cy="71066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Vaginal CSTs were compared to </a:t>
          </a: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ethnicity, cervical length and requirement for future intervention, and subsequent gestation at birth (&lt;34 weeks, 34-27 weeks, and ≥37 weeks).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Accuracy parameters (sensitivity, specificity, positive predictive and negative predictive values) were calculated for the prediction of preterm birth &lt;34weeks according to CST</a:t>
          </a:r>
        </a:p>
      </dsp:txBody>
      <dsp:txXfrm>
        <a:off x="20815" y="4638125"/>
        <a:ext cx="5462023" cy="66903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7AC4B29-2565-4ECF-92C2-B52FCC8CAEC0}">
      <dsp:nvSpPr>
        <dsp:cNvPr id="0" name=""/>
        <dsp:cNvSpPr/>
      </dsp:nvSpPr>
      <dsp:spPr>
        <a:xfrm>
          <a:off x="0" y="5520"/>
          <a:ext cx="5486400" cy="94506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Pregnant women with a prior spontaneous preterm birth &lt;37weeks were recruited.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 I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nitial screening  at ≤ 18 weeks gestation, all women underwent: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1. Transvaginal ultrasound scan for measurement of cervical length (CL)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2. High vaginal sampling. (Swab, frozen at -80°C for later 16s rRNA gene sequencing)</a:t>
          </a: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7680" y="33200"/>
        <a:ext cx="5431040" cy="889701"/>
      </dsp:txXfrm>
    </dsp:sp>
    <dsp:sp modelId="{C6C07203-658C-482A-A686-5A71C2161CAD}">
      <dsp:nvSpPr>
        <dsp:cNvPr id="0" name=""/>
        <dsp:cNvSpPr/>
      </dsp:nvSpPr>
      <dsp:spPr>
        <a:xfrm rot="5400000">
          <a:off x="2571791" y="973436"/>
          <a:ext cx="342817" cy="411381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-5400000">
        <a:off x="2619786" y="1007718"/>
        <a:ext cx="246829" cy="239972"/>
      </dsp:txXfrm>
    </dsp:sp>
    <dsp:sp modelId="{C9EBE379-3449-4E45-8860-FE32EA4146E9}">
      <dsp:nvSpPr>
        <dsp:cNvPr id="0" name=""/>
        <dsp:cNvSpPr/>
      </dsp:nvSpPr>
      <dsp:spPr>
        <a:xfrm>
          <a:off x="0" y="1407672"/>
          <a:ext cx="5486400" cy="75866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Based on CL measurement at 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screening  at ≤ 18 weeks gestation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, participants were allocated into one of two groups: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1. Short CL &lt;25mm: Commenced on vaginal progesterone 400mg once daily until 34 weeks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2. Normal CL ≥ 25mm:  No intervention, and followed up as controls</a:t>
          </a: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2220" y="1429892"/>
        <a:ext cx="5441960" cy="714220"/>
      </dsp:txXfrm>
    </dsp:sp>
    <dsp:sp modelId="{C8673F8C-E3AB-4140-B85B-8340349C6D03}">
      <dsp:nvSpPr>
        <dsp:cNvPr id="0" name=""/>
        <dsp:cNvSpPr/>
      </dsp:nvSpPr>
      <dsp:spPr>
        <a:xfrm rot="5400000">
          <a:off x="2571791" y="2189186"/>
          <a:ext cx="342817" cy="411381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-5400000">
        <a:off x="2619786" y="2223468"/>
        <a:ext cx="246829" cy="239972"/>
      </dsp:txXfrm>
    </dsp:sp>
    <dsp:sp modelId="{7DBEC463-0135-443E-9117-6919CD9DBA24}">
      <dsp:nvSpPr>
        <dsp:cNvPr id="0" name=""/>
        <dsp:cNvSpPr/>
      </dsp:nvSpPr>
      <dsp:spPr>
        <a:xfrm>
          <a:off x="0" y="2623422"/>
          <a:ext cx="5486400" cy="48054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Both progesterone and control groups were followed up longituinally a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t 22, 28 and 34 weeks gestation, and a 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vaginal swab was taken at each timepoint.</a:t>
          </a: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4075" y="2637497"/>
        <a:ext cx="5458250" cy="452398"/>
      </dsp:txXfrm>
    </dsp:sp>
    <dsp:sp modelId="{FE6277A1-CD2B-4E80-BAC7-926A80EE70B5}">
      <dsp:nvSpPr>
        <dsp:cNvPr id="0" name=""/>
        <dsp:cNvSpPr/>
      </dsp:nvSpPr>
      <dsp:spPr>
        <a:xfrm rot="5400000">
          <a:off x="2571791" y="3145629"/>
          <a:ext cx="342817" cy="411381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-5400000">
        <a:off x="2619786" y="3179911"/>
        <a:ext cx="246829" cy="239972"/>
      </dsp:txXfrm>
    </dsp:sp>
    <dsp:sp modelId="{4154C40A-6A6C-48B0-B53A-E003804D392F}">
      <dsp:nvSpPr>
        <dsp:cNvPr id="0" name=""/>
        <dsp:cNvSpPr/>
      </dsp:nvSpPr>
      <dsp:spPr>
        <a:xfrm>
          <a:off x="0" y="3561060"/>
          <a:ext cx="5486400" cy="49456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Samples were classified into community state types based on </a:t>
          </a: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16s rRNA species sequence data</a:t>
          </a:r>
          <a:r>
            <a:rPr lang="en-GB" sz="1000" kern="1200">
              <a:latin typeface="Arial" panose="020B0604020202020204" pitchFamily="34" charset="0"/>
              <a:cs typeface="Arial" panose="020B0604020202020204" pitchFamily="34" charset="0"/>
            </a:rPr>
            <a:t> (as per cross-sectional study)</a:t>
          </a:r>
        </a:p>
      </dsp:txBody>
      <dsp:txXfrm>
        <a:off x="14485" y="3575545"/>
        <a:ext cx="5457430" cy="465592"/>
      </dsp:txXfrm>
    </dsp:sp>
    <dsp:sp modelId="{D9F3C828-2CDB-456A-B041-E905D87DC3BF}">
      <dsp:nvSpPr>
        <dsp:cNvPr id="0" name=""/>
        <dsp:cNvSpPr/>
      </dsp:nvSpPr>
      <dsp:spPr>
        <a:xfrm rot="5400000">
          <a:off x="2570868" y="4098511"/>
          <a:ext cx="344662" cy="411381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-5400000">
        <a:off x="2619785" y="4131871"/>
        <a:ext cx="246829" cy="241263"/>
      </dsp:txXfrm>
    </dsp:sp>
    <dsp:sp modelId="{269C9B20-F9CC-43BC-B0B6-88ABB22E2E90}">
      <dsp:nvSpPr>
        <dsp:cNvPr id="0" name=""/>
        <dsp:cNvSpPr/>
      </dsp:nvSpPr>
      <dsp:spPr>
        <a:xfrm>
          <a:off x="0" y="4515172"/>
          <a:ext cx="5486400" cy="51959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The impact of progesterone  on vaginal bacterial communities in high risk prgenancy was assessed through comparison of CST distributions 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in progesterone and control groups 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at 22, 28 and 34</a:t>
          </a:r>
          <a:r>
            <a:rPr lang="en-US" sz="1000" kern="1200" baseline="300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US" sz="1000" kern="1200">
              <a:latin typeface="Arial" panose="020B0604020202020204" pitchFamily="34" charset="0"/>
              <a:cs typeface="Arial" panose="020B0604020202020204" pitchFamily="34" charset="0"/>
            </a:rPr>
            <a:t>weeks. </a:t>
          </a: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5218" y="4530390"/>
        <a:ext cx="5455964" cy="4891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Lins and Martyn</dc:creator>
  <cp:lastModifiedBy>Lins and Martyn</cp:lastModifiedBy>
  <cp:revision>7</cp:revision>
  <dcterms:created xsi:type="dcterms:W3CDTF">2016-10-29T07:25:00Z</dcterms:created>
  <dcterms:modified xsi:type="dcterms:W3CDTF">2016-10-29T09:25:00Z</dcterms:modified>
</cp:coreProperties>
</file>