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069" w:rsidRPr="00517CC0" w:rsidRDefault="00D73069" w:rsidP="00D73069">
      <w:pPr>
        <w:spacing w:after="0" w:line="240" w:lineRule="auto"/>
        <w:jc w:val="both"/>
        <w:rPr>
          <w:rFonts w:ascii="Times New Roman" w:eastAsiaTheme="minorEastAsia" w:hAnsi="Times New Roman" w:cs="Times New Roman"/>
          <w:b/>
          <w:bCs/>
          <w:sz w:val="24"/>
          <w:szCs w:val="24"/>
          <w:lang w:eastAsia="ja-JP"/>
        </w:rPr>
      </w:pPr>
      <w:bookmarkStart w:id="0" w:name="_GoBack"/>
      <w:bookmarkEnd w:id="0"/>
      <w:r w:rsidRPr="00517CC0">
        <w:rPr>
          <w:rFonts w:ascii="Times New Roman" w:eastAsiaTheme="minorEastAsia" w:hAnsi="Times New Roman" w:cs="Times New Roman"/>
          <w:b/>
          <w:sz w:val="24"/>
          <w:szCs w:val="24"/>
          <w:lang w:eastAsia="ja-JP"/>
        </w:rPr>
        <w:t>Additional file 1: Search Strategy</w:t>
      </w:r>
      <w:bookmarkStart w:id="1" w:name="OBJECTIVES"/>
      <w:bookmarkStart w:id="2" w:name="CRIT_PARTICIPANTS"/>
      <w:bookmarkStart w:id="3" w:name="CRIT_INTERVENTIONS"/>
      <w:bookmarkStart w:id="4" w:name="CRIT_OUTCOMES"/>
      <w:bookmarkEnd w:id="1"/>
      <w:bookmarkEnd w:id="2"/>
      <w:bookmarkEnd w:id="3"/>
      <w:bookmarkEnd w:id="4"/>
      <w:r w:rsidRPr="00517CC0">
        <w:rPr>
          <w:rFonts w:ascii="Times New Roman" w:eastAsiaTheme="minorEastAsia" w:hAnsi="Times New Roman" w:cs="Times New Roman"/>
          <w:b/>
          <w:sz w:val="24"/>
          <w:szCs w:val="24"/>
          <w:lang w:eastAsia="ja-JP"/>
        </w:rPr>
        <w:t xml:space="preserve"> and databases searched </w:t>
      </w:r>
    </w:p>
    <w:p w:rsidR="00D73069" w:rsidRPr="00517CC0" w:rsidRDefault="00D73069" w:rsidP="00D73069">
      <w:pPr>
        <w:spacing w:after="0" w:line="240" w:lineRule="auto"/>
        <w:jc w:val="both"/>
        <w:rPr>
          <w:rFonts w:ascii="Times New Roman" w:eastAsiaTheme="minorEastAsia" w:hAnsi="Times New Roman" w:cs="Times New Roman"/>
          <w:b/>
          <w:bCs/>
          <w:sz w:val="24"/>
          <w:szCs w:val="24"/>
          <w:lang w:eastAsia="ja-JP"/>
        </w:rPr>
      </w:pPr>
    </w:p>
    <w:p w:rsidR="00D73069" w:rsidRPr="00517CC0" w:rsidRDefault="00D73069" w:rsidP="00D73069">
      <w:pPr>
        <w:spacing w:after="0" w:line="240" w:lineRule="auto"/>
        <w:jc w:val="both"/>
        <w:rPr>
          <w:rFonts w:ascii="Times New Roman" w:eastAsiaTheme="minorEastAsia" w:hAnsi="Times New Roman" w:cs="Times New Roman"/>
          <w:sz w:val="24"/>
          <w:szCs w:val="24"/>
          <w:lang w:eastAsia="ja-JP"/>
        </w:rPr>
      </w:pPr>
      <w:r w:rsidRPr="00517CC0">
        <w:rPr>
          <w:rFonts w:ascii="Times New Roman" w:eastAsiaTheme="minorEastAsia" w:hAnsi="Times New Roman" w:cs="Times New Roman"/>
          <w:sz w:val="24"/>
          <w:szCs w:val="24"/>
          <w:lang w:eastAsia="ja-JP"/>
        </w:rPr>
        <w:t xml:space="preserve">We </w:t>
      </w:r>
      <w:r w:rsidRPr="00517CC0">
        <w:rPr>
          <w:rFonts w:ascii="Times New Roman" w:eastAsiaTheme="minorEastAsia" w:hAnsi="Times New Roman" w:cs="Times New Roman"/>
          <w:iCs/>
          <w:sz w:val="24"/>
          <w:szCs w:val="24"/>
          <w:lang w:eastAsia="ja-JP"/>
        </w:rPr>
        <w:t xml:space="preserve">searched for eligible studies </w:t>
      </w:r>
      <w:r w:rsidRPr="00517CC0">
        <w:rPr>
          <w:rFonts w:ascii="Times New Roman" w:eastAsiaTheme="minorEastAsia" w:hAnsi="Times New Roman" w:cs="Times New Roman"/>
          <w:sz w:val="24"/>
          <w:szCs w:val="24"/>
          <w:lang w:eastAsia="ja-JP"/>
        </w:rPr>
        <w:t>using the Cochrane Neonatal Review Group's (CNRG) search strategy (</w:t>
      </w:r>
      <w:r w:rsidRPr="00517CC0">
        <w:rPr>
          <w:rFonts w:ascii="Times New Roman" w:eastAsiaTheme="minorEastAsia" w:hAnsi="Times New Roman" w:cs="Times New Roman"/>
          <w:b/>
          <w:sz w:val="24"/>
          <w:szCs w:val="24"/>
          <w:lang w:eastAsia="ja-JP"/>
        </w:rPr>
        <w:t>supplementary file 1</w:t>
      </w:r>
      <w:r w:rsidRPr="00517CC0">
        <w:rPr>
          <w:rFonts w:ascii="Times New Roman" w:eastAsiaTheme="minorEastAsia" w:hAnsi="Times New Roman" w:cs="Times New Roman"/>
          <w:sz w:val="24"/>
          <w:szCs w:val="24"/>
          <w:lang w:eastAsia="ja-JP"/>
        </w:rPr>
        <w:t>) without language or publication date restriction in April 2016 (</w:t>
      </w:r>
      <w:hyperlink r:id="rId5" w:history="1">
        <w:r w:rsidRPr="00517CC0">
          <w:rPr>
            <w:rFonts w:ascii="Times New Roman" w:eastAsiaTheme="minorEastAsia" w:hAnsi="Times New Roman" w:cs="Times New Roman"/>
            <w:color w:val="0000FF"/>
            <w:sz w:val="24"/>
            <w:szCs w:val="24"/>
            <w:u w:val="single"/>
            <w:lang w:eastAsia="ja-JP"/>
          </w:rPr>
          <w:t>http://neonatal.cochrane.org/</w:t>
        </w:r>
      </w:hyperlink>
      <w:r w:rsidRPr="00517CC0">
        <w:rPr>
          <w:rFonts w:ascii="Times New Roman" w:eastAsiaTheme="minorEastAsia" w:hAnsi="Times New Roman" w:cs="Times New Roman"/>
          <w:sz w:val="24"/>
          <w:szCs w:val="24"/>
          <w:lang w:eastAsia="ja-JP"/>
        </w:rPr>
        <w:t xml:space="preserve">). </w:t>
      </w:r>
      <w:r w:rsidRPr="00517CC0">
        <w:rPr>
          <w:rFonts w:ascii="Times New Roman" w:eastAsiaTheme="minorEastAsia" w:hAnsi="Times New Roman" w:cs="Times New Roman"/>
          <w:iCs/>
          <w:sz w:val="24"/>
          <w:szCs w:val="24"/>
          <w:lang w:eastAsia="ja-JP"/>
        </w:rPr>
        <w:t>The following electronic databases were searched: MEDLINE (</w:t>
      </w:r>
      <w:hyperlink r:id="rId6" w:history="1">
        <w:r w:rsidRPr="00517CC0">
          <w:rPr>
            <w:rFonts w:ascii="Times New Roman" w:eastAsiaTheme="minorEastAsia" w:hAnsi="Times New Roman" w:cs="Times New Roman"/>
            <w:color w:val="0000FF"/>
            <w:sz w:val="24"/>
            <w:szCs w:val="24"/>
            <w:u w:val="single"/>
            <w:lang w:eastAsia="ja-JP"/>
          </w:rPr>
          <w:t>http://ovidsp.ovid.com</w:t>
        </w:r>
      </w:hyperlink>
      <w:r w:rsidRPr="00517CC0">
        <w:rPr>
          <w:rFonts w:ascii="Times New Roman" w:eastAsiaTheme="minorEastAsia" w:hAnsi="Times New Roman" w:cs="Times New Roman"/>
          <w:iCs/>
          <w:sz w:val="24"/>
          <w:szCs w:val="24"/>
          <w:lang w:eastAsia="ja-JP"/>
        </w:rPr>
        <w:t xml:space="preserve">, 1966 to </w:t>
      </w:r>
      <w:r w:rsidRPr="00517CC0">
        <w:rPr>
          <w:rFonts w:ascii="Times New Roman" w:eastAsiaTheme="minorEastAsia" w:hAnsi="Times New Roman" w:cs="Times New Roman"/>
          <w:sz w:val="24"/>
          <w:szCs w:val="24"/>
          <w:lang w:eastAsia="ja-JP"/>
        </w:rPr>
        <w:t>April 2016</w:t>
      </w:r>
      <w:r w:rsidRPr="00517CC0">
        <w:rPr>
          <w:rFonts w:ascii="Times New Roman" w:eastAsiaTheme="minorEastAsia" w:hAnsi="Times New Roman" w:cs="Times New Roman"/>
          <w:iCs/>
          <w:sz w:val="24"/>
          <w:szCs w:val="24"/>
          <w:lang w:eastAsia="ja-JP"/>
        </w:rPr>
        <w:t>), PubMed (</w:t>
      </w:r>
      <w:hyperlink r:id="rId7" w:history="1">
        <w:r w:rsidRPr="00517CC0">
          <w:rPr>
            <w:rFonts w:ascii="Times New Roman" w:eastAsiaTheme="minorEastAsia" w:hAnsi="Times New Roman" w:cs="Times New Roman"/>
            <w:color w:val="0000FF"/>
            <w:sz w:val="24"/>
            <w:szCs w:val="24"/>
            <w:u w:val="single"/>
            <w:lang w:eastAsia="ja-JP"/>
          </w:rPr>
          <w:t>http://www.ncbi.nlm.nih.gov/pubmed</w:t>
        </w:r>
      </w:hyperlink>
      <w:r w:rsidRPr="00517CC0">
        <w:rPr>
          <w:rFonts w:ascii="Times New Roman" w:eastAsiaTheme="minorEastAsia" w:hAnsi="Times New Roman" w:cs="Times New Roman"/>
          <w:iCs/>
          <w:sz w:val="24"/>
          <w:szCs w:val="24"/>
          <w:lang w:eastAsia="ja-JP"/>
        </w:rPr>
        <w:t xml:space="preserve">), </w:t>
      </w:r>
      <w:r w:rsidRPr="00517CC0">
        <w:rPr>
          <w:rFonts w:ascii="Times New Roman" w:eastAsiaTheme="minorEastAsia" w:hAnsi="Times New Roman" w:cs="Times New Roman"/>
          <w:color w:val="000000"/>
          <w:sz w:val="24"/>
          <w:szCs w:val="24"/>
          <w:shd w:val="clear" w:color="auto" w:fill="FFFFFF"/>
          <w:lang w:eastAsia="ja-JP"/>
        </w:rPr>
        <w:t>Cumulative Index to Nursing and Allied Health Literature (</w:t>
      </w:r>
      <w:r w:rsidRPr="00517CC0">
        <w:rPr>
          <w:rFonts w:ascii="Times New Roman" w:eastAsiaTheme="minorEastAsia" w:hAnsi="Times New Roman" w:cs="Times New Roman"/>
          <w:iCs/>
          <w:sz w:val="24"/>
          <w:szCs w:val="24"/>
          <w:lang w:eastAsia="ja-JP"/>
        </w:rPr>
        <w:t xml:space="preserve">CINAHL, </w:t>
      </w:r>
      <w:hyperlink r:id="rId8" w:history="1">
        <w:r w:rsidRPr="00517CC0">
          <w:rPr>
            <w:rFonts w:ascii="Times New Roman" w:eastAsiaTheme="minorEastAsia" w:hAnsi="Times New Roman" w:cs="Times New Roman"/>
            <w:color w:val="0000FF"/>
            <w:sz w:val="24"/>
            <w:szCs w:val="24"/>
            <w:u w:val="single"/>
            <w:lang w:eastAsia="ja-JP"/>
          </w:rPr>
          <w:t>http://www.ebscohost.com/biomedical-libraries/the-cinahl-database</w:t>
        </w:r>
      </w:hyperlink>
      <w:r w:rsidRPr="00517CC0">
        <w:rPr>
          <w:rFonts w:ascii="Times New Roman" w:eastAsiaTheme="minorEastAsia" w:hAnsi="Times New Roman" w:cs="Times New Roman"/>
          <w:sz w:val="24"/>
          <w:szCs w:val="24"/>
          <w:lang w:eastAsia="ja-JP"/>
        </w:rPr>
        <w:t>,</w:t>
      </w:r>
      <w:r w:rsidRPr="00517CC0">
        <w:rPr>
          <w:rFonts w:ascii="Times New Roman" w:eastAsiaTheme="minorEastAsia" w:hAnsi="Times New Roman" w:cs="Times New Roman"/>
          <w:iCs/>
          <w:sz w:val="24"/>
          <w:szCs w:val="24"/>
          <w:lang w:eastAsia="ja-JP"/>
        </w:rPr>
        <w:t xml:space="preserve"> 1982 to </w:t>
      </w:r>
      <w:r w:rsidRPr="00517CC0">
        <w:rPr>
          <w:rFonts w:ascii="Times New Roman" w:eastAsiaTheme="minorEastAsia" w:hAnsi="Times New Roman" w:cs="Times New Roman"/>
          <w:sz w:val="24"/>
          <w:szCs w:val="24"/>
          <w:lang w:eastAsia="ja-JP"/>
        </w:rPr>
        <w:t>April 2016</w:t>
      </w:r>
      <w:r w:rsidRPr="00517CC0">
        <w:rPr>
          <w:rFonts w:ascii="Times New Roman" w:eastAsiaTheme="minorEastAsia" w:hAnsi="Times New Roman" w:cs="Times New Roman"/>
          <w:iCs/>
          <w:sz w:val="24"/>
          <w:szCs w:val="24"/>
          <w:lang w:eastAsia="ja-JP"/>
        </w:rPr>
        <w:t xml:space="preserve">). Conference abstracts were </w:t>
      </w:r>
      <w:bookmarkStart w:id="5" w:name="CRIT_OUTCOMES_PRIMARY"/>
      <w:bookmarkEnd w:id="5"/>
      <w:r w:rsidRPr="00517CC0">
        <w:rPr>
          <w:rFonts w:ascii="Times New Roman" w:eastAsiaTheme="minorEastAsia" w:hAnsi="Times New Roman" w:cs="Times New Roman"/>
          <w:iCs/>
          <w:sz w:val="24"/>
          <w:szCs w:val="24"/>
          <w:lang w:eastAsia="ja-JP"/>
        </w:rPr>
        <w:t xml:space="preserve">identified from the </w:t>
      </w:r>
      <w:r w:rsidRPr="00517CC0">
        <w:rPr>
          <w:rFonts w:ascii="Times New Roman" w:eastAsiaTheme="minorEastAsia" w:hAnsi="Times New Roman" w:cs="Times New Roman"/>
          <w:sz w:val="24"/>
          <w:szCs w:val="24"/>
          <w:lang w:eastAsia="ja-JP"/>
        </w:rPr>
        <w:t>proceedings of Pediatric Academic Societies (</w:t>
      </w:r>
      <w:hyperlink r:id="rId9" w:history="1">
        <w:r w:rsidRPr="00517CC0">
          <w:rPr>
            <w:rFonts w:ascii="Times New Roman" w:eastAsiaTheme="minorEastAsia" w:hAnsi="Times New Roman" w:cs="Times New Roman"/>
            <w:color w:val="0000FF"/>
            <w:sz w:val="24"/>
            <w:szCs w:val="24"/>
            <w:u w:val="single"/>
            <w:lang w:eastAsia="ja-JP"/>
          </w:rPr>
          <w:t>http://www.abstracts2view.com/pasall</w:t>
        </w:r>
      </w:hyperlink>
      <w:r w:rsidRPr="00517CC0">
        <w:rPr>
          <w:rFonts w:ascii="Times New Roman" w:eastAsiaTheme="minorEastAsia" w:hAnsi="Times New Roman" w:cs="Times New Roman"/>
          <w:sz w:val="24"/>
          <w:szCs w:val="24"/>
          <w:lang w:eastAsia="ja-JP"/>
        </w:rPr>
        <w:t xml:space="preserve">, 2002 to April 2016). We also searched reference lists of relevant identified articles and contacted authors in the field for any eligible studies. </w:t>
      </w:r>
    </w:p>
    <w:p w:rsidR="00D73069" w:rsidRPr="00517CC0" w:rsidRDefault="00D73069" w:rsidP="00D73069">
      <w:pPr>
        <w:spacing w:after="90"/>
        <w:outlineLvl w:val="1"/>
        <w:rPr>
          <w:rFonts w:ascii="Times New Roman" w:hAnsi="Times New Roman" w:cs="Times New Roman"/>
          <w:b/>
          <w:sz w:val="24"/>
          <w:szCs w:val="24"/>
        </w:rPr>
      </w:pPr>
    </w:p>
    <w:p w:rsidR="00D73069" w:rsidRPr="00517CC0" w:rsidRDefault="00D73069" w:rsidP="00D73069">
      <w:pPr>
        <w:spacing w:after="90"/>
        <w:outlineLvl w:val="1"/>
        <w:rPr>
          <w:rFonts w:ascii="Times New Roman" w:hAnsi="Times New Roman" w:cs="Times New Roman"/>
          <w:b/>
          <w:sz w:val="24"/>
          <w:szCs w:val="24"/>
        </w:rPr>
      </w:pPr>
      <w:r w:rsidRPr="00517CC0">
        <w:rPr>
          <w:rFonts w:ascii="Times New Roman" w:hAnsi="Times New Roman" w:cs="Times New Roman"/>
          <w:b/>
          <w:sz w:val="24"/>
          <w:szCs w:val="24"/>
        </w:rPr>
        <w:t xml:space="preserve">Search methods for identification of studies </w:t>
      </w:r>
    </w:p>
    <w:p w:rsidR="00D73069" w:rsidRPr="00517CC0" w:rsidRDefault="00D73069" w:rsidP="00D73069">
      <w:pPr>
        <w:spacing w:after="120"/>
        <w:rPr>
          <w:rFonts w:ascii="Times New Roman" w:hAnsi="Times New Roman" w:cs="Times New Roman"/>
          <w:bCs/>
          <w:sz w:val="24"/>
          <w:szCs w:val="24"/>
        </w:rPr>
      </w:pPr>
      <w:r w:rsidRPr="00517CC0">
        <w:rPr>
          <w:rFonts w:ascii="Times New Roman" w:hAnsi="Times New Roman" w:cs="Times New Roman"/>
          <w:sz w:val="24"/>
          <w:szCs w:val="24"/>
        </w:rPr>
        <w:t>Our search for relevant articles using the Cochrane Neonatal Review Group's search strategy without language restriction was performed in April 2016. The following sources were searched:</w:t>
      </w:r>
    </w:p>
    <w:p w:rsidR="00D73069" w:rsidRPr="00517CC0" w:rsidRDefault="00D73069" w:rsidP="00D73069">
      <w:pPr>
        <w:numPr>
          <w:ilvl w:val="0"/>
          <w:numId w:val="2"/>
        </w:numPr>
        <w:spacing w:before="100" w:beforeAutospacing="1" w:after="100" w:afterAutospacing="1" w:line="240" w:lineRule="auto"/>
        <w:ind w:left="150"/>
        <w:rPr>
          <w:rFonts w:ascii="Times New Roman" w:hAnsi="Times New Roman" w:cs="Times New Roman"/>
          <w:bCs/>
          <w:sz w:val="24"/>
          <w:szCs w:val="24"/>
        </w:rPr>
      </w:pPr>
      <w:r w:rsidRPr="00517CC0">
        <w:rPr>
          <w:rFonts w:ascii="Times New Roman" w:hAnsi="Times New Roman" w:cs="Times New Roman"/>
          <w:sz w:val="24"/>
          <w:szCs w:val="24"/>
        </w:rPr>
        <w:t xml:space="preserve">The Cochrane Central Register of Controlled Trials (CENTRAL, </w:t>
      </w:r>
      <w:r w:rsidRPr="00517CC0">
        <w:rPr>
          <w:rFonts w:ascii="Times New Roman" w:hAnsi="Times New Roman" w:cs="Times New Roman"/>
          <w:i/>
          <w:iCs/>
          <w:sz w:val="24"/>
          <w:szCs w:val="24"/>
        </w:rPr>
        <w:t>The Cochrane Library</w:t>
      </w:r>
      <w:r w:rsidRPr="00517CC0">
        <w:rPr>
          <w:rFonts w:ascii="Times New Roman" w:hAnsi="Times New Roman" w:cs="Times New Roman"/>
          <w:sz w:val="24"/>
          <w:szCs w:val="24"/>
        </w:rPr>
        <w:t xml:space="preserve">); </w:t>
      </w:r>
    </w:p>
    <w:p w:rsidR="00D73069" w:rsidRPr="00517CC0" w:rsidRDefault="00D73069" w:rsidP="00D73069">
      <w:pPr>
        <w:numPr>
          <w:ilvl w:val="0"/>
          <w:numId w:val="2"/>
        </w:numPr>
        <w:spacing w:before="100" w:beforeAutospacing="1" w:after="100" w:afterAutospacing="1" w:line="240" w:lineRule="auto"/>
        <w:ind w:left="150"/>
        <w:rPr>
          <w:rFonts w:ascii="Times New Roman" w:hAnsi="Times New Roman" w:cs="Times New Roman"/>
          <w:bCs/>
          <w:sz w:val="24"/>
          <w:szCs w:val="24"/>
        </w:rPr>
      </w:pPr>
      <w:r w:rsidRPr="00517CC0">
        <w:rPr>
          <w:rFonts w:ascii="Times New Roman" w:hAnsi="Times New Roman" w:cs="Times New Roman"/>
          <w:sz w:val="24"/>
          <w:szCs w:val="24"/>
        </w:rPr>
        <w:t xml:space="preserve">Electronic journal reference databases: MEDLINE (1966 to present) and PREMEDLINE, EMBASE (1980 to May 2015), CINAHL (1982 to April 2015), Web of Science (1975 to April 2015) and the Oxford Database of Perinatal Trials; </w:t>
      </w:r>
    </w:p>
    <w:p w:rsidR="00D73069" w:rsidRPr="00517CC0" w:rsidRDefault="00D73069" w:rsidP="00D73069">
      <w:pPr>
        <w:numPr>
          <w:ilvl w:val="0"/>
          <w:numId w:val="2"/>
        </w:numPr>
        <w:spacing w:before="100" w:beforeAutospacing="1" w:after="100" w:afterAutospacing="1" w:line="240" w:lineRule="auto"/>
        <w:ind w:left="150"/>
        <w:rPr>
          <w:rFonts w:ascii="Times New Roman" w:hAnsi="Times New Roman" w:cs="Times New Roman"/>
          <w:bCs/>
          <w:sz w:val="24"/>
          <w:szCs w:val="24"/>
        </w:rPr>
      </w:pPr>
      <w:r w:rsidRPr="00517CC0">
        <w:rPr>
          <w:rFonts w:ascii="Times New Roman" w:hAnsi="Times New Roman" w:cs="Times New Roman"/>
          <w:sz w:val="24"/>
          <w:szCs w:val="24"/>
        </w:rPr>
        <w:t xml:space="preserve">Ongoing trials at the following web sites: </w:t>
      </w:r>
      <w:hyperlink r:id="rId10" w:history="1">
        <w:r w:rsidRPr="00517CC0">
          <w:rPr>
            <w:rFonts w:ascii="Times New Roman" w:hAnsi="Times New Roman" w:cs="Times New Roman"/>
            <w:color w:val="0000FF"/>
            <w:sz w:val="24"/>
            <w:szCs w:val="24"/>
            <w:u w:val="single"/>
          </w:rPr>
          <w:t>http://www.clinicaltrials.gov/</w:t>
        </w:r>
      </w:hyperlink>
      <w:r w:rsidRPr="00517CC0">
        <w:rPr>
          <w:rFonts w:ascii="Times New Roman" w:hAnsi="Times New Roman" w:cs="Times New Roman"/>
          <w:sz w:val="24"/>
          <w:szCs w:val="24"/>
        </w:rPr>
        <w:t xml:space="preserve">, </w:t>
      </w:r>
      <w:hyperlink r:id="rId11" w:history="1">
        <w:r w:rsidRPr="00517CC0">
          <w:rPr>
            <w:rFonts w:ascii="Times New Roman" w:hAnsi="Times New Roman" w:cs="Times New Roman"/>
            <w:color w:val="0000FF"/>
            <w:sz w:val="24"/>
            <w:szCs w:val="24"/>
            <w:u w:val="single"/>
          </w:rPr>
          <w:t>http://www.controlled-trials.com/</w:t>
        </w:r>
      </w:hyperlink>
      <w:r w:rsidRPr="00517CC0">
        <w:rPr>
          <w:rFonts w:ascii="Times New Roman" w:hAnsi="Times New Roman" w:cs="Times New Roman"/>
          <w:sz w:val="24"/>
          <w:szCs w:val="24"/>
        </w:rPr>
        <w:t xml:space="preserve"> and the WHO International Clinical Trials Platform (ICTRP) at </w:t>
      </w:r>
      <w:hyperlink r:id="rId12" w:history="1">
        <w:r w:rsidRPr="00517CC0">
          <w:rPr>
            <w:rFonts w:ascii="Times New Roman" w:hAnsi="Times New Roman" w:cs="Times New Roman"/>
            <w:color w:val="0000FF"/>
            <w:sz w:val="24"/>
            <w:szCs w:val="24"/>
            <w:u w:val="single"/>
          </w:rPr>
          <w:t>www.who.int/ctrp/en</w:t>
        </w:r>
      </w:hyperlink>
      <w:r w:rsidRPr="00517CC0">
        <w:rPr>
          <w:rFonts w:ascii="Times New Roman" w:hAnsi="Times New Roman" w:cs="Times New Roman"/>
          <w:sz w:val="24"/>
          <w:szCs w:val="24"/>
        </w:rPr>
        <w:t xml:space="preserve">. </w:t>
      </w:r>
    </w:p>
    <w:p w:rsidR="00D73069" w:rsidRPr="00517CC0" w:rsidRDefault="00D73069" w:rsidP="00D73069">
      <w:pPr>
        <w:numPr>
          <w:ilvl w:val="0"/>
          <w:numId w:val="2"/>
        </w:numPr>
        <w:spacing w:before="100" w:beforeAutospacing="1" w:after="100" w:afterAutospacing="1" w:line="240" w:lineRule="auto"/>
        <w:ind w:left="150"/>
        <w:rPr>
          <w:rFonts w:ascii="Times New Roman" w:hAnsi="Times New Roman" w:cs="Times New Roman"/>
          <w:bCs/>
          <w:sz w:val="24"/>
          <w:szCs w:val="24"/>
        </w:rPr>
      </w:pPr>
      <w:r w:rsidRPr="00517CC0">
        <w:rPr>
          <w:rFonts w:ascii="Times New Roman" w:hAnsi="Times New Roman" w:cs="Times New Roman"/>
          <w:sz w:val="24"/>
          <w:szCs w:val="24"/>
        </w:rPr>
        <w:t xml:space="preserve">Abstracts of conferences - proceedings of Pediatric Academic Societies (American Pediatric Society, Society for Pediatric Research and European Society for Pediatric Research) (PAS electronic version from 2000 to April 2015 and ESPR hand search from 2000 to April 2015); </w:t>
      </w:r>
    </w:p>
    <w:p w:rsidR="00D73069" w:rsidRPr="00517CC0" w:rsidRDefault="00D73069" w:rsidP="00D73069">
      <w:pPr>
        <w:numPr>
          <w:ilvl w:val="0"/>
          <w:numId w:val="2"/>
        </w:numPr>
        <w:spacing w:before="100" w:beforeAutospacing="1" w:after="100" w:afterAutospacing="1" w:line="240" w:lineRule="auto"/>
        <w:ind w:left="150"/>
        <w:rPr>
          <w:rFonts w:ascii="Times New Roman" w:hAnsi="Times New Roman" w:cs="Times New Roman"/>
          <w:bCs/>
          <w:sz w:val="24"/>
          <w:szCs w:val="24"/>
        </w:rPr>
      </w:pPr>
      <w:r w:rsidRPr="00517CC0">
        <w:rPr>
          <w:rFonts w:ascii="Times New Roman" w:hAnsi="Times New Roman" w:cs="Times New Roman"/>
          <w:sz w:val="24"/>
          <w:szCs w:val="24"/>
        </w:rPr>
        <w:t>Reference lists of identified clinical trials and in the authors' personal files.</w:t>
      </w:r>
    </w:p>
    <w:p w:rsidR="00D73069" w:rsidRPr="00517CC0" w:rsidRDefault="00D73069" w:rsidP="00D73069">
      <w:pPr>
        <w:spacing w:after="120"/>
        <w:rPr>
          <w:rFonts w:ascii="Times New Roman" w:hAnsi="Times New Roman" w:cs="Times New Roman"/>
          <w:bCs/>
          <w:sz w:val="24"/>
          <w:szCs w:val="24"/>
        </w:rPr>
      </w:pPr>
      <w:r w:rsidRPr="00517CC0">
        <w:rPr>
          <w:rFonts w:ascii="Times New Roman" w:hAnsi="Times New Roman" w:cs="Times New Roman"/>
          <w:sz w:val="24"/>
          <w:szCs w:val="24"/>
        </w:rPr>
        <w:t>In addition, we contacted authors who have published in the field of neonatal microbiome to identify relevant articles.</w:t>
      </w:r>
    </w:p>
    <w:p w:rsidR="00913E7B" w:rsidRDefault="00D73069" w:rsidP="00D73069">
      <w:pPr>
        <w:spacing w:after="120"/>
        <w:rPr>
          <w:rFonts w:ascii="Times New Roman" w:hAnsi="Times New Roman" w:cs="Times New Roman"/>
          <w:sz w:val="24"/>
          <w:szCs w:val="24"/>
        </w:rPr>
      </w:pPr>
      <w:r w:rsidRPr="00517CC0">
        <w:rPr>
          <w:rFonts w:ascii="Times New Roman" w:hAnsi="Times New Roman" w:cs="Times New Roman"/>
          <w:b/>
          <w:sz w:val="24"/>
          <w:szCs w:val="24"/>
        </w:rPr>
        <w:t>Search strategy</w:t>
      </w:r>
      <w:r w:rsidRPr="00517CC0">
        <w:rPr>
          <w:rFonts w:ascii="Times New Roman" w:hAnsi="Times New Roman" w:cs="Times New Roman"/>
          <w:sz w:val="24"/>
          <w:szCs w:val="24"/>
        </w:rPr>
        <w:t xml:space="preserve"> for MEDLINE and PREMEDLINE. This strategy was adapted to suit EMBASE, CINAHL and CENTRAL.</w:t>
      </w:r>
    </w:p>
    <w:p w:rsidR="00D73069" w:rsidRPr="00913E7B" w:rsidRDefault="00D73069" w:rsidP="00913E7B">
      <w:pPr>
        <w:pStyle w:val="ListParagraph"/>
        <w:numPr>
          <w:ilvl w:val="0"/>
          <w:numId w:val="1"/>
        </w:numPr>
        <w:tabs>
          <w:tab w:val="clear" w:pos="720"/>
          <w:tab w:val="num" w:pos="90"/>
        </w:tabs>
        <w:spacing w:after="0"/>
        <w:ind w:hanging="900"/>
        <w:rPr>
          <w:rFonts w:ascii="Times New Roman" w:hAnsi="Times New Roman" w:cs="Times New Roman"/>
          <w:bCs/>
          <w:sz w:val="24"/>
          <w:szCs w:val="24"/>
        </w:rPr>
      </w:pPr>
      <w:r w:rsidRPr="00913E7B">
        <w:rPr>
          <w:rFonts w:ascii="Times New Roman" w:hAnsi="Times New Roman" w:cs="Times New Roman"/>
          <w:sz w:val="24"/>
          <w:szCs w:val="24"/>
        </w:rPr>
        <w:t xml:space="preserve">explode 'microbiome' [all subheadings in MIME, MJME] </w:t>
      </w:r>
    </w:p>
    <w:p w:rsidR="00D73069" w:rsidRPr="00517CC0" w:rsidRDefault="00D73069" w:rsidP="00913E7B">
      <w:pPr>
        <w:numPr>
          <w:ilvl w:val="0"/>
          <w:numId w:val="1"/>
        </w:numPr>
        <w:tabs>
          <w:tab w:val="num" w:pos="90"/>
        </w:tabs>
        <w:spacing w:before="100" w:beforeAutospacing="1" w:after="0" w:line="240" w:lineRule="auto"/>
        <w:ind w:hanging="900"/>
        <w:rPr>
          <w:rFonts w:ascii="Times New Roman" w:hAnsi="Times New Roman" w:cs="Times New Roman"/>
          <w:bCs/>
          <w:sz w:val="24"/>
          <w:szCs w:val="24"/>
        </w:rPr>
      </w:pPr>
      <w:r w:rsidRPr="00517CC0">
        <w:rPr>
          <w:rFonts w:ascii="Times New Roman" w:hAnsi="Times New Roman" w:cs="Times New Roman"/>
          <w:sz w:val="24"/>
          <w:szCs w:val="24"/>
        </w:rPr>
        <w:t>‘gastrointestinal microbiome’ as a key word</w:t>
      </w:r>
    </w:p>
    <w:p w:rsidR="00D73069" w:rsidRPr="00517CC0" w:rsidRDefault="00D73069" w:rsidP="00D73069">
      <w:pPr>
        <w:numPr>
          <w:ilvl w:val="0"/>
          <w:numId w:val="1"/>
        </w:numPr>
        <w:spacing w:before="100" w:beforeAutospacing="1" w:after="100" w:afterAutospacing="1" w:line="240" w:lineRule="auto"/>
        <w:ind w:left="120"/>
        <w:rPr>
          <w:rFonts w:ascii="Times New Roman" w:hAnsi="Times New Roman" w:cs="Times New Roman"/>
          <w:bCs/>
          <w:sz w:val="24"/>
          <w:szCs w:val="24"/>
        </w:rPr>
      </w:pPr>
      <w:r w:rsidRPr="00517CC0">
        <w:rPr>
          <w:rFonts w:ascii="Times New Roman" w:hAnsi="Times New Roman" w:cs="Times New Roman"/>
          <w:sz w:val="24"/>
          <w:szCs w:val="24"/>
        </w:rPr>
        <w:t>‘Microbiota’</w:t>
      </w:r>
    </w:p>
    <w:p w:rsidR="00D73069" w:rsidRPr="00517CC0" w:rsidRDefault="00D73069" w:rsidP="00D73069">
      <w:pPr>
        <w:numPr>
          <w:ilvl w:val="0"/>
          <w:numId w:val="1"/>
        </w:numPr>
        <w:spacing w:before="100" w:beforeAutospacing="1" w:after="100" w:afterAutospacing="1" w:line="240" w:lineRule="auto"/>
        <w:ind w:left="120"/>
        <w:rPr>
          <w:rFonts w:ascii="Times New Roman" w:hAnsi="Times New Roman" w:cs="Times New Roman"/>
          <w:bCs/>
          <w:sz w:val="24"/>
          <w:szCs w:val="24"/>
        </w:rPr>
      </w:pPr>
      <w:r w:rsidRPr="00517CC0">
        <w:rPr>
          <w:rFonts w:ascii="Times New Roman" w:hAnsi="Times New Roman" w:cs="Times New Roman"/>
          <w:sz w:val="24"/>
          <w:szCs w:val="24"/>
        </w:rPr>
        <w:t xml:space="preserve">‘Necrotizing enterocolitis’ </w:t>
      </w:r>
    </w:p>
    <w:p w:rsidR="00D73069" w:rsidRPr="00517CC0" w:rsidRDefault="00D73069" w:rsidP="00D73069">
      <w:pPr>
        <w:numPr>
          <w:ilvl w:val="0"/>
          <w:numId w:val="1"/>
        </w:numPr>
        <w:spacing w:before="100" w:beforeAutospacing="1" w:after="100" w:afterAutospacing="1" w:line="240" w:lineRule="auto"/>
        <w:ind w:left="120"/>
        <w:rPr>
          <w:rFonts w:ascii="Times New Roman" w:hAnsi="Times New Roman" w:cs="Times New Roman"/>
          <w:bCs/>
          <w:sz w:val="24"/>
          <w:szCs w:val="24"/>
        </w:rPr>
      </w:pPr>
      <w:r w:rsidRPr="00517CC0">
        <w:rPr>
          <w:rFonts w:ascii="Times New Roman" w:hAnsi="Times New Roman" w:cs="Times New Roman"/>
          <w:sz w:val="24"/>
          <w:szCs w:val="24"/>
        </w:rPr>
        <w:t xml:space="preserve">‘NEC’ </w:t>
      </w:r>
    </w:p>
    <w:p w:rsidR="00D73069" w:rsidRPr="00517CC0" w:rsidRDefault="00D73069" w:rsidP="00D73069">
      <w:pPr>
        <w:numPr>
          <w:ilvl w:val="0"/>
          <w:numId w:val="1"/>
        </w:numPr>
        <w:spacing w:before="100" w:beforeAutospacing="1" w:after="100" w:afterAutospacing="1" w:line="240" w:lineRule="auto"/>
        <w:ind w:left="120"/>
        <w:rPr>
          <w:rFonts w:ascii="Times New Roman" w:hAnsi="Times New Roman" w:cs="Times New Roman"/>
          <w:bCs/>
          <w:sz w:val="24"/>
          <w:szCs w:val="24"/>
        </w:rPr>
      </w:pPr>
      <w:r w:rsidRPr="00517CC0">
        <w:rPr>
          <w:rFonts w:ascii="Times New Roman" w:hAnsi="Times New Roman" w:cs="Times New Roman"/>
          <w:sz w:val="24"/>
          <w:szCs w:val="24"/>
        </w:rPr>
        <w:t xml:space="preserve">‘enterocolitis’ </w:t>
      </w:r>
    </w:p>
    <w:p w:rsidR="00D73069" w:rsidRPr="00517CC0" w:rsidRDefault="00D73069" w:rsidP="00D73069">
      <w:pPr>
        <w:numPr>
          <w:ilvl w:val="0"/>
          <w:numId w:val="1"/>
        </w:numPr>
        <w:spacing w:before="100" w:beforeAutospacing="1" w:after="100" w:afterAutospacing="1" w:line="240" w:lineRule="auto"/>
        <w:ind w:left="120"/>
        <w:rPr>
          <w:rFonts w:ascii="Times New Roman" w:hAnsi="Times New Roman" w:cs="Times New Roman"/>
          <w:bCs/>
          <w:sz w:val="24"/>
          <w:szCs w:val="24"/>
        </w:rPr>
      </w:pPr>
      <w:r w:rsidRPr="00517CC0">
        <w:rPr>
          <w:rFonts w:ascii="Times New Roman" w:hAnsi="Times New Roman" w:cs="Times New Roman"/>
          <w:sz w:val="24"/>
          <w:szCs w:val="24"/>
        </w:rPr>
        <w:t xml:space="preserve"># 1 OR # 2 OR # 3 OR # 4 OR # 5 </w:t>
      </w:r>
    </w:p>
    <w:p w:rsidR="00D73069" w:rsidRPr="00517CC0" w:rsidRDefault="00D73069" w:rsidP="00D73069">
      <w:pPr>
        <w:numPr>
          <w:ilvl w:val="0"/>
          <w:numId w:val="1"/>
        </w:numPr>
        <w:spacing w:before="100" w:beforeAutospacing="1" w:after="100" w:afterAutospacing="1" w:line="240" w:lineRule="auto"/>
        <w:ind w:left="120"/>
        <w:rPr>
          <w:rFonts w:ascii="Times New Roman" w:hAnsi="Times New Roman" w:cs="Times New Roman"/>
          <w:bCs/>
          <w:sz w:val="24"/>
          <w:szCs w:val="24"/>
        </w:rPr>
      </w:pPr>
      <w:r w:rsidRPr="00517CC0">
        <w:rPr>
          <w:rFonts w:ascii="Times New Roman" w:hAnsi="Times New Roman" w:cs="Times New Roman"/>
          <w:sz w:val="24"/>
          <w:szCs w:val="24"/>
        </w:rPr>
        <w:t xml:space="preserve">explode 'infant - newborn' [all subheadings in MIME, MJME] </w:t>
      </w:r>
    </w:p>
    <w:p w:rsidR="00D73069" w:rsidRPr="00517CC0" w:rsidRDefault="00D73069" w:rsidP="00D73069">
      <w:pPr>
        <w:numPr>
          <w:ilvl w:val="0"/>
          <w:numId w:val="1"/>
        </w:numPr>
        <w:spacing w:before="100" w:beforeAutospacing="1" w:after="100" w:afterAutospacing="1" w:line="240" w:lineRule="auto"/>
        <w:ind w:left="120"/>
        <w:rPr>
          <w:rFonts w:ascii="Times New Roman" w:hAnsi="Times New Roman" w:cs="Times New Roman"/>
          <w:bCs/>
          <w:sz w:val="24"/>
          <w:szCs w:val="24"/>
        </w:rPr>
      </w:pPr>
      <w:proofErr w:type="spellStart"/>
      <w:r w:rsidRPr="00517CC0">
        <w:rPr>
          <w:rFonts w:ascii="Times New Roman" w:hAnsi="Times New Roman" w:cs="Times New Roman"/>
          <w:sz w:val="24"/>
          <w:szCs w:val="24"/>
        </w:rPr>
        <w:t>Neonat</w:t>
      </w:r>
      <w:proofErr w:type="spellEnd"/>
      <w:r w:rsidRPr="00517CC0">
        <w:rPr>
          <w:rFonts w:ascii="Times New Roman" w:hAnsi="Times New Roman" w:cs="Times New Roman"/>
          <w:sz w:val="24"/>
          <w:szCs w:val="24"/>
        </w:rPr>
        <w:t xml:space="preserve">* </w:t>
      </w:r>
    </w:p>
    <w:p w:rsidR="00D73069" w:rsidRPr="00517CC0" w:rsidRDefault="00D73069" w:rsidP="00D73069">
      <w:pPr>
        <w:numPr>
          <w:ilvl w:val="0"/>
          <w:numId w:val="1"/>
        </w:numPr>
        <w:spacing w:before="100" w:beforeAutospacing="1" w:after="100" w:afterAutospacing="1" w:line="240" w:lineRule="auto"/>
        <w:ind w:left="120"/>
        <w:rPr>
          <w:rFonts w:ascii="Times New Roman" w:hAnsi="Times New Roman" w:cs="Times New Roman"/>
          <w:bCs/>
          <w:sz w:val="24"/>
          <w:szCs w:val="24"/>
        </w:rPr>
      </w:pPr>
      <w:r w:rsidRPr="00517CC0">
        <w:rPr>
          <w:rFonts w:ascii="Times New Roman" w:hAnsi="Times New Roman" w:cs="Times New Roman"/>
          <w:sz w:val="24"/>
          <w:szCs w:val="24"/>
        </w:rPr>
        <w:t xml:space="preserve">Newborn* </w:t>
      </w:r>
    </w:p>
    <w:p w:rsidR="00D73069" w:rsidRPr="00517CC0" w:rsidRDefault="00D73069" w:rsidP="00D73069">
      <w:pPr>
        <w:numPr>
          <w:ilvl w:val="0"/>
          <w:numId w:val="1"/>
        </w:numPr>
        <w:spacing w:before="100" w:beforeAutospacing="1" w:after="100" w:afterAutospacing="1" w:line="240" w:lineRule="auto"/>
        <w:ind w:left="120"/>
        <w:rPr>
          <w:rFonts w:ascii="Times New Roman" w:hAnsi="Times New Roman" w:cs="Times New Roman"/>
          <w:bCs/>
          <w:sz w:val="24"/>
          <w:szCs w:val="24"/>
        </w:rPr>
      </w:pPr>
      <w:r w:rsidRPr="00517CC0">
        <w:rPr>
          <w:rFonts w:ascii="Times New Roman" w:hAnsi="Times New Roman" w:cs="Times New Roman"/>
          <w:sz w:val="24"/>
          <w:szCs w:val="24"/>
        </w:rPr>
        <w:t xml:space="preserve"># 7 OR # 8 OR # 9 </w:t>
      </w:r>
    </w:p>
    <w:p w:rsidR="003A47DF" w:rsidRPr="00913E7B" w:rsidRDefault="00D73069" w:rsidP="00913E7B">
      <w:pPr>
        <w:numPr>
          <w:ilvl w:val="0"/>
          <w:numId w:val="1"/>
        </w:numPr>
        <w:spacing w:before="100" w:beforeAutospacing="1" w:after="100" w:afterAutospacing="1" w:line="240" w:lineRule="auto"/>
        <w:ind w:left="120"/>
        <w:rPr>
          <w:rFonts w:ascii="Times New Roman" w:hAnsi="Times New Roman" w:cs="Times New Roman"/>
          <w:sz w:val="24"/>
          <w:szCs w:val="24"/>
        </w:rPr>
      </w:pPr>
      <w:r w:rsidRPr="00913E7B">
        <w:rPr>
          <w:rFonts w:ascii="Times New Roman" w:hAnsi="Times New Roman" w:cs="Times New Roman"/>
          <w:sz w:val="24"/>
          <w:szCs w:val="24"/>
        </w:rPr>
        <w:t># 6 AND # 10</w:t>
      </w:r>
    </w:p>
    <w:sectPr w:rsidR="003A47DF" w:rsidRPr="00913E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0D683D"/>
    <w:multiLevelType w:val="multilevel"/>
    <w:tmpl w:val="8954E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E5B4DA9"/>
    <w:multiLevelType w:val="hybridMultilevel"/>
    <w:tmpl w:val="96E8DAA6"/>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3E10CBA"/>
    <w:multiLevelType w:val="multilevel"/>
    <w:tmpl w:val="D8B65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069"/>
    <w:rsid w:val="00377315"/>
    <w:rsid w:val="003A47DF"/>
    <w:rsid w:val="00517CC0"/>
    <w:rsid w:val="00913E7B"/>
    <w:rsid w:val="00D730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439B7C9-B1D8-4FBA-8667-6C18752B1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D730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30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bscohost.com/biomedical-libraries/the-cinahl-database"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cbi.nlm.nih.gov/pubmed" TargetMode="External"/><Relationship Id="rId12" Type="http://schemas.openxmlformats.org/officeDocument/2006/relationships/hyperlink" Target="http://www.who.int/ctrp/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vidsp.ovid.com" TargetMode="External"/><Relationship Id="rId11" Type="http://schemas.openxmlformats.org/officeDocument/2006/relationships/hyperlink" Target="http://www.controlled-trials.com/" TargetMode="External"/><Relationship Id="rId5" Type="http://schemas.openxmlformats.org/officeDocument/2006/relationships/hyperlink" Target="http://neonatal.cochrane.org/" TargetMode="External"/><Relationship Id="rId10" Type="http://schemas.openxmlformats.org/officeDocument/2006/relationships/hyperlink" Target="http://www.clinicaltrials.gov/" TargetMode="External"/><Relationship Id="rId4" Type="http://schemas.openxmlformats.org/officeDocument/2006/relationships/webSettings" Target="webSettings.xml"/><Relationship Id="rId9" Type="http://schemas.openxmlformats.org/officeDocument/2006/relationships/hyperlink" Target="http://www.abstracts2view.com/pasal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431</Words>
  <Characters>2458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Mohan</dc:creator>
  <cp:lastModifiedBy>Mohan Pammi</cp:lastModifiedBy>
  <cp:revision>2</cp:revision>
  <dcterms:created xsi:type="dcterms:W3CDTF">2017-01-04T02:56:00Z</dcterms:created>
  <dcterms:modified xsi:type="dcterms:W3CDTF">2017-01-04T02:56:00Z</dcterms:modified>
</cp:coreProperties>
</file>