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F3C92" w14:textId="77777777" w:rsidR="003A4350" w:rsidRPr="003A4350" w:rsidRDefault="003A4350" w:rsidP="003A4350">
      <w:pPr>
        <w:spacing w:line="240" w:lineRule="auto"/>
        <w:jc w:val="center"/>
        <w:rPr>
          <w:b/>
        </w:rPr>
      </w:pPr>
      <w:bookmarkStart w:id="0" w:name="_GoBack"/>
      <w:bookmarkEnd w:id="0"/>
      <w:r>
        <w:rPr>
          <w:b/>
        </w:rPr>
        <w:t>Supplemental Material</w:t>
      </w:r>
    </w:p>
    <w:p w14:paraId="1192E71C" w14:textId="77777777" w:rsidR="0003619B" w:rsidRDefault="0003619B" w:rsidP="0003619B">
      <w:pPr>
        <w:pStyle w:val="Heading1"/>
        <w:spacing w:line="240" w:lineRule="auto"/>
        <w:jc w:val="center"/>
      </w:pPr>
      <w:r>
        <w:t>Stable Engraftment of Human Microbiota into Mice with a Single Oral Gavage Following Antibiotic Conditioning</w:t>
      </w:r>
    </w:p>
    <w:p w14:paraId="0B51D071" w14:textId="77777777" w:rsidR="0063093E" w:rsidRDefault="0063093E" w:rsidP="0063093E">
      <w:pPr>
        <w:spacing w:line="240" w:lineRule="auto"/>
        <w:jc w:val="center"/>
      </w:pPr>
      <w:r>
        <w:t>Christopher Staley</w:t>
      </w:r>
      <w:r>
        <w:rPr>
          <w:vertAlign w:val="superscript"/>
        </w:rPr>
        <w:t>1</w:t>
      </w:r>
      <w:r>
        <w:t>, Thomas Kaiser</w:t>
      </w:r>
      <w:r>
        <w:rPr>
          <w:vertAlign w:val="superscript"/>
        </w:rPr>
        <w:t>1</w:t>
      </w:r>
      <w:r>
        <w:t>, Lalit K. Beura</w:t>
      </w:r>
      <w:r w:rsidRPr="00261478">
        <w:rPr>
          <w:szCs w:val="24"/>
          <w:vertAlign w:val="superscript"/>
        </w:rPr>
        <w:t>2</w:t>
      </w:r>
      <w:proofErr w:type="gramStart"/>
      <w:r w:rsidRPr="00261478">
        <w:rPr>
          <w:szCs w:val="24"/>
          <w:vertAlign w:val="superscript"/>
        </w:rPr>
        <w:t>,3</w:t>
      </w:r>
      <w:proofErr w:type="gramEnd"/>
      <w:r>
        <w:t>, Matthew J. Hamilton</w:t>
      </w:r>
      <w:r>
        <w:rPr>
          <w:vertAlign w:val="superscript"/>
        </w:rPr>
        <w:t>1</w:t>
      </w:r>
      <w:r>
        <w:t>, Alexa R. Weingarden</w:t>
      </w:r>
      <w:r w:rsidRPr="00261478">
        <w:rPr>
          <w:szCs w:val="24"/>
          <w:vertAlign w:val="superscript"/>
        </w:rPr>
        <w:t>1</w:t>
      </w:r>
      <w:r>
        <w:t>, Aleh Bobr</w:t>
      </w:r>
      <w:r w:rsidRPr="00261478">
        <w:rPr>
          <w:szCs w:val="24"/>
          <w:vertAlign w:val="superscript"/>
        </w:rPr>
        <w:t>2,4</w:t>
      </w:r>
      <w:r>
        <w:t xml:space="preserve"> Johnthomas Kang</w:t>
      </w:r>
      <w:r w:rsidRPr="00261478">
        <w:rPr>
          <w:szCs w:val="24"/>
          <w:vertAlign w:val="superscript"/>
        </w:rPr>
        <w:t>2,4</w:t>
      </w:r>
      <w:r>
        <w:t>, David Masopust</w:t>
      </w:r>
      <w:r w:rsidRPr="00261478">
        <w:rPr>
          <w:szCs w:val="24"/>
          <w:vertAlign w:val="superscript"/>
        </w:rPr>
        <w:t>2,3</w:t>
      </w:r>
      <w:r>
        <w:t>, Michael J. Sadowsky</w:t>
      </w:r>
      <w:r w:rsidRPr="00261478">
        <w:rPr>
          <w:szCs w:val="24"/>
          <w:vertAlign w:val="superscript"/>
        </w:rPr>
        <w:t>1,5,</w:t>
      </w:r>
      <w:r>
        <w:rPr>
          <w:szCs w:val="24"/>
        </w:rPr>
        <w:t>*, &amp;</w:t>
      </w:r>
      <w:r>
        <w:t xml:space="preserve"> Alexander Khoruts</w:t>
      </w:r>
      <w:r>
        <w:rPr>
          <w:vertAlign w:val="superscript"/>
        </w:rPr>
        <w:t>1,2,#,</w:t>
      </w:r>
      <w:r>
        <w:rPr>
          <w:szCs w:val="24"/>
        </w:rPr>
        <w:t>*</w:t>
      </w:r>
      <w:r>
        <w:t xml:space="preserve"> </w:t>
      </w:r>
    </w:p>
    <w:p w14:paraId="5CB64435" w14:textId="77777777" w:rsidR="0063093E" w:rsidRDefault="0063093E" w:rsidP="0063093E">
      <w:pPr>
        <w:spacing w:line="240" w:lineRule="auto"/>
        <w:rPr>
          <w:vertAlign w:val="superscript"/>
        </w:rPr>
      </w:pPr>
    </w:p>
    <w:p w14:paraId="57639831" w14:textId="77777777" w:rsidR="0063093E" w:rsidRDefault="0063093E" w:rsidP="0063093E">
      <w:pPr>
        <w:spacing w:line="240" w:lineRule="auto"/>
      </w:pPr>
      <w:r>
        <w:rPr>
          <w:vertAlign w:val="superscript"/>
        </w:rPr>
        <w:t>1</w:t>
      </w:r>
      <w:r w:rsidRPr="00EA0FAC">
        <w:t>BioTechnology Institute, University of Minnesota, St. Paul, Minnesota</w:t>
      </w:r>
      <w:r>
        <w:t>, USA</w:t>
      </w:r>
    </w:p>
    <w:p w14:paraId="22D28212" w14:textId="77777777" w:rsidR="0063093E" w:rsidRDefault="0063093E" w:rsidP="0063093E">
      <w:pPr>
        <w:spacing w:line="240" w:lineRule="auto"/>
      </w:pPr>
      <w:r w:rsidRPr="00261478">
        <w:rPr>
          <w:szCs w:val="24"/>
          <w:vertAlign w:val="superscript"/>
        </w:rPr>
        <w:t>2</w:t>
      </w:r>
      <w:r>
        <w:t>Center for Immunology, University of Minnesota, Minneapolis, Minnesota, USA</w:t>
      </w:r>
    </w:p>
    <w:p w14:paraId="00D4A018" w14:textId="77777777" w:rsidR="0063093E" w:rsidRDefault="0063093E" w:rsidP="0063093E">
      <w:pPr>
        <w:spacing w:line="240" w:lineRule="auto"/>
      </w:pPr>
      <w:r w:rsidRPr="00261478">
        <w:rPr>
          <w:szCs w:val="24"/>
          <w:vertAlign w:val="superscript"/>
        </w:rPr>
        <w:t>3</w:t>
      </w:r>
      <w:r>
        <w:t>Department of Microbiology and Immunology, University of Minnesota, Minneapolis, Minnesota, USA</w:t>
      </w:r>
    </w:p>
    <w:p w14:paraId="780E6AFE" w14:textId="77777777" w:rsidR="0063093E" w:rsidRDefault="0063093E" w:rsidP="0063093E">
      <w:pPr>
        <w:spacing w:line="240" w:lineRule="auto"/>
      </w:pPr>
      <w:r>
        <w:rPr>
          <w:vertAlign w:val="superscript"/>
        </w:rPr>
        <w:t>4</w:t>
      </w:r>
      <w:r w:rsidRPr="00EA0FAC">
        <w:t>Division of Gastroenterology, Department of Medicine, University of Minnesota, Minneapolis, Minnesota</w:t>
      </w:r>
      <w:r>
        <w:t>, USA</w:t>
      </w:r>
    </w:p>
    <w:p w14:paraId="5C2B8DE8" w14:textId="77777777" w:rsidR="0063093E" w:rsidRDefault="0063093E" w:rsidP="0063093E">
      <w:pPr>
        <w:spacing w:line="240" w:lineRule="auto"/>
      </w:pPr>
      <w:r>
        <w:rPr>
          <w:vertAlign w:val="superscript"/>
        </w:rPr>
        <w:t>5</w:t>
      </w:r>
      <w:r w:rsidRPr="00EA0FAC">
        <w:t>Department of Soil, Water, and Climate</w:t>
      </w:r>
      <w:r>
        <w:t xml:space="preserve">, </w:t>
      </w:r>
      <w:r w:rsidRPr="00EA0FAC">
        <w:t>University of Minnesota, St. Paul, Minnesota</w:t>
      </w:r>
      <w:r>
        <w:t>, USA</w:t>
      </w:r>
      <w:r w:rsidRPr="00EA0FAC">
        <w:t xml:space="preserve"> </w:t>
      </w:r>
    </w:p>
    <w:p w14:paraId="0DEFD76C" w14:textId="77777777" w:rsidR="0063093E" w:rsidRDefault="0063093E" w:rsidP="0063093E">
      <w:pPr>
        <w:spacing w:line="240" w:lineRule="auto"/>
      </w:pPr>
    </w:p>
    <w:p w14:paraId="4528116B" w14:textId="77777777" w:rsidR="0063093E" w:rsidRDefault="0063093E" w:rsidP="0063093E">
      <w:pPr>
        <w:spacing w:line="240" w:lineRule="auto"/>
      </w:pPr>
      <w:r>
        <w:t>*These authors contributed equally to this work.</w:t>
      </w:r>
    </w:p>
    <w:p w14:paraId="2D30FEC7" w14:textId="77777777" w:rsidR="003A4350" w:rsidRDefault="0063093E" w:rsidP="0063093E">
      <w:pPr>
        <w:spacing w:line="240" w:lineRule="auto"/>
        <w:sectPr w:rsidR="003A4350" w:rsidSect="003A4350">
          <w:footerReference w:type="default" r:id="rId7"/>
          <w:pgSz w:w="12240" w:h="15840"/>
          <w:pgMar w:top="1440" w:right="1440" w:bottom="1440" w:left="1440" w:header="720" w:footer="720" w:gutter="0"/>
          <w:cols w:space="720"/>
          <w:docGrid w:linePitch="360"/>
        </w:sectPr>
      </w:pPr>
      <w:r w:rsidRPr="005775B3">
        <w:rPr>
          <w:vertAlign w:val="superscript"/>
        </w:rPr>
        <w:t>#</w:t>
      </w:r>
      <w:r w:rsidRPr="005E27AA">
        <w:t xml:space="preserve">Corresponding Author: </w:t>
      </w:r>
      <w:r>
        <w:t>Alexander Khoruts, 2101 6</w:t>
      </w:r>
      <w:r w:rsidRPr="00261478">
        <w:rPr>
          <w:vertAlign w:val="superscript"/>
        </w:rPr>
        <w:t>th</w:t>
      </w:r>
      <w:r>
        <w:t xml:space="preserve"> St. S.E., Room 3-184, Wallin Medical Biosciences Building, Minneapolis, MN 55414; Telephone: (612)-624-2101, Email: khoru001@umn.edu</w:t>
      </w:r>
    </w:p>
    <w:p w14:paraId="7ED3A0E2" w14:textId="04E48DE2" w:rsidR="003B717C" w:rsidRDefault="003B717C" w:rsidP="00DF2CB2">
      <w:pPr>
        <w:jc w:val="center"/>
      </w:pPr>
      <w:r>
        <w:rPr>
          <w:noProof/>
        </w:rPr>
        <w:lastRenderedPageBreak/>
        <w:drawing>
          <wp:inline distT="0" distB="0" distL="0" distR="0" wp14:anchorId="02149E14" wp14:editId="174BB15A">
            <wp:extent cx="5487035"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3657600"/>
                    </a:xfrm>
                    <a:prstGeom prst="rect">
                      <a:avLst/>
                    </a:prstGeom>
                    <a:noFill/>
                  </pic:spPr>
                </pic:pic>
              </a:graphicData>
            </a:graphic>
          </wp:inline>
        </w:drawing>
      </w:r>
    </w:p>
    <w:p w14:paraId="4F23B765" w14:textId="1C9CE274" w:rsidR="003B717C" w:rsidRPr="003B717C" w:rsidRDefault="003B717C" w:rsidP="003B717C">
      <w:pPr>
        <w:spacing w:line="240" w:lineRule="auto"/>
        <w:rPr>
          <w:rFonts w:ascii="Arial" w:hAnsi="Arial" w:cs="Arial"/>
        </w:rPr>
        <w:sectPr w:rsidR="003B717C" w:rsidRPr="003B717C" w:rsidSect="003A4350">
          <w:footerReference w:type="default" r:id="rId9"/>
          <w:pgSz w:w="15840" w:h="12240" w:orient="landscape"/>
          <w:pgMar w:top="1440" w:right="1440" w:bottom="1440" w:left="1440" w:header="720" w:footer="720" w:gutter="0"/>
          <w:pgNumType w:start="1"/>
          <w:cols w:space="720"/>
          <w:docGrid w:linePitch="360"/>
        </w:sectPr>
      </w:pPr>
      <w:proofErr w:type="gramStart"/>
      <w:r w:rsidRPr="003B717C">
        <w:rPr>
          <w:rFonts w:ascii="Arial" w:hAnsi="Arial" w:cs="Arial"/>
          <w:b/>
        </w:rPr>
        <w:t xml:space="preserve">Figure </w:t>
      </w:r>
      <w:r>
        <w:rPr>
          <w:rFonts w:ascii="Arial" w:hAnsi="Arial" w:cs="Arial"/>
          <w:b/>
        </w:rPr>
        <w:t xml:space="preserve"> S1</w:t>
      </w:r>
      <w:proofErr w:type="gramEnd"/>
      <w:r>
        <w:rPr>
          <w:rFonts w:ascii="Arial" w:hAnsi="Arial" w:cs="Arial"/>
          <w:b/>
        </w:rPr>
        <w:t xml:space="preserve">. </w:t>
      </w:r>
      <w:proofErr w:type="gramStart"/>
      <w:r>
        <w:rPr>
          <w:rFonts w:ascii="Arial" w:hAnsi="Arial" w:cs="Arial"/>
        </w:rPr>
        <w:t>Principal coordinate analysis of Bray-Curtis dissimilarity matrices among ASF mice samples and donors (r</w:t>
      </w:r>
      <w:r>
        <w:rPr>
          <w:rFonts w:ascii="Arial" w:hAnsi="Arial" w:cs="Arial"/>
          <w:vertAlign w:val="superscript"/>
        </w:rPr>
        <w:t>2</w:t>
      </w:r>
      <w:r>
        <w:rPr>
          <w:rFonts w:ascii="Arial" w:hAnsi="Arial" w:cs="Arial"/>
        </w:rPr>
        <w:t xml:space="preserve"> = 0.78).</w:t>
      </w:r>
      <w:proofErr w:type="gramEnd"/>
      <w:r>
        <w:rPr>
          <w:rFonts w:ascii="Arial" w:hAnsi="Arial" w:cs="Arial"/>
        </w:rPr>
        <w:t xml:space="preserve"> Samples collected at T</w:t>
      </w:r>
      <w:r>
        <w:rPr>
          <w:rFonts w:ascii="Arial" w:hAnsi="Arial" w:cs="Arial"/>
          <w:vertAlign w:val="subscript"/>
        </w:rPr>
        <w:t>0</w:t>
      </w:r>
      <w:r>
        <w:rPr>
          <w:rFonts w:ascii="Arial" w:hAnsi="Arial" w:cs="Arial"/>
        </w:rPr>
        <w:t xml:space="preserve"> are shown as open circles. Colors represent the donor, where blue samples are associated with donor 23, green are associated with donor 41, and red are controls. Diamonds represent donor samples and triangles represent post-gavage ASF mice.</w:t>
      </w:r>
    </w:p>
    <w:p w14:paraId="4BAAE804" w14:textId="7BE44262" w:rsidR="00895D12" w:rsidRDefault="00DF2CB2" w:rsidP="00DF2CB2">
      <w:pPr>
        <w:jc w:val="center"/>
      </w:pPr>
      <w:r>
        <w:rPr>
          <w:noProof/>
        </w:rPr>
        <w:lastRenderedPageBreak/>
        <w:drawing>
          <wp:inline distT="0" distB="0" distL="0" distR="0" wp14:anchorId="50B00AD9" wp14:editId="0C9CFB34">
            <wp:extent cx="6400800" cy="464515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4645152"/>
                    </a:xfrm>
                    <a:prstGeom prst="rect">
                      <a:avLst/>
                    </a:prstGeom>
                    <a:noFill/>
                  </pic:spPr>
                </pic:pic>
              </a:graphicData>
            </a:graphic>
          </wp:inline>
        </w:drawing>
      </w:r>
    </w:p>
    <w:p w14:paraId="7693C57B" w14:textId="14FDA0E2" w:rsidR="00AA5592" w:rsidRDefault="00DF2CB2" w:rsidP="004631DB">
      <w:pPr>
        <w:spacing w:line="240" w:lineRule="auto"/>
        <w:rPr>
          <w:rFonts w:ascii="Arial" w:hAnsi="Arial" w:cs="Arial"/>
        </w:rPr>
        <w:sectPr w:rsidR="00AA5592" w:rsidSect="003A4350">
          <w:pgSz w:w="15840" w:h="12240" w:orient="landscape"/>
          <w:pgMar w:top="1440" w:right="1440" w:bottom="1440" w:left="1440" w:header="720" w:footer="720" w:gutter="0"/>
          <w:pgNumType w:start="1"/>
          <w:cols w:space="720"/>
          <w:docGrid w:linePitch="360"/>
        </w:sectPr>
      </w:pPr>
      <w:r>
        <w:rPr>
          <w:rFonts w:ascii="Arial" w:hAnsi="Arial" w:cs="Arial"/>
          <w:b/>
        </w:rPr>
        <w:t>Figure S</w:t>
      </w:r>
      <w:r w:rsidR="00E54DB6">
        <w:rPr>
          <w:rFonts w:ascii="Arial" w:hAnsi="Arial" w:cs="Arial"/>
          <w:b/>
        </w:rPr>
        <w:t>2</w:t>
      </w:r>
      <w:r>
        <w:rPr>
          <w:rFonts w:ascii="Arial" w:hAnsi="Arial" w:cs="Arial"/>
          <w:b/>
        </w:rPr>
        <w:t xml:space="preserve">. </w:t>
      </w:r>
      <w:proofErr w:type="gramStart"/>
      <w:r>
        <w:rPr>
          <w:rFonts w:ascii="Arial" w:hAnsi="Arial" w:cs="Arial"/>
        </w:rPr>
        <w:t>Shannon indices for wildtype mouse fecal communities in response to antibiotics.</w:t>
      </w:r>
      <w:proofErr w:type="gramEnd"/>
      <w:r>
        <w:rPr>
          <w:rFonts w:ascii="Arial" w:hAnsi="Arial" w:cs="Arial"/>
        </w:rPr>
        <w:t xml:space="preserve"> Values are averages of replicates (shown in parentheses) and error bars reflect SEM. </w:t>
      </w:r>
      <w:r w:rsidRPr="00DF2CB2">
        <w:rPr>
          <w:rFonts w:ascii="Arial" w:hAnsi="Arial" w:cs="Arial"/>
        </w:rPr>
        <w:t>T</w:t>
      </w:r>
      <w:r w:rsidRPr="00DF2CB2">
        <w:rPr>
          <w:rFonts w:ascii="Arial" w:hAnsi="Arial" w:cs="Arial"/>
          <w:vertAlign w:val="subscript"/>
        </w:rPr>
        <w:t>0</w:t>
      </w:r>
      <w:r>
        <w:rPr>
          <w:rFonts w:ascii="Arial" w:hAnsi="Arial" w:cs="Arial"/>
        </w:rPr>
        <w:t xml:space="preserve"> corresponds to the day of gavage, two days following the post-abx time point. </w:t>
      </w:r>
      <w:proofErr w:type="gramStart"/>
      <w:r w:rsidRPr="00DF2CB2">
        <w:rPr>
          <w:rFonts w:ascii="Arial" w:hAnsi="Arial" w:cs="Arial"/>
        </w:rPr>
        <w:t>Legend</w:t>
      </w:r>
      <w:r>
        <w:rPr>
          <w:rFonts w:ascii="Arial" w:hAnsi="Arial" w:cs="Arial"/>
        </w:rPr>
        <w:t>: S – systemic cocktail, N – non-absorbable cocktail, P – purgative.</w:t>
      </w:r>
      <w:proofErr w:type="gramEnd"/>
    </w:p>
    <w:p w14:paraId="1E0BEC55" w14:textId="1D340B16" w:rsidR="00DF2CB2" w:rsidRDefault="00F039E9" w:rsidP="00DF2CB2">
      <w:pPr>
        <w:spacing w:line="240" w:lineRule="auto"/>
        <w:jc w:val="center"/>
        <w:rPr>
          <w:rFonts w:ascii="Arial" w:hAnsi="Arial" w:cs="Arial"/>
        </w:rPr>
      </w:pPr>
      <w:r>
        <w:rPr>
          <w:rFonts w:ascii="Arial" w:hAnsi="Arial" w:cs="Arial"/>
          <w:noProof/>
        </w:rPr>
        <w:lastRenderedPageBreak/>
        <w:drawing>
          <wp:inline distT="0" distB="0" distL="0" distR="0" wp14:anchorId="7ED843C1" wp14:editId="4EBBFF0A">
            <wp:extent cx="5487035"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035" cy="3657600"/>
                    </a:xfrm>
                    <a:prstGeom prst="rect">
                      <a:avLst/>
                    </a:prstGeom>
                    <a:noFill/>
                  </pic:spPr>
                </pic:pic>
              </a:graphicData>
            </a:graphic>
          </wp:inline>
        </w:drawing>
      </w:r>
    </w:p>
    <w:p w14:paraId="4A763B0A" w14:textId="16B0EEC2" w:rsidR="00F94D0A" w:rsidRDefault="00AA5592" w:rsidP="004631DB">
      <w:pPr>
        <w:spacing w:line="240" w:lineRule="auto"/>
        <w:rPr>
          <w:rFonts w:ascii="Arial" w:hAnsi="Arial" w:cs="Arial"/>
        </w:rPr>
        <w:sectPr w:rsidR="00F94D0A" w:rsidSect="00DF2CB2">
          <w:pgSz w:w="15840" w:h="12240" w:orient="landscape"/>
          <w:pgMar w:top="1440" w:right="1440" w:bottom="1440" w:left="1440" w:header="720" w:footer="720" w:gutter="0"/>
          <w:cols w:space="720"/>
          <w:docGrid w:linePitch="360"/>
        </w:sectPr>
      </w:pPr>
      <w:r>
        <w:rPr>
          <w:rFonts w:ascii="Arial" w:hAnsi="Arial" w:cs="Arial"/>
          <w:b/>
        </w:rPr>
        <w:t>Figure S</w:t>
      </w:r>
      <w:r w:rsidR="00E54DB6">
        <w:rPr>
          <w:rFonts w:ascii="Arial" w:hAnsi="Arial" w:cs="Arial"/>
          <w:b/>
        </w:rPr>
        <w:t>3</w:t>
      </w:r>
      <w:r>
        <w:rPr>
          <w:rFonts w:ascii="Arial" w:hAnsi="Arial" w:cs="Arial"/>
          <w:b/>
        </w:rPr>
        <w:t xml:space="preserve">. </w:t>
      </w:r>
      <w:proofErr w:type="gramStart"/>
      <w:r>
        <w:rPr>
          <w:rFonts w:ascii="Arial" w:hAnsi="Arial" w:cs="Arial"/>
        </w:rPr>
        <w:t>Family composition of wildtype mouse fecal communities in response to antibiotics.</w:t>
      </w:r>
      <w:proofErr w:type="gramEnd"/>
      <w:r>
        <w:rPr>
          <w:rFonts w:ascii="Arial" w:hAnsi="Arial" w:cs="Arial"/>
        </w:rPr>
        <w:t xml:space="preserve"> Values are averages of replicates and error bars reflect SEM. </w:t>
      </w:r>
      <w:r w:rsidRPr="00DF2CB2">
        <w:rPr>
          <w:rFonts w:ascii="Arial" w:hAnsi="Arial" w:cs="Arial"/>
        </w:rPr>
        <w:t>T</w:t>
      </w:r>
      <w:r w:rsidRPr="00DF2CB2">
        <w:rPr>
          <w:rFonts w:ascii="Arial" w:hAnsi="Arial" w:cs="Arial"/>
          <w:vertAlign w:val="subscript"/>
        </w:rPr>
        <w:t>0</w:t>
      </w:r>
      <w:r>
        <w:rPr>
          <w:rFonts w:ascii="Arial" w:hAnsi="Arial" w:cs="Arial"/>
        </w:rPr>
        <w:t xml:space="preserve"> corresponds to the day of gavage, two days following the post-abx time point</w:t>
      </w:r>
      <w:r w:rsidR="00105003">
        <w:rPr>
          <w:rFonts w:ascii="Arial" w:hAnsi="Arial" w:cs="Arial"/>
        </w:rPr>
        <w:t xml:space="preserve"> and following purgative administration, if applicable</w:t>
      </w:r>
      <w:r>
        <w:rPr>
          <w:rFonts w:ascii="Arial" w:hAnsi="Arial" w:cs="Arial"/>
        </w:rPr>
        <w:t xml:space="preserve">. </w:t>
      </w:r>
      <w:proofErr w:type="gramStart"/>
      <w:r w:rsidRPr="00DF2CB2">
        <w:rPr>
          <w:rFonts w:ascii="Arial" w:hAnsi="Arial" w:cs="Arial"/>
        </w:rPr>
        <w:t>Legend</w:t>
      </w:r>
      <w:r>
        <w:rPr>
          <w:rFonts w:ascii="Arial" w:hAnsi="Arial" w:cs="Arial"/>
        </w:rPr>
        <w:t>: S – systemic cocktail, N – non-absorbable cocktail, P – purgative.</w:t>
      </w:r>
      <w:proofErr w:type="gramEnd"/>
    </w:p>
    <w:p w14:paraId="34C3D762" w14:textId="3196E80E" w:rsidR="00420AEB" w:rsidRDefault="00FD5DFB" w:rsidP="00DF2CB2">
      <w:pPr>
        <w:spacing w:line="240" w:lineRule="auto"/>
        <w:jc w:val="center"/>
        <w:rPr>
          <w:rFonts w:ascii="Arial" w:hAnsi="Arial" w:cs="Arial"/>
        </w:rPr>
      </w:pPr>
      <w:r>
        <w:rPr>
          <w:rFonts w:ascii="Arial" w:hAnsi="Arial" w:cs="Arial"/>
          <w:noProof/>
        </w:rPr>
        <w:lastRenderedPageBreak/>
        <w:drawing>
          <wp:inline distT="0" distB="0" distL="0" distR="0" wp14:anchorId="44FCAF2D" wp14:editId="05512FC4">
            <wp:extent cx="5486400" cy="3977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977640"/>
                    </a:xfrm>
                    <a:prstGeom prst="rect">
                      <a:avLst/>
                    </a:prstGeom>
                    <a:noFill/>
                  </pic:spPr>
                </pic:pic>
              </a:graphicData>
            </a:graphic>
          </wp:inline>
        </w:drawing>
      </w:r>
    </w:p>
    <w:p w14:paraId="582AA1E4" w14:textId="7C91CF8F" w:rsidR="00F94D0A" w:rsidRDefault="00F94D0A" w:rsidP="004631DB">
      <w:pPr>
        <w:spacing w:line="240" w:lineRule="auto"/>
        <w:rPr>
          <w:rFonts w:ascii="Arial" w:hAnsi="Arial" w:cs="Arial"/>
        </w:rPr>
      </w:pPr>
      <w:r w:rsidRPr="00F94D0A">
        <w:rPr>
          <w:rFonts w:ascii="Arial" w:hAnsi="Arial" w:cs="Arial"/>
          <w:b/>
        </w:rPr>
        <w:t xml:space="preserve">Figure </w:t>
      </w:r>
      <w:r>
        <w:rPr>
          <w:rFonts w:ascii="Arial" w:hAnsi="Arial" w:cs="Arial"/>
          <w:b/>
        </w:rPr>
        <w:t>S</w:t>
      </w:r>
      <w:r w:rsidR="00E54DB6">
        <w:rPr>
          <w:rFonts w:ascii="Arial" w:hAnsi="Arial" w:cs="Arial"/>
          <w:b/>
        </w:rPr>
        <w:t>4</w:t>
      </w:r>
      <w:r>
        <w:rPr>
          <w:rFonts w:ascii="Arial" w:hAnsi="Arial" w:cs="Arial"/>
          <w:b/>
        </w:rPr>
        <w:t>.</w:t>
      </w:r>
      <w:r>
        <w:rPr>
          <w:rFonts w:ascii="Arial" w:hAnsi="Arial" w:cs="Arial"/>
        </w:rPr>
        <w:t xml:space="preserve"> </w:t>
      </w:r>
      <w:proofErr w:type="gramStart"/>
      <w:r>
        <w:rPr>
          <w:rFonts w:ascii="Arial" w:hAnsi="Arial" w:cs="Arial"/>
        </w:rPr>
        <w:t>Principal coordinate analysis of Bray-Curtis dissimi</w:t>
      </w:r>
      <w:r w:rsidR="00F00EEE">
        <w:rPr>
          <w:rFonts w:ascii="Arial" w:hAnsi="Arial" w:cs="Arial"/>
        </w:rPr>
        <w:t>larities among donor and mouse communities (r</w:t>
      </w:r>
      <w:r w:rsidR="00F00EEE">
        <w:rPr>
          <w:rFonts w:ascii="Arial" w:hAnsi="Arial" w:cs="Arial"/>
          <w:vertAlign w:val="superscript"/>
        </w:rPr>
        <w:t>2</w:t>
      </w:r>
      <w:r w:rsidR="00F00EEE">
        <w:rPr>
          <w:rFonts w:ascii="Arial" w:hAnsi="Arial" w:cs="Arial"/>
        </w:rPr>
        <w:t xml:space="preserve"> = 0.27).</w:t>
      </w:r>
      <w:proofErr w:type="gramEnd"/>
      <w:r w:rsidR="00F00EEE">
        <w:rPr>
          <w:rFonts w:ascii="Arial" w:hAnsi="Arial" w:cs="Arial"/>
        </w:rPr>
        <w:t xml:space="preserve"> Blue, orange, and gray symbols represent donor samples (♦) and experimental mouse (●) communities. Yellow symbols represent no-gavage controls while green symbols are no-antibiotic controls. </w:t>
      </w:r>
      <w:r w:rsidR="00FD5DFB">
        <w:rPr>
          <w:rFonts w:ascii="Arial" w:hAnsi="Arial" w:cs="Arial"/>
        </w:rPr>
        <w:t xml:space="preserve">The same donor fecal preparation of donor 41 was used for germ-free and antibiotic-exposed mice. </w:t>
      </w:r>
      <w:r w:rsidR="00F00EEE">
        <w:rPr>
          <w:rFonts w:ascii="Arial" w:hAnsi="Arial" w:cs="Arial"/>
        </w:rPr>
        <w:t xml:space="preserve">GF: germ-free, </w:t>
      </w:r>
      <w:r w:rsidR="00FD5DFB">
        <w:rPr>
          <w:rFonts w:ascii="Arial" w:hAnsi="Arial" w:cs="Arial"/>
        </w:rPr>
        <w:t>Recipient</w:t>
      </w:r>
      <w:r w:rsidR="00F00EEE">
        <w:rPr>
          <w:rFonts w:ascii="Arial" w:hAnsi="Arial" w:cs="Arial"/>
        </w:rPr>
        <w:t xml:space="preserve">: </w:t>
      </w:r>
      <w:r w:rsidR="00FD5DFB">
        <w:rPr>
          <w:rFonts w:ascii="Arial" w:hAnsi="Arial" w:cs="Arial"/>
        </w:rPr>
        <w:t>antibiotic-treated recipient of donor gavage</w:t>
      </w:r>
      <w:r w:rsidR="00F00EEE">
        <w:rPr>
          <w:rFonts w:ascii="Arial" w:hAnsi="Arial" w:cs="Arial"/>
        </w:rPr>
        <w:t>, abx: antibiotics.</w:t>
      </w:r>
    </w:p>
    <w:p w14:paraId="7691991E" w14:textId="4F1C2ACE" w:rsidR="00AA5592" w:rsidRDefault="00F0225D" w:rsidP="00DF2CB2">
      <w:pPr>
        <w:spacing w:line="240" w:lineRule="auto"/>
        <w:jc w:val="center"/>
        <w:rPr>
          <w:rFonts w:ascii="Arial" w:hAnsi="Arial" w:cs="Arial"/>
        </w:rPr>
      </w:pPr>
      <w:r>
        <w:rPr>
          <w:rFonts w:ascii="Arial" w:hAnsi="Arial" w:cs="Arial"/>
          <w:noProof/>
        </w:rPr>
        <w:lastRenderedPageBreak/>
        <w:drawing>
          <wp:inline distT="0" distB="0" distL="0" distR="0" wp14:anchorId="78BA8784" wp14:editId="59E0991F">
            <wp:extent cx="8229600" cy="390448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29600" cy="3904488"/>
                    </a:xfrm>
                    <a:prstGeom prst="rect">
                      <a:avLst/>
                    </a:prstGeom>
                    <a:noFill/>
                  </pic:spPr>
                </pic:pic>
              </a:graphicData>
            </a:graphic>
          </wp:inline>
        </w:drawing>
      </w:r>
    </w:p>
    <w:p w14:paraId="79A12F53" w14:textId="473F597B" w:rsidR="00F50BD1" w:rsidRDefault="00420AEB" w:rsidP="004631DB">
      <w:pPr>
        <w:spacing w:line="240" w:lineRule="auto"/>
        <w:rPr>
          <w:rFonts w:ascii="Arial" w:hAnsi="Arial" w:cs="Arial"/>
        </w:rPr>
        <w:sectPr w:rsidR="00F50BD1" w:rsidSect="00DF2CB2">
          <w:pgSz w:w="15840" w:h="12240" w:orient="landscape"/>
          <w:pgMar w:top="1440" w:right="1440" w:bottom="1440" w:left="1440" w:header="720" w:footer="720" w:gutter="0"/>
          <w:cols w:space="720"/>
          <w:docGrid w:linePitch="360"/>
        </w:sectPr>
      </w:pPr>
      <w:r>
        <w:rPr>
          <w:rFonts w:ascii="Arial" w:hAnsi="Arial" w:cs="Arial"/>
          <w:b/>
        </w:rPr>
        <w:t>Figure S</w:t>
      </w:r>
      <w:r w:rsidR="00F17A2B">
        <w:rPr>
          <w:rFonts w:ascii="Arial" w:hAnsi="Arial" w:cs="Arial"/>
          <w:b/>
        </w:rPr>
        <w:t>5</w:t>
      </w:r>
      <w:r>
        <w:rPr>
          <w:rFonts w:ascii="Arial" w:hAnsi="Arial" w:cs="Arial"/>
          <w:b/>
        </w:rPr>
        <w:t xml:space="preserve">. </w:t>
      </w:r>
      <w:proofErr w:type="gramStart"/>
      <w:r w:rsidR="00342604">
        <w:rPr>
          <w:rFonts w:ascii="Arial" w:hAnsi="Arial" w:cs="Arial"/>
        </w:rPr>
        <w:t>Community composition of multi-course antibiotic controls.</w:t>
      </w:r>
      <w:proofErr w:type="gramEnd"/>
      <w:r w:rsidR="00342604">
        <w:rPr>
          <w:rFonts w:ascii="Arial" w:hAnsi="Arial" w:cs="Arial"/>
        </w:rPr>
        <w:t xml:space="preserve"> A) Donor communities (n=3 each), B) mice received gavage of fecal microbiota from donor 36 without prior antibiotic treatment (n=3), C) mice received gavage of fecal microbiota from donor 41 without prior antibiotic treatment (n=5), D &amp; E) mice received antibiotics but no donor gavage (n=5 each; experiments conducted independently).</w:t>
      </w:r>
      <w:r w:rsidR="00BF2475">
        <w:rPr>
          <w:rFonts w:ascii="Arial" w:hAnsi="Arial" w:cs="Arial"/>
        </w:rPr>
        <w:t xml:space="preserve"> Black lines reflect percent of donor similarity, determined by SourceTracker, and error bars reflect SEM.</w:t>
      </w:r>
    </w:p>
    <w:p w14:paraId="19E7AEFF" w14:textId="77777777" w:rsidR="00F17A2B" w:rsidRDefault="00F17A2B" w:rsidP="00F17A2B">
      <w:pPr>
        <w:spacing w:line="240" w:lineRule="auto"/>
        <w:jc w:val="center"/>
        <w:rPr>
          <w:rFonts w:ascii="Arial" w:hAnsi="Arial" w:cs="Arial"/>
        </w:rPr>
      </w:pPr>
      <w:r>
        <w:rPr>
          <w:rFonts w:ascii="Arial" w:hAnsi="Arial" w:cs="Arial"/>
          <w:noProof/>
        </w:rPr>
        <w:lastRenderedPageBreak/>
        <w:drawing>
          <wp:inline distT="0" distB="0" distL="0" distR="0" wp14:anchorId="425E8B0A" wp14:editId="4008DC4B">
            <wp:extent cx="6517005" cy="41154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7005" cy="4115435"/>
                    </a:xfrm>
                    <a:prstGeom prst="rect">
                      <a:avLst/>
                    </a:prstGeom>
                    <a:noFill/>
                  </pic:spPr>
                </pic:pic>
              </a:graphicData>
            </a:graphic>
          </wp:inline>
        </w:drawing>
      </w:r>
    </w:p>
    <w:p w14:paraId="6831322B" w14:textId="46B281A8" w:rsidR="00F17A2B" w:rsidRDefault="00F17A2B" w:rsidP="00F17A2B">
      <w:pPr>
        <w:spacing w:line="240" w:lineRule="auto"/>
        <w:rPr>
          <w:rFonts w:ascii="Arial" w:hAnsi="Arial" w:cs="Arial"/>
        </w:rPr>
        <w:sectPr w:rsidR="00F17A2B" w:rsidSect="00DF2CB2">
          <w:pgSz w:w="15840" w:h="12240" w:orient="landscape"/>
          <w:pgMar w:top="1440" w:right="1440" w:bottom="1440" w:left="1440" w:header="720" w:footer="720" w:gutter="0"/>
          <w:cols w:space="720"/>
          <w:docGrid w:linePitch="360"/>
        </w:sectPr>
      </w:pPr>
      <w:r>
        <w:rPr>
          <w:rFonts w:ascii="Arial" w:hAnsi="Arial" w:cs="Arial"/>
          <w:b/>
        </w:rPr>
        <w:t xml:space="preserve">Figure S6. </w:t>
      </w:r>
      <w:r>
        <w:rPr>
          <w:rFonts w:ascii="Arial" w:hAnsi="Arial" w:cs="Arial"/>
        </w:rPr>
        <w:t>Genera associated with donor source contributions. A) Germ-free mice that received donor 41, B) antibiotic-treated mice that received donor 36, C) antibiotic-treated mice that received donor 41, D) antibiotic-treated mice that received donor 42. Genera were identified by SourceTracker and averaged among all replicates (n=3, 4, 5, and 2, respectively).</w:t>
      </w:r>
    </w:p>
    <w:p w14:paraId="65770C51" w14:textId="77777777" w:rsidR="00A25725" w:rsidRDefault="00A25725" w:rsidP="00A25725">
      <w:pPr>
        <w:spacing w:line="240" w:lineRule="auto"/>
        <w:jc w:val="center"/>
        <w:rPr>
          <w:rFonts w:ascii="Arial" w:hAnsi="Arial" w:cs="Arial"/>
        </w:rPr>
      </w:pPr>
      <w:r>
        <w:rPr>
          <w:rFonts w:ascii="Arial" w:hAnsi="Arial" w:cs="Arial"/>
          <w:noProof/>
        </w:rPr>
        <w:lastRenderedPageBreak/>
        <w:drawing>
          <wp:inline distT="0" distB="0" distL="0" distR="0" wp14:anchorId="2FC4A10F" wp14:editId="25639158">
            <wp:extent cx="5487035" cy="3657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3657600"/>
                    </a:xfrm>
                    <a:prstGeom prst="rect">
                      <a:avLst/>
                    </a:prstGeom>
                    <a:noFill/>
                  </pic:spPr>
                </pic:pic>
              </a:graphicData>
            </a:graphic>
          </wp:inline>
        </w:drawing>
      </w:r>
    </w:p>
    <w:p w14:paraId="110D9B7C" w14:textId="2EA7BD37" w:rsidR="00A25725" w:rsidRDefault="00A25725" w:rsidP="004836C0">
      <w:pPr>
        <w:spacing w:line="240" w:lineRule="auto"/>
        <w:rPr>
          <w:rFonts w:ascii="Arial" w:hAnsi="Arial" w:cs="Arial"/>
        </w:rPr>
      </w:pPr>
      <w:r>
        <w:rPr>
          <w:rFonts w:ascii="Arial" w:hAnsi="Arial" w:cs="Arial"/>
          <w:b/>
        </w:rPr>
        <w:t xml:space="preserve">Figure S7. </w:t>
      </w:r>
      <w:r>
        <w:rPr>
          <w:rFonts w:ascii="Arial" w:hAnsi="Arial" w:cs="Arial"/>
        </w:rPr>
        <w:t>Similarity to donor and pre-antibiotic mouse communities among mice treated with three courses of antibiotics. Solid lines reflect similarity to donor 41 and dashed lines reflect similarity to pre-antibiotic mouse communities. Black lines are the experimental group that received both antibiotics and donor gavage, red lines indicate mice that received only antibiotics without donor gavage, and green lines indicate mice that received donor gavage without antibiotic exposure. Error bars reflect standard error.</w:t>
      </w:r>
    </w:p>
    <w:p w14:paraId="7AC39DB8" w14:textId="77777777" w:rsidR="003325D4" w:rsidRDefault="003325D4" w:rsidP="004836C0">
      <w:pPr>
        <w:spacing w:line="240" w:lineRule="auto"/>
        <w:rPr>
          <w:rFonts w:ascii="Arial" w:hAnsi="Arial" w:cs="Arial"/>
        </w:rPr>
      </w:pPr>
    </w:p>
    <w:p w14:paraId="6FDE0CF3" w14:textId="77777777" w:rsidR="003325D4" w:rsidRDefault="003325D4" w:rsidP="004836C0">
      <w:pPr>
        <w:spacing w:line="240" w:lineRule="auto"/>
        <w:rPr>
          <w:rFonts w:ascii="Arial" w:hAnsi="Arial" w:cs="Arial"/>
        </w:rPr>
      </w:pPr>
    </w:p>
    <w:p w14:paraId="34A3B493" w14:textId="77777777" w:rsidR="003325D4" w:rsidRDefault="003325D4" w:rsidP="004836C0">
      <w:pPr>
        <w:spacing w:line="240" w:lineRule="auto"/>
        <w:rPr>
          <w:rFonts w:ascii="Arial" w:hAnsi="Arial" w:cs="Arial"/>
        </w:rPr>
      </w:pPr>
    </w:p>
    <w:p w14:paraId="5F8AD619" w14:textId="77777777" w:rsidR="003325D4" w:rsidRDefault="003325D4" w:rsidP="004836C0">
      <w:pPr>
        <w:spacing w:line="240" w:lineRule="auto"/>
        <w:rPr>
          <w:rFonts w:ascii="Arial" w:hAnsi="Arial" w:cs="Arial"/>
        </w:rPr>
      </w:pPr>
    </w:p>
    <w:p w14:paraId="0A6689FE" w14:textId="59F3B3AB" w:rsidR="003325D4" w:rsidRDefault="003325D4" w:rsidP="004836C0">
      <w:pPr>
        <w:spacing w:line="240" w:lineRule="auto"/>
        <w:rPr>
          <w:rFonts w:ascii="Arial" w:hAnsi="Arial" w:cs="Arial"/>
          <w:b/>
        </w:rPr>
      </w:pPr>
      <w:r>
        <w:rPr>
          <w:rFonts w:ascii="Arial" w:hAnsi="Arial" w:cs="Arial"/>
          <w:b/>
          <w:noProof/>
        </w:rPr>
        <w:lastRenderedPageBreak/>
        <w:drawing>
          <wp:inline distT="0" distB="0" distL="0" distR="0" wp14:anchorId="12EA4C55" wp14:editId="0C664211">
            <wp:extent cx="5943600" cy="4284467"/>
            <wp:effectExtent l="0" t="0" r="0" b="825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84467"/>
                    </a:xfrm>
                    <a:prstGeom prst="rect">
                      <a:avLst/>
                    </a:prstGeom>
                    <a:noFill/>
                    <a:ln>
                      <a:noFill/>
                    </a:ln>
                  </pic:spPr>
                </pic:pic>
              </a:graphicData>
            </a:graphic>
          </wp:inline>
        </w:drawing>
      </w:r>
    </w:p>
    <w:p w14:paraId="1AC8890D" w14:textId="77777777" w:rsidR="003325D4" w:rsidRDefault="003325D4" w:rsidP="004836C0">
      <w:pPr>
        <w:spacing w:line="240" w:lineRule="auto"/>
        <w:rPr>
          <w:rFonts w:ascii="Arial" w:hAnsi="Arial" w:cs="Arial"/>
          <w:b/>
        </w:rPr>
      </w:pPr>
    </w:p>
    <w:p w14:paraId="733767F3" w14:textId="035B42A0" w:rsidR="003325D4" w:rsidRPr="003325D4" w:rsidRDefault="003325D4" w:rsidP="003325D4">
      <w:pPr>
        <w:spacing w:line="240" w:lineRule="auto"/>
        <w:rPr>
          <w:rFonts w:ascii="Arial" w:hAnsi="Arial" w:cs="Arial"/>
        </w:rPr>
      </w:pPr>
      <w:r w:rsidRPr="003325D4">
        <w:rPr>
          <w:rFonts w:ascii="Arial" w:hAnsi="Arial" w:cs="Arial"/>
          <w:b/>
          <w:bCs/>
        </w:rPr>
        <w:t>Figure S8</w:t>
      </w:r>
      <w:r w:rsidRPr="003325D4">
        <w:rPr>
          <w:rFonts w:ascii="Arial" w:hAnsi="Arial" w:cs="Arial"/>
          <w:bCs/>
        </w:rPr>
        <w:t>. Flow cytometry gating scheme to identify immune cell populations</w:t>
      </w:r>
      <w:r w:rsidRPr="003325D4">
        <w:rPr>
          <w:rFonts w:ascii="Arial" w:hAnsi="Arial" w:cs="Arial"/>
        </w:rPr>
        <w:t xml:space="preserve">. Isolated splenocytes were examined using 14-parameter flow cytometry panel. A representative example with indicated populations (on top) is shown. The </w:t>
      </w:r>
      <w:proofErr w:type="gramStart"/>
      <w:r w:rsidRPr="003325D4">
        <w:rPr>
          <w:rFonts w:ascii="Arial" w:hAnsi="Arial" w:cs="Arial"/>
        </w:rPr>
        <w:t>letter inside the gates correspond</w:t>
      </w:r>
      <w:proofErr w:type="gramEnd"/>
      <w:r w:rsidRPr="003325D4">
        <w:rPr>
          <w:rFonts w:ascii="Arial" w:hAnsi="Arial" w:cs="Arial"/>
        </w:rPr>
        <w:t xml:space="preserve"> to various leucocyte populations enu</w:t>
      </w:r>
      <w:r>
        <w:rPr>
          <w:rFonts w:ascii="Arial" w:hAnsi="Arial" w:cs="Arial"/>
        </w:rPr>
        <w:t xml:space="preserve">merated in the next figure. (A) CD45+ leucocytes, (B) </w:t>
      </w:r>
      <w:r w:rsidRPr="003325D4">
        <w:rPr>
          <w:rFonts w:ascii="Arial" w:hAnsi="Arial" w:cs="Arial"/>
        </w:rPr>
        <w:t>CD8a</w:t>
      </w:r>
      <w:r>
        <w:rPr>
          <w:rFonts w:ascii="Arial" w:hAnsi="Arial" w:cs="Arial"/>
        </w:rPr>
        <w:t xml:space="preserve">+ T cells, (C) CD4 T cells, (D) CD11b+ granulocytes and (E) </w:t>
      </w:r>
      <w:r w:rsidRPr="003325D4">
        <w:rPr>
          <w:rFonts w:ascii="Arial" w:hAnsi="Arial" w:cs="Arial"/>
        </w:rPr>
        <w:t>neutrophils.</w:t>
      </w:r>
    </w:p>
    <w:p w14:paraId="41F44545" w14:textId="77777777" w:rsidR="0063093E" w:rsidRDefault="0063093E" w:rsidP="00DF2CB2">
      <w:pPr>
        <w:spacing w:line="240" w:lineRule="auto"/>
        <w:jc w:val="center"/>
        <w:rPr>
          <w:rFonts w:ascii="Arial" w:hAnsi="Arial" w:cs="Arial"/>
        </w:rPr>
      </w:pPr>
      <w:r>
        <w:rPr>
          <w:rFonts w:ascii="Arial" w:hAnsi="Arial" w:cs="Arial"/>
          <w:noProof/>
        </w:rPr>
        <w:lastRenderedPageBreak/>
        <w:drawing>
          <wp:inline distT="0" distB="0" distL="0" distR="0" wp14:anchorId="372628B2" wp14:editId="4DF3F9D3">
            <wp:extent cx="7666891" cy="5715000"/>
            <wp:effectExtent l="0" t="0" r="444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70222" cy="5717483"/>
                    </a:xfrm>
                    <a:prstGeom prst="rect">
                      <a:avLst/>
                    </a:prstGeom>
                    <a:noFill/>
                    <a:ln>
                      <a:noFill/>
                    </a:ln>
                  </pic:spPr>
                </pic:pic>
              </a:graphicData>
            </a:graphic>
          </wp:inline>
        </w:drawing>
      </w:r>
    </w:p>
    <w:p w14:paraId="349B11CA" w14:textId="48A756E4" w:rsidR="00BB657D" w:rsidRDefault="0063093E" w:rsidP="0063093E">
      <w:pPr>
        <w:spacing w:line="240" w:lineRule="auto"/>
        <w:rPr>
          <w:rFonts w:ascii="Arial" w:hAnsi="Arial" w:cs="Arial"/>
        </w:rPr>
        <w:sectPr w:rsidR="00BB657D" w:rsidSect="00DF2CB2">
          <w:pgSz w:w="15840" w:h="12240" w:orient="landscape"/>
          <w:pgMar w:top="1440" w:right="1440" w:bottom="1440" w:left="1440" w:header="720" w:footer="720" w:gutter="0"/>
          <w:cols w:space="720"/>
          <w:docGrid w:linePitch="360"/>
        </w:sectPr>
      </w:pPr>
      <w:r w:rsidRPr="0063093E">
        <w:rPr>
          <w:rFonts w:ascii="Arial" w:hAnsi="Arial" w:cs="Arial"/>
          <w:b/>
        </w:rPr>
        <w:lastRenderedPageBreak/>
        <w:t xml:space="preserve">Figure </w:t>
      </w:r>
      <w:r w:rsidR="002C3A61">
        <w:rPr>
          <w:rFonts w:ascii="Arial" w:hAnsi="Arial" w:cs="Arial"/>
          <w:b/>
        </w:rPr>
        <w:t>S9</w:t>
      </w:r>
      <w:r w:rsidRPr="0063093E">
        <w:rPr>
          <w:rFonts w:ascii="Arial" w:hAnsi="Arial" w:cs="Arial"/>
          <w:b/>
        </w:rPr>
        <w:t>. Immunological</w:t>
      </w:r>
      <w:r w:rsidRPr="00073E7C">
        <w:rPr>
          <w:rFonts w:ascii="Arial" w:hAnsi="Arial" w:cs="Arial"/>
          <w:b/>
        </w:rPr>
        <w:t xml:space="preserve"> parameters in mice are not altered after human microbiota engraftment</w:t>
      </w:r>
      <w:r w:rsidRPr="00073E7C">
        <w:rPr>
          <w:rFonts w:ascii="Arial" w:hAnsi="Arial" w:cs="Arial"/>
        </w:rPr>
        <w:t xml:space="preserve">. C57Bl/6 mice received oral gavage of human microbiota as described in methods </w:t>
      </w:r>
      <w:r w:rsidR="00895D12">
        <w:rPr>
          <w:rFonts w:ascii="Arial" w:hAnsi="Arial" w:cs="Arial"/>
        </w:rPr>
        <w:t xml:space="preserve">and Figure 4 </w:t>
      </w:r>
      <w:r w:rsidRPr="00073E7C">
        <w:rPr>
          <w:rFonts w:ascii="Arial" w:hAnsi="Arial" w:cs="Arial"/>
        </w:rPr>
        <w:t xml:space="preserve">with or without prior </w:t>
      </w:r>
      <w:r w:rsidR="00895D12">
        <w:rPr>
          <w:rFonts w:ascii="Arial" w:hAnsi="Arial" w:cs="Arial"/>
        </w:rPr>
        <w:t>multiple course antibiotic</w:t>
      </w:r>
      <w:r w:rsidRPr="00073E7C">
        <w:rPr>
          <w:rFonts w:ascii="Arial" w:hAnsi="Arial" w:cs="Arial"/>
        </w:rPr>
        <w:t xml:space="preserve"> treatment. After verifying successful colonization</w:t>
      </w:r>
      <w:r>
        <w:rPr>
          <w:rFonts w:ascii="Arial" w:hAnsi="Arial" w:cs="Arial"/>
        </w:rPr>
        <w:t xml:space="preserve">, T cell differentiation and innate leucocytes composition were assessed. A) Representative flow cytometry plots depicting phenotypes of CD8+ T cell isolated from spleen among the three indicated groups of mice. Bar graphs representing the frequency of major CD8+ T cell subsets (B) and CD4+ T cell subsets (C) in spleen of the different mice groups determined by fluorescence flow cytometry. </w:t>
      </w:r>
      <w:proofErr w:type="gramStart"/>
      <w:r>
        <w:rPr>
          <w:rFonts w:ascii="Arial" w:hAnsi="Arial" w:cs="Arial"/>
        </w:rPr>
        <w:t>Bar graph showing the frequency of CD11b+ granulocytes (D) and Ly6g+ neutrophils (E) in peripheral blood of mice.</w:t>
      </w:r>
      <w:proofErr w:type="gramEnd"/>
      <w:r>
        <w:rPr>
          <w:rFonts w:ascii="Arial" w:hAnsi="Arial" w:cs="Arial"/>
        </w:rPr>
        <w:t xml:space="preserve"> Calculated as a percentage of total CD45+ leucocytes by flow cytometry. Bar graph comparing the number of CD45+ leucocytes (F) and CD8</w:t>
      </w:r>
      <w:r w:rsidRPr="008C6B66">
        <w:rPr>
          <w:rFonts w:ascii="Symbol" w:hAnsi="Symbol" w:cs="Arial"/>
        </w:rPr>
        <w:t></w:t>
      </w:r>
      <w:r>
        <w:rPr>
          <w:rFonts w:ascii="Arial" w:hAnsi="Arial" w:cs="Arial"/>
        </w:rPr>
        <w:t xml:space="preserve">+ cells (G) in small intestine intra-epithelial compartment (IEL) and lamina </w:t>
      </w:r>
      <w:r w:rsidR="00895D12">
        <w:rPr>
          <w:rFonts w:ascii="Arial" w:hAnsi="Arial" w:cs="Arial"/>
        </w:rPr>
        <w:t>propria fraction (LPL).  Data are shown for the engraftment experiment done with microbiota from donors 36 and 42 (these recipients were sacrificed on the same day); the data are similar to a separate engraftment experiment with microbiota from donor 41. The b</w:t>
      </w:r>
      <w:r w:rsidRPr="002E69F8">
        <w:rPr>
          <w:rFonts w:ascii="Arial" w:hAnsi="Arial" w:cs="Arial"/>
        </w:rPr>
        <w:t xml:space="preserve">ars indicate </w:t>
      </w:r>
      <w:r w:rsidR="00895D12">
        <w:rPr>
          <w:rFonts w:ascii="Arial" w:hAnsi="Arial" w:cs="Arial"/>
        </w:rPr>
        <w:t xml:space="preserve">the </w:t>
      </w:r>
      <w:r w:rsidRPr="002E69F8">
        <w:rPr>
          <w:rFonts w:ascii="Arial" w:hAnsi="Arial" w:cs="Arial"/>
        </w:rPr>
        <w:t>mean</w:t>
      </w:r>
      <w:r w:rsidR="00895D12">
        <w:rPr>
          <w:rFonts w:ascii="Arial" w:hAnsi="Arial" w:cs="Arial"/>
        </w:rPr>
        <w:t xml:space="preserve"> (6 mice)</w:t>
      </w:r>
      <w:r w:rsidRPr="002E69F8">
        <w:rPr>
          <w:rFonts w:ascii="Arial" w:hAnsi="Arial" w:cs="Arial"/>
        </w:rPr>
        <w:t xml:space="preserve"> ± S.E.M</w:t>
      </w:r>
      <w:r>
        <w:rPr>
          <w:rFonts w:ascii="Arial" w:hAnsi="Arial" w:cs="Arial"/>
        </w:rPr>
        <w:t>.</w:t>
      </w:r>
      <w:r w:rsidRPr="00EA270F">
        <w:rPr>
          <w:rFonts w:ascii="Arial" w:hAnsi="Arial" w:cs="Arial"/>
        </w:rPr>
        <w:t xml:space="preserve"> </w:t>
      </w:r>
      <w:r>
        <w:rPr>
          <w:rFonts w:ascii="Arial" w:hAnsi="Arial" w:cs="Arial"/>
        </w:rPr>
        <w:t>None of the comparisons were significantly different.</w:t>
      </w:r>
      <w:r w:rsidRPr="00EA270F">
        <w:rPr>
          <w:rFonts w:ascii="Arial" w:hAnsi="Arial" w:cs="Arial"/>
        </w:rPr>
        <w:t xml:space="preserve"> </w:t>
      </w:r>
      <w:proofErr w:type="gramStart"/>
      <w:r w:rsidR="00BC29AE">
        <w:rPr>
          <w:rFonts w:ascii="Arial" w:hAnsi="Arial" w:cs="Arial"/>
        </w:rPr>
        <w:t>Kruskal-Wallis one-way analysis of variance.</w:t>
      </w:r>
      <w:proofErr w:type="gramEnd"/>
    </w:p>
    <w:p w14:paraId="008DDAE7" w14:textId="0142EC4C" w:rsidR="0063093E" w:rsidRDefault="00D54FF8" w:rsidP="0063093E">
      <w:pPr>
        <w:spacing w:line="240" w:lineRule="auto"/>
        <w:rPr>
          <w:rFonts w:ascii="Arial" w:hAnsi="Arial" w:cs="Arial"/>
        </w:rPr>
      </w:pPr>
      <w:r>
        <w:rPr>
          <w:rFonts w:ascii="Arial" w:hAnsi="Arial" w:cs="Arial"/>
          <w:noProof/>
        </w:rPr>
        <w:lastRenderedPageBreak/>
        <w:drawing>
          <wp:inline distT="0" distB="0" distL="0" distR="0" wp14:anchorId="2FF06545" wp14:editId="483DADD7">
            <wp:extent cx="5639435" cy="2578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9435" cy="2578735"/>
                    </a:xfrm>
                    <a:prstGeom prst="rect">
                      <a:avLst/>
                    </a:prstGeom>
                    <a:noFill/>
                  </pic:spPr>
                </pic:pic>
              </a:graphicData>
            </a:graphic>
          </wp:inline>
        </w:drawing>
      </w:r>
    </w:p>
    <w:p w14:paraId="1B212C95" w14:textId="71277BCA" w:rsidR="00F17A2B" w:rsidRDefault="00BB657D" w:rsidP="000E45B6">
      <w:pPr>
        <w:spacing w:line="240" w:lineRule="auto"/>
        <w:rPr>
          <w:rFonts w:ascii="Arial" w:hAnsi="Arial" w:cs="Arial"/>
        </w:rPr>
        <w:sectPr w:rsidR="00F17A2B" w:rsidSect="00DF2CB2">
          <w:pgSz w:w="15840" w:h="12240" w:orient="landscape"/>
          <w:pgMar w:top="1440" w:right="1440" w:bottom="1440" w:left="1440" w:header="720" w:footer="720" w:gutter="0"/>
          <w:cols w:space="720"/>
          <w:docGrid w:linePitch="360"/>
        </w:sectPr>
      </w:pPr>
      <w:r>
        <w:rPr>
          <w:rFonts w:ascii="Arial" w:hAnsi="Arial" w:cs="Arial"/>
          <w:b/>
        </w:rPr>
        <w:t>Figure S</w:t>
      </w:r>
      <w:r w:rsidR="005C03E8">
        <w:rPr>
          <w:rFonts w:ascii="Arial" w:hAnsi="Arial" w:cs="Arial"/>
          <w:b/>
        </w:rPr>
        <w:t>10</w:t>
      </w:r>
      <w:r>
        <w:rPr>
          <w:rFonts w:ascii="Arial" w:hAnsi="Arial" w:cs="Arial"/>
          <w:b/>
        </w:rPr>
        <w:t xml:space="preserve">. </w:t>
      </w:r>
      <w:proofErr w:type="gramStart"/>
      <w:r>
        <w:rPr>
          <w:rFonts w:ascii="Arial" w:hAnsi="Arial" w:cs="Arial"/>
          <w:b/>
        </w:rPr>
        <w:t>Timeline of mouse experiments for A) germ-free, B) ASF, C) single-course antibiotic, and D) three-course antibiotic experiments.</w:t>
      </w:r>
      <w:proofErr w:type="gramEnd"/>
      <w:r>
        <w:rPr>
          <w:rFonts w:ascii="Arial" w:hAnsi="Arial" w:cs="Arial"/>
          <w:b/>
        </w:rPr>
        <w:t xml:space="preserve"> </w:t>
      </w:r>
      <w:r w:rsidRPr="00BB657D">
        <w:rPr>
          <w:rFonts w:ascii="Arial" w:hAnsi="Arial" w:cs="Arial"/>
        </w:rPr>
        <w:t>Legend: orange triangles – sample collected, blue arrows – gavage performed (T</w:t>
      </w:r>
      <w:r w:rsidRPr="00BB657D">
        <w:rPr>
          <w:rFonts w:ascii="Arial" w:hAnsi="Arial" w:cs="Arial"/>
          <w:vertAlign w:val="subscript"/>
        </w:rPr>
        <w:t>0</w:t>
      </w:r>
      <w:r w:rsidRPr="00BB657D">
        <w:rPr>
          <w:rFonts w:ascii="Arial" w:hAnsi="Arial" w:cs="Arial"/>
        </w:rPr>
        <w:t>), green bars – antibiotic exposure (dashed lines indicate a different antibiotic cocktail), yellow bars – washout with purgative. Numbers indicate days relative to gavage.</w:t>
      </w:r>
    </w:p>
    <w:p w14:paraId="5D1383B1" w14:textId="40C093D6" w:rsidR="0063093E" w:rsidRDefault="00F17A2B" w:rsidP="000E45B6">
      <w:pPr>
        <w:spacing w:line="240" w:lineRule="auto"/>
        <w:rPr>
          <w:rFonts w:ascii="Arial" w:hAnsi="Arial" w:cs="Arial"/>
        </w:rPr>
      </w:pPr>
      <w:r>
        <w:rPr>
          <w:rFonts w:ascii="Arial" w:hAnsi="Arial" w:cs="Arial"/>
          <w:b/>
        </w:rPr>
        <w:lastRenderedPageBreak/>
        <w:t>Table S1.</w:t>
      </w:r>
      <w:r>
        <w:rPr>
          <w:rFonts w:ascii="Arial" w:hAnsi="Arial" w:cs="Arial"/>
        </w:rPr>
        <w:t xml:space="preserve"> </w:t>
      </w:r>
      <w:proofErr w:type="gramStart"/>
      <w:r>
        <w:rPr>
          <w:rFonts w:ascii="Arial" w:hAnsi="Arial" w:cs="Arial"/>
        </w:rPr>
        <w:t>Distribution of abundant families among germ-free and antibiotic-treated mice that received gavage with the same lot from donor 41.</w:t>
      </w:r>
      <w:proofErr w:type="gram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1683"/>
        <w:gridCol w:w="1683"/>
        <w:gridCol w:w="1683"/>
        <w:gridCol w:w="1683"/>
      </w:tblGrid>
      <w:tr w:rsidR="00EB70BD" w14:paraId="561774DD" w14:textId="77777777" w:rsidTr="00EB70BD">
        <w:trPr>
          <w:jc w:val="center"/>
        </w:trPr>
        <w:tc>
          <w:tcPr>
            <w:tcW w:w="2635" w:type="dxa"/>
            <w:tcBorders>
              <w:bottom w:val="nil"/>
            </w:tcBorders>
            <w:vAlign w:val="bottom"/>
          </w:tcPr>
          <w:p w14:paraId="38213ED7" w14:textId="77777777" w:rsidR="00EB70BD" w:rsidRPr="00EB70BD" w:rsidRDefault="00EB70BD" w:rsidP="00EB70BD">
            <w:pPr>
              <w:spacing w:after="0" w:line="240" w:lineRule="auto"/>
              <w:rPr>
                <w:rFonts w:ascii="Arial" w:hAnsi="Arial" w:cs="Arial"/>
              </w:rPr>
            </w:pPr>
          </w:p>
        </w:tc>
        <w:tc>
          <w:tcPr>
            <w:tcW w:w="3366" w:type="dxa"/>
            <w:gridSpan w:val="2"/>
            <w:tcBorders>
              <w:bottom w:val="nil"/>
            </w:tcBorders>
            <w:vAlign w:val="bottom"/>
          </w:tcPr>
          <w:p w14:paraId="0B771F43" w14:textId="0B768614" w:rsidR="00EB70BD" w:rsidRPr="00EB70BD" w:rsidRDefault="00EB70BD" w:rsidP="00EB70BD">
            <w:pPr>
              <w:spacing w:after="0" w:line="240" w:lineRule="auto"/>
              <w:jc w:val="center"/>
              <w:rPr>
                <w:rFonts w:ascii="Arial" w:hAnsi="Arial" w:cs="Arial"/>
                <w:b/>
                <w:color w:val="000000"/>
              </w:rPr>
            </w:pPr>
            <w:r w:rsidRPr="00EB70BD">
              <w:rPr>
                <w:rFonts w:ascii="Arial" w:hAnsi="Arial" w:cs="Arial"/>
                <w:b/>
                <w:color w:val="000000"/>
              </w:rPr>
              <w:t>Germ-free</w:t>
            </w:r>
          </w:p>
        </w:tc>
        <w:tc>
          <w:tcPr>
            <w:tcW w:w="3366" w:type="dxa"/>
            <w:gridSpan w:val="2"/>
            <w:tcBorders>
              <w:bottom w:val="nil"/>
            </w:tcBorders>
            <w:vAlign w:val="bottom"/>
          </w:tcPr>
          <w:p w14:paraId="63913E7F" w14:textId="2B817D53" w:rsidR="00EB70BD" w:rsidRPr="00EB70BD" w:rsidRDefault="00EB70BD" w:rsidP="00EB70BD">
            <w:pPr>
              <w:spacing w:after="0" w:line="240" w:lineRule="auto"/>
              <w:jc w:val="center"/>
              <w:rPr>
                <w:rFonts w:ascii="Arial" w:hAnsi="Arial" w:cs="Arial"/>
                <w:b/>
                <w:color w:val="000000"/>
              </w:rPr>
            </w:pPr>
            <w:r w:rsidRPr="00EB70BD">
              <w:rPr>
                <w:rFonts w:ascii="Arial" w:hAnsi="Arial" w:cs="Arial"/>
                <w:b/>
                <w:color w:val="000000"/>
              </w:rPr>
              <w:t>3×-antibiotic-treated</w:t>
            </w:r>
          </w:p>
        </w:tc>
      </w:tr>
      <w:tr w:rsidR="00EB70BD" w14:paraId="20A1B513" w14:textId="77777777" w:rsidTr="00EB70BD">
        <w:trPr>
          <w:jc w:val="center"/>
        </w:trPr>
        <w:tc>
          <w:tcPr>
            <w:tcW w:w="2635" w:type="dxa"/>
            <w:tcBorders>
              <w:top w:val="nil"/>
              <w:bottom w:val="single" w:sz="4" w:space="0" w:color="auto"/>
            </w:tcBorders>
            <w:vAlign w:val="bottom"/>
          </w:tcPr>
          <w:p w14:paraId="6694ACF6" w14:textId="005297AF" w:rsidR="00EB70BD" w:rsidRPr="00EB70BD" w:rsidRDefault="00EB70BD" w:rsidP="00EB70BD">
            <w:pPr>
              <w:spacing w:after="0" w:line="240" w:lineRule="auto"/>
              <w:rPr>
                <w:rFonts w:ascii="Arial" w:hAnsi="Arial" w:cs="Arial"/>
              </w:rPr>
            </w:pPr>
          </w:p>
        </w:tc>
        <w:tc>
          <w:tcPr>
            <w:tcW w:w="1683" w:type="dxa"/>
            <w:tcBorders>
              <w:top w:val="nil"/>
              <w:bottom w:val="single" w:sz="4" w:space="0" w:color="auto"/>
            </w:tcBorders>
            <w:vAlign w:val="bottom"/>
          </w:tcPr>
          <w:p w14:paraId="70BC4E07" w14:textId="6B52EA7B" w:rsidR="00EB70BD" w:rsidRPr="00EB70BD" w:rsidRDefault="00EB70BD" w:rsidP="00EB70BD">
            <w:pPr>
              <w:spacing w:after="0" w:line="240" w:lineRule="auto"/>
              <w:jc w:val="center"/>
              <w:rPr>
                <w:rFonts w:ascii="Arial" w:hAnsi="Arial" w:cs="Arial"/>
                <w:b/>
              </w:rPr>
            </w:pPr>
            <w:r w:rsidRPr="00EB70BD">
              <w:rPr>
                <w:rFonts w:ascii="Arial" w:hAnsi="Arial" w:cs="Arial"/>
                <w:b/>
                <w:color w:val="000000"/>
              </w:rPr>
              <w:t>T</w:t>
            </w:r>
            <w:r w:rsidRPr="00EB70BD">
              <w:rPr>
                <w:rFonts w:ascii="Arial" w:hAnsi="Arial" w:cs="Arial"/>
                <w:b/>
                <w:color w:val="000000"/>
                <w:vertAlign w:val="subscript"/>
              </w:rPr>
              <w:t>3</w:t>
            </w:r>
          </w:p>
        </w:tc>
        <w:tc>
          <w:tcPr>
            <w:tcW w:w="1683" w:type="dxa"/>
            <w:tcBorders>
              <w:top w:val="nil"/>
              <w:bottom w:val="single" w:sz="4" w:space="0" w:color="auto"/>
            </w:tcBorders>
            <w:vAlign w:val="bottom"/>
          </w:tcPr>
          <w:p w14:paraId="030A5BA2" w14:textId="141EF06B" w:rsidR="00EB70BD" w:rsidRPr="00EB70BD" w:rsidRDefault="00EB70BD" w:rsidP="00EB70BD">
            <w:pPr>
              <w:spacing w:after="0" w:line="240" w:lineRule="auto"/>
              <w:jc w:val="center"/>
              <w:rPr>
                <w:rFonts w:ascii="Arial" w:hAnsi="Arial" w:cs="Arial"/>
                <w:b/>
                <w:vertAlign w:val="subscript"/>
              </w:rPr>
            </w:pPr>
            <w:r w:rsidRPr="00EB70BD">
              <w:rPr>
                <w:rFonts w:ascii="Arial" w:hAnsi="Arial" w:cs="Arial"/>
                <w:b/>
                <w:color w:val="000000"/>
              </w:rPr>
              <w:t>T</w:t>
            </w:r>
            <w:r w:rsidRPr="00EB70BD">
              <w:rPr>
                <w:rFonts w:ascii="Arial" w:hAnsi="Arial" w:cs="Arial"/>
                <w:b/>
                <w:color w:val="000000"/>
                <w:vertAlign w:val="subscript"/>
              </w:rPr>
              <w:t>21</w:t>
            </w:r>
          </w:p>
        </w:tc>
        <w:tc>
          <w:tcPr>
            <w:tcW w:w="1683" w:type="dxa"/>
            <w:tcBorders>
              <w:top w:val="nil"/>
              <w:bottom w:val="single" w:sz="4" w:space="0" w:color="auto"/>
            </w:tcBorders>
            <w:vAlign w:val="bottom"/>
          </w:tcPr>
          <w:p w14:paraId="3F69F758" w14:textId="5CF514E9" w:rsidR="00EB70BD" w:rsidRPr="00EB70BD" w:rsidRDefault="00EB70BD" w:rsidP="00EB70BD">
            <w:pPr>
              <w:spacing w:after="0" w:line="240" w:lineRule="auto"/>
              <w:jc w:val="center"/>
              <w:rPr>
                <w:rFonts w:ascii="Arial" w:hAnsi="Arial" w:cs="Arial"/>
                <w:b/>
              </w:rPr>
            </w:pPr>
            <w:r w:rsidRPr="00EB70BD">
              <w:rPr>
                <w:rFonts w:ascii="Arial" w:hAnsi="Arial" w:cs="Arial"/>
                <w:b/>
                <w:color w:val="000000"/>
              </w:rPr>
              <w:t>T</w:t>
            </w:r>
            <w:r w:rsidRPr="00EB70BD">
              <w:rPr>
                <w:rFonts w:ascii="Arial" w:hAnsi="Arial" w:cs="Arial"/>
                <w:b/>
                <w:color w:val="000000"/>
                <w:vertAlign w:val="subscript"/>
              </w:rPr>
              <w:t>3</w:t>
            </w:r>
          </w:p>
        </w:tc>
        <w:tc>
          <w:tcPr>
            <w:tcW w:w="1683" w:type="dxa"/>
            <w:tcBorders>
              <w:top w:val="nil"/>
              <w:bottom w:val="single" w:sz="4" w:space="0" w:color="auto"/>
            </w:tcBorders>
            <w:vAlign w:val="bottom"/>
          </w:tcPr>
          <w:p w14:paraId="5F42CC3A" w14:textId="40FA0491" w:rsidR="00EB70BD" w:rsidRPr="00EB70BD" w:rsidRDefault="00EB70BD" w:rsidP="00EB70BD">
            <w:pPr>
              <w:spacing w:after="0" w:line="240" w:lineRule="auto"/>
              <w:jc w:val="center"/>
              <w:rPr>
                <w:rFonts w:ascii="Arial" w:hAnsi="Arial" w:cs="Arial"/>
                <w:b/>
                <w:vertAlign w:val="subscript"/>
              </w:rPr>
            </w:pPr>
            <w:r w:rsidRPr="00EB70BD">
              <w:rPr>
                <w:rFonts w:ascii="Arial" w:hAnsi="Arial" w:cs="Arial"/>
                <w:b/>
                <w:color w:val="000000"/>
              </w:rPr>
              <w:t>T</w:t>
            </w:r>
            <w:r w:rsidRPr="00EB70BD">
              <w:rPr>
                <w:rFonts w:ascii="Arial" w:hAnsi="Arial" w:cs="Arial"/>
                <w:b/>
                <w:color w:val="000000"/>
                <w:vertAlign w:val="subscript"/>
              </w:rPr>
              <w:t>21</w:t>
            </w:r>
          </w:p>
        </w:tc>
      </w:tr>
      <w:tr w:rsidR="00EB70BD" w14:paraId="7B312298" w14:textId="77777777" w:rsidTr="00EB70BD">
        <w:trPr>
          <w:jc w:val="center"/>
        </w:trPr>
        <w:tc>
          <w:tcPr>
            <w:tcW w:w="2635" w:type="dxa"/>
            <w:tcBorders>
              <w:top w:val="single" w:sz="4" w:space="0" w:color="auto"/>
            </w:tcBorders>
            <w:vAlign w:val="bottom"/>
          </w:tcPr>
          <w:p w14:paraId="76AC51DF" w14:textId="65F545BE" w:rsidR="00EB70BD" w:rsidRPr="00EB70BD" w:rsidRDefault="00EB70BD" w:rsidP="00EB70BD">
            <w:pPr>
              <w:spacing w:after="0" w:line="240" w:lineRule="auto"/>
              <w:rPr>
                <w:rFonts w:ascii="Arial" w:hAnsi="Arial" w:cs="Arial"/>
                <w:i/>
              </w:rPr>
            </w:pPr>
            <w:r w:rsidRPr="00EB70BD">
              <w:rPr>
                <w:rFonts w:ascii="Arial" w:hAnsi="Arial" w:cs="Arial"/>
                <w:i/>
                <w:color w:val="000000"/>
              </w:rPr>
              <w:t>Porphyromonadaceae</w:t>
            </w:r>
          </w:p>
        </w:tc>
        <w:tc>
          <w:tcPr>
            <w:tcW w:w="1683" w:type="dxa"/>
            <w:tcBorders>
              <w:top w:val="single" w:sz="4" w:space="0" w:color="auto"/>
            </w:tcBorders>
            <w:vAlign w:val="bottom"/>
          </w:tcPr>
          <w:p w14:paraId="4BCDCC26" w14:textId="0D817A6B" w:rsidR="00EB70BD" w:rsidRPr="00EB70BD" w:rsidRDefault="00EB70BD" w:rsidP="00EB70BD">
            <w:pPr>
              <w:spacing w:after="0" w:line="240" w:lineRule="auto"/>
              <w:jc w:val="center"/>
              <w:rPr>
                <w:rFonts w:ascii="Arial" w:hAnsi="Arial" w:cs="Arial"/>
              </w:rPr>
            </w:pPr>
            <w:r w:rsidRPr="00EB70BD">
              <w:rPr>
                <w:rFonts w:ascii="Arial" w:hAnsi="Arial" w:cs="Arial"/>
                <w:color w:val="000000"/>
              </w:rPr>
              <w:t>25.27 ± 2.21</w:t>
            </w:r>
          </w:p>
        </w:tc>
        <w:tc>
          <w:tcPr>
            <w:tcW w:w="1683" w:type="dxa"/>
            <w:tcBorders>
              <w:top w:val="single" w:sz="4" w:space="0" w:color="auto"/>
            </w:tcBorders>
            <w:vAlign w:val="bottom"/>
          </w:tcPr>
          <w:p w14:paraId="311DBCA0" w14:textId="54FA7A86" w:rsidR="00EB70BD" w:rsidRPr="00EB70BD" w:rsidRDefault="00EB70BD" w:rsidP="00EB70BD">
            <w:pPr>
              <w:spacing w:after="0" w:line="240" w:lineRule="auto"/>
              <w:jc w:val="center"/>
              <w:rPr>
                <w:rFonts w:ascii="Arial" w:hAnsi="Arial" w:cs="Arial"/>
              </w:rPr>
            </w:pPr>
            <w:r w:rsidRPr="00EB70BD">
              <w:rPr>
                <w:rFonts w:ascii="Arial" w:hAnsi="Arial" w:cs="Arial"/>
                <w:color w:val="000000"/>
              </w:rPr>
              <w:t>27.85 ± 8.8</w:t>
            </w:r>
            <w:r>
              <w:rPr>
                <w:rFonts w:ascii="Arial" w:hAnsi="Arial" w:cs="Arial"/>
                <w:color w:val="000000"/>
              </w:rPr>
              <w:t>0</w:t>
            </w:r>
          </w:p>
        </w:tc>
        <w:tc>
          <w:tcPr>
            <w:tcW w:w="1683" w:type="dxa"/>
            <w:tcBorders>
              <w:top w:val="single" w:sz="4" w:space="0" w:color="auto"/>
            </w:tcBorders>
            <w:vAlign w:val="bottom"/>
          </w:tcPr>
          <w:p w14:paraId="5CDA1267" w14:textId="72D39F7B" w:rsidR="00EB70BD" w:rsidRPr="00EB70BD" w:rsidRDefault="00EB70BD" w:rsidP="00EB70BD">
            <w:pPr>
              <w:spacing w:after="0" w:line="240" w:lineRule="auto"/>
              <w:jc w:val="center"/>
              <w:rPr>
                <w:rFonts w:ascii="Arial" w:hAnsi="Arial" w:cs="Arial"/>
              </w:rPr>
            </w:pPr>
            <w:r w:rsidRPr="00EB70BD">
              <w:rPr>
                <w:rFonts w:ascii="Arial" w:hAnsi="Arial" w:cs="Arial"/>
                <w:color w:val="000000"/>
              </w:rPr>
              <w:t>53.77 ± 2.03</w:t>
            </w:r>
          </w:p>
        </w:tc>
        <w:tc>
          <w:tcPr>
            <w:tcW w:w="1683" w:type="dxa"/>
            <w:tcBorders>
              <w:top w:val="single" w:sz="4" w:space="0" w:color="auto"/>
            </w:tcBorders>
            <w:vAlign w:val="bottom"/>
          </w:tcPr>
          <w:p w14:paraId="3500CFD0" w14:textId="5A7BB766" w:rsidR="00EB70BD" w:rsidRPr="00EB70BD" w:rsidRDefault="00EB70BD" w:rsidP="00EB70BD">
            <w:pPr>
              <w:spacing w:after="0" w:line="240" w:lineRule="auto"/>
              <w:jc w:val="center"/>
              <w:rPr>
                <w:rFonts w:ascii="Arial" w:hAnsi="Arial" w:cs="Arial"/>
              </w:rPr>
            </w:pPr>
            <w:r w:rsidRPr="00EB70BD">
              <w:rPr>
                <w:rFonts w:ascii="Arial" w:hAnsi="Arial" w:cs="Arial"/>
                <w:color w:val="000000"/>
              </w:rPr>
              <w:t>22.32 ± 3.9</w:t>
            </w:r>
            <w:r>
              <w:rPr>
                <w:rFonts w:ascii="Arial" w:hAnsi="Arial" w:cs="Arial"/>
                <w:color w:val="000000"/>
              </w:rPr>
              <w:t>0</w:t>
            </w:r>
          </w:p>
        </w:tc>
      </w:tr>
      <w:tr w:rsidR="00EB70BD" w14:paraId="3102A4BA" w14:textId="77777777" w:rsidTr="00EB70BD">
        <w:trPr>
          <w:jc w:val="center"/>
        </w:trPr>
        <w:tc>
          <w:tcPr>
            <w:tcW w:w="2635" w:type="dxa"/>
            <w:vAlign w:val="bottom"/>
          </w:tcPr>
          <w:p w14:paraId="27091EBA" w14:textId="2361FB45" w:rsidR="00EB70BD" w:rsidRPr="00EB70BD" w:rsidRDefault="00EB70BD" w:rsidP="00EB70BD">
            <w:pPr>
              <w:spacing w:after="0" w:line="240" w:lineRule="auto"/>
              <w:rPr>
                <w:rFonts w:ascii="Arial" w:hAnsi="Arial" w:cs="Arial"/>
                <w:i/>
              </w:rPr>
            </w:pPr>
            <w:r w:rsidRPr="00EB70BD">
              <w:rPr>
                <w:rFonts w:ascii="Arial" w:hAnsi="Arial" w:cs="Arial"/>
                <w:i/>
                <w:color w:val="000000"/>
              </w:rPr>
              <w:t>Bacteroidaceae</w:t>
            </w:r>
          </w:p>
        </w:tc>
        <w:tc>
          <w:tcPr>
            <w:tcW w:w="1683" w:type="dxa"/>
            <w:vAlign w:val="bottom"/>
          </w:tcPr>
          <w:p w14:paraId="23EC82A4" w14:textId="00F13F51" w:rsidR="00EB70BD" w:rsidRPr="00EB70BD" w:rsidRDefault="00EB70BD" w:rsidP="00EB70BD">
            <w:pPr>
              <w:spacing w:after="0" w:line="240" w:lineRule="auto"/>
              <w:jc w:val="center"/>
              <w:rPr>
                <w:rFonts w:ascii="Arial" w:hAnsi="Arial" w:cs="Arial"/>
              </w:rPr>
            </w:pPr>
            <w:r w:rsidRPr="00EB70BD">
              <w:rPr>
                <w:rFonts w:ascii="Arial" w:hAnsi="Arial" w:cs="Arial"/>
                <w:color w:val="000000"/>
              </w:rPr>
              <w:t>36.64 ± 6.24</w:t>
            </w:r>
          </w:p>
        </w:tc>
        <w:tc>
          <w:tcPr>
            <w:tcW w:w="1683" w:type="dxa"/>
            <w:vAlign w:val="bottom"/>
          </w:tcPr>
          <w:p w14:paraId="435C827A" w14:textId="49FF9E28" w:rsidR="00EB70BD" w:rsidRPr="00EB70BD" w:rsidRDefault="00EB70BD" w:rsidP="00EB70BD">
            <w:pPr>
              <w:spacing w:after="0" w:line="240" w:lineRule="auto"/>
              <w:jc w:val="center"/>
              <w:rPr>
                <w:rFonts w:ascii="Arial" w:hAnsi="Arial" w:cs="Arial"/>
              </w:rPr>
            </w:pPr>
            <w:r w:rsidRPr="00EB70BD">
              <w:rPr>
                <w:rFonts w:ascii="Arial" w:hAnsi="Arial" w:cs="Arial"/>
                <w:color w:val="000000"/>
              </w:rPr>
              <w:t>27.73 ± 9</w:t>
            </w:r>
            <w:r>
              <w:rPr>
                <w:rFonts w:ascii="Arial" w:hAnsi="Arial" w:cs="Arial"/>
                <w:color w:val="000000"/>
              </w:rPr>
              <w:t>.00</w:t>
            </w:r>
          </w:p>
        </w:tc>
        <w:tc>
          <w:tcPr>
            <w:tcW w:w="1683" w:type="dxa"/>
            <w:vAlign w:val="bottom"/>
          </w:tcPr>
          <w:p w14:paraId="4F06654D" w14:textId="7B993397" w:rsidR="00EB70BD" w:rsidRPr="00EB70BD" w:rsidRDefault="00EB70BD" w:rsidP="00EB70BD">
            <w:pPr>
              <w:spacing w:after="0" w:line="240" w:lineRule="auto"/>
              <w:jc w:val="center"/>
              <w:rPr>
                <w:rFonts w:ascii="Arial" w:hAnsi="Arial" w:cs="Arial"/>
              </w:rPr>
            </w:pPr>
            <w:r w:rsidRPr="00EB70BD">
              <w:rPr>
                <w:rFonts w:ascii="Arial" w:hAnsi="Arial" w:cs="Arial"/>
                <w:color w:val="000000"/>
              </w:rPr>
              <w:t>10.27 ± 1.44</w:t>
            </w:r>
          </w:p>
        </w:tc>
        <w:tc>
          <w:tcPr>
            <w:tcW w:w="1683" w:type="dxa"/>
            <w:vAlign w:val="bottom"/>
          </w:tcPr>
          <w:p w14:paraId="436912CA" w14:textId="3F5D1E64" w:rsidR="00EB70BD" w:rsidRPr="00EB70BD" w:rsidRDefault="00EB70BD" w:rsidP="00EB70BD">
            <w:pPr>
              <w:spacing w:after="0" w:line="240" w:lineRule="auto"/>
              <w:jc w:val="center"/>
              <w:rPr>
                <w:rFonts w:ascii="Arial" w:hAnsi="Arial" w:cs="Arial"/>
              </w:rPr>
            </w:pPr>
            <w:r w:rsidRPr="00EB70BD">
              <w:rPr>
                <w:rFonts w:ascii="Arial" w:hAnsi="Arial" w:cs="Arial"/>
                <w:color w:val="000000"/>
              </w:rPr>
              <w:t>27.67 ± 3.52</w:t>
            </w:r>
          </w:p>
        </w:tc>
      </w:tr>
      <w:tr w:rsidR="00EB70BD" w14:paraId="1C53D58C" w14:textId="77777777" w:rsidTr="00EB70BD">
        <w:trPr>
          <w:jc w:val="center"/>
        </w:trPr>
        <w:tc>
          <w:tcPr>
            <w:tcW w:w="2635" w:type="dxa"/>
            <w:vAlign w:val="bottom"/>
          </w:tcPr>
          <w:p w14:paraId="4D764923" w14:textId="7263C9F4" w:rsidR="00EB70BD" w:rsidRPr="00EB70BD" w:rsidRDefault="00EB70BD" w:rsidP="00EB70BD">
            <w:pPr>
              <w:spacing w:after="0" w:line="240" w:lineRule="auto"/>
              <w:rPr>
                <w:rFonts w:ascii="Arial" w:hAnsi="Arial" w:cs="Arial"/>
                <w:i/>
              </w:rPr>
            </w:pPr>
            <w:r w:rsidRPr="00EB70BD">
              <w:rPr>
                <w:rFonts w:ascii="Arial" w:hAnsi="Arial" w:cs="Arial"/>
                <w:i/>
                <w:color w:val="000000"/>
              </w:rPr>
              <w:t>Lachnospiraceae</w:t>
            </w:r>
          </w:p>
        </w:tc>
        <w:tc>
          <w:tcPr>
            <w:tcW w:w="1683" w:type="dxa"/>
            <w:vAlign w:val="bottom"/>
          </w:tcPr>
          <w:p w14:paraId="4DE0AE30" w14:textId="7947777E" w:rsidR="00EB70BD" w:rsidRPr="00EB70BD" w:rsidRDefault="00EB70BD" w:rsidP="00EB70BD">
            <w:pPr>
              <w:spacing w:after="0" w:line="240" w:lineRule="auto"/>
              <w:jc w:val="center"/>
              <w:rPr>
                <w:rFonts w:ascii="Arial" w:hAnsi="Arial" w:cs="Arial"/>
              </w:rPr>
            </w:pPr>
            <w:r w:rsidRPr="00EB70BD">
              <w:rPr>
                <w:rFonts w:ascii="Arial" w:hAnsi="Arial" w:cs="Arial"/>
                <w:color w:val="000000"/>
              </w:rPr>
              <w:t>15.44 ± 2.35</w:t>
            </w:r>
          </w:p>
        </w:tc>
        <w:tc>
          <w:tcPr>
            <w:tcW w:w="1683" w:type="dxa"/>
            <w:vAlign w:val="bottom"/>
          </w:tcPr>
          <w:p w14:paraId="3F87458C" w14:textId="45C025AB" w:rsidR="00EB70BD" w:rsidRPr="00EB70BD" w:rsidRDefault="00EB70BD" w:rsidP="00EB70BD">
            <w:pPr>
              <w:spacing w:after="0" w:line="240" w:lineRule="auto"/>
              <w:jc w:val="center"/>
              <w:rPr>
                <w:rFonts w:ascii="Arial" w:hAnsi="Arial" w:cs="Arial"/>
              </w:rPr>
            </w:pPr>
            <w:r w:rsidRPr="00EB70BD">
              <w:rPr>
                <w:rFonts w:ascii="Arial" w:hAnsi="Arial" w:cs="Arial"/>
                <w:color w:val="000000"/>
              </w:rPr>
              <w:t>13.97 ± 2.32</w:t>
            </w:r>
          </w:p>
        </w:tc>
        <w:tc>
          <w:tcPr>
            <w:tcW w:w="1683" w:type="dxa"/>
            <w:vAlign w:val="bottom"/>
          </w:tcPr>
          <w:p w14:paraId="4383EB18" w14:textId="7771E590" w:rsidR="00EB70BD" w:rsidRPr="00EB70BD" w:rsidRDefault="00EB70BD" w:rsidP="00EB70BD">
            <w:pPr>
              <w:spacing w:after="0" w:line="240" w:lineRule="auto"/>
              <w:jc w:val="center"/>
              <w:rPr>
                <w:rFonts w:ascii="Arial" w:hAnsi="Arial" w:cs="Arial"/>
              </w:rPr>
            </w:pPr>
            <w:r w:rsidRPr="00EB70BD">
              <w:rPr>
                <w:rFonts w:ascii="Arial" w:hAnsi="Arial" w:cs="Arial"/>
                <w:color w:val="000000"/>
              </w:rPr>
              <w:t>15.65 ± 0.11</w:t>
            </w:r>
          </w:p>
        </w:tc>
        <w:tc>
          <w:tcPr>
            <w:tcW w:w="1683" w:type="dxa"/>
            <w:vAlign w:val="bottom"/>
          </w:tcPr>
          <w:p w14:paraId="36DECC63" w14:textId="6780BA59" w:rsidR="00EB70BD" w:rsidRPr="00EB70BD" w:rsidRDefault="00EB70BD" w:rsidP="00EB70BD">
            <w:pPr>
              <w:spacing w:after="0" w:line="240" w:lineRule="auto"/>
              <w:jc w:val="center"/>
              <w:rPr>
                <w:rFonts w:ascii="Arial" w:hAnsi="Arial" w:cs="Arial"/>
              </w:rPr>
            </w:pPr>
            <w:r w:rsidRPr="00EB70BD">
              <w:rPr>
                <w:rFonts w:ascii="Arial" w:hAnsi="Arial" w:cs="Arial"/>
                <w:color w:val="000000"/>
              </w:rPr>
              <w:t>17.73 ± 6.53</w:t>
            </w:r>
          </w:p>
        </w:tc>
      </w:tr>
      <w:tr w:rsidR="00EB70BD" w14:paraId="1028E372" w14:textId="77777777" w:rsidTr="00EB70BD">
        <w:trPr>
          <w:jc w:val="center"/>
        </w:trPr>
        <w:tc>
          <w:tcPr>
            <w:tcW w:w="2635" w:type="dxa"/>
            <w:vAlign w:val="bottom"/>
          </w:tcPr>
          <w:p w14:paraId="57341EB2" w14:textId="5079DE0B" w:rsidR="00EB70BD" w:rsidRPr="00EB70BD" w:rsidRDefault="00EB70BD" w:rsidP="00EB70BD">
            <w:pPr>
              <w:spacing w:after="0" w:line="240" w:lineRule="auto"/>
              <w:rPr>
                <w:rFonts w:ascii="Arial" w:hAnsi="Arial" w:cs="Arial"/>
                <w:i/>
              </w:rPr>
            </w:pPr>
            <w:r w:rsidRPr="00EB70BD">
              <w:rPr>
                <w:rFonts w:ascii="Arial" w:hAnsi="Arial" w:cs="Arial"/>
                <w:i/>
                <w:color w:val="000000"/>
              </w:rPr>
              <w:t>Ruminococcaceae</w:t>
            </w:r>
          </w:p>
        </w:tc>
        <w:tc>
          <w:tcPr>
            <w:tcW w:w="1683" w:type="dxa"/>
            <w:vAlign w:val="bottom"/>
          </w:tcPr>
          <w:p w14:paraId="058A6D68" w14:textId="6E48338B" w:rsidR="00EB70BD" w:rsidRPr="00EB70BD" w:rsidRDefault="00EB70BD" w:rsidP="00EB70BD">
            <w:pPr>
              <w:spacing w:after="0" w:line="240" w:lineRule="auto"/>
              <w:jc w:val="center"/>
              <w:rPr>
                <w:rFonts w:ascii="Arial" w:hAnsi="Arial" w:cs="Arial"/>
              </w:rPr>
            </w:pPr>
            <w:r w:rsidRPr="00EB70BD">
              <w:rPr>
                <w:rFonts w:ascii="Arial" w:hAnsi="Arial" w:cs="Arial"/>
                <w:color w:val="000000"/>
              </w:rPr>
              <w:t>2.48 ± 1.48</w:t>
            </w:r>
          </w:p>
        </w:tc>
        <w:tc>
          <w:tcPr>
            <w:tcW w:w="1683" w:type="dxa"/>
            <w:vAlign w:val="bottom"/>
          </w:tcPr>
          <w:p w14:paraId="2A93E0FC" w14:textId="62EE5CBF" w:rsidR="00EB70BD" w:rsidRPr="00EB70BD" w:rsidRDefault="00EB70BD" w:rsidP="00EB70BD">
            <w:pPr>
              <w:spacing w:after="0" w:line="240" w:lineRule="auto"/>
              <w:jc w:val="center"/>
              <w:rPr>
                <w:rFonts w:ascii="Arial" w:hAnsi="Arial" w:cs="Arial"/>
              </w:rPr>
            </w:pPr>
            <w:r w:rsidRPr="00EB70BD">
              <w:rPr>
                <w:rFonts w:ascii="Arial" w:hAnsi="Arial" w:cs="Arial"/>
                <w:color w:val="000000"/>
              </w:rPr>
              <w:t>9.82 ± 1.13</w:t>
            </w:r>
          </w:p>
        </w:tc>
        <w:tc>
          <w:tcPr>
            <w:tcW w:w="1683" w:type="dxa"/>
            <w:vAlign w:val="bottom"/>
          </w:tcPr>
          <w:p w14:paraId="062AF1DA" w14:textId="6D68F1F6" w:rsidR="00EB70BD" w:rsidRPr="00EB70BD" w:rsidRDefault="00EB70BD" w:rsidP="00EB70BD">
            <w:pPr>
              <w:spacing w:after="0" w:line="240" w:lineRule="auto"/>
              <w:jc w:val="center"/>
              <w:rPr>
                <w:rFonts w:ascii="Arial" w:hAnsi="Arial" w:cs="Arial"/>
              </w:rPr>
            </w:pPr>
            <w:r w:rsidRPr="00EB70BD">
              <w:rPr>
                <w:rFonts w:ascii="Arial" w:hAnsi="Arial" w:cs="Arial"/>
                <w:color w:val="000000"/>
              </w:rPr>
              <w:t>2.88 ± 0.03</w:t>
            </w:r>
          </w:p>
        </w:tc>
        <w:tc>
          <w:tcPr>
            <w:tcW w:w="1683" w:type="dxa"/>
            <w:vAlign w:val="bottom"/>
          </w:tcPr>
          <w:p w14:paraId="388CE48E" w14:textId="6E175DC1" w:rsidR="00EB70BD" w:rsidRPr="00EB70BD" w:rsidRDefault="00EB70BD" w:rsidP="00EB70BD">
            <w:pPr>
              <w:spacing w:after="0" w:line="240" w:lineRule="auto"/>
              <w:jc w:val="center"/>
              <w:rPr>
                <w:rFonts w:ascii="Arial" w:hAnsi="Arial" w:cs="Arial"/>
              </w:rPr>
            </w:pPr>
            <w:r w:rsidRPr="00EB70BD">
              <w:rPr>
                <w:rFonts w:ascii="Arial" w:hAnsi="Arial" w:cs="Arial"/>
                <w:color w:val="000000"/>
              </w:rPr>
              <w:t>2.24 ± 0.11</w:t>
            </w:r>
          </w:p>
        </w:tc>
      </w:tr>
      <w:tr w:rsidR="00EB70BD" w14:paraId="016B4AB2" w14:textId="77777777" w:rsidTr="00EB70BD">
        <w:trPr>
          <w:jc w:val="center"/>
        </w:trPr>
        <w:tc>
          <w:tcPr>
            <w:tcW w:w="2635" w:type="dxa"/>
            <w:vAlign w:val="bottom"/>
          </w:tcPr>
          <w:p w14:paraId="0BAA4750" w14:textId="1174AAD4" w:rsidR="00EB70BD" w:rsidRPr="00EB70BD" w:rsidRDefault="00EB70BD" w:rsidP="00EB70BD">
            <w:pPr>
              <w:spacing w:after="0" w:line="240" w:lineRule="auto"/>
              <w:rPr>
                <w:rFonts w:ascii="Arial" w:hAnsi="Arial" w:cs="Arial"/>
                <w:i/>
              </w:rPr>
            </w:pPr>
            <w:r w:rsidRPr="00EB70BD">
              <w:rPr>
                <w:rFonts w:ascii="Arial" w:hAnsi="Arial" w:cs="Arial"/>
                <w:i/>
                <w:color w:val="000000"/>
              </w:rPr>
              <w:t>Sutterellaceae</w:t>
            </w:r>
          </w:p>
        </w:tc>
        <w:tc>
          <w:tcPr>
            <w:tcW w:w="1683" w:type="dxa"/>
            <w:vAlign w:val="bottom"/>
          </w:tcPr>
          <w:p w14:paraId="1E7E72B3" w14:textId="43CA4847" w:rsidR="00EB70BD" w:rsidRPr="00EB70BD" w:rsidRDefault="00EB70BD" w:rsidP="00EB70BD">
            <w:pPr>
              <w:spacing w:after="0" w:line="240" w:lineRule="auto"/>
              <w:jc w:val="center"/>
              <w:rPr>
                <w:rFonts w:ascii="Arial" w:hAnsi="Arial" w:cs="Arial"/>
              </w:rPr>
            </w:pPr>
            <w:r w:rsidRPr="00EB70BD">
              <w:rPr>
                <w:rFonts w:ascii="Arial" w:hAnsi="Arial" w:cs="Arial"/>
                <w:color w:val="000000"/>
              </w:rPr>
              <w:t>3.55 ± 1.26</w:t>
            </w:r>
          </w:p>
        </w:tc>
        <w:tc>
          <w:tcPr>
            <w:tcW w:w="1683" w:type="dxa"/>
            <w:vAlign w:val="bottom"/>
          </w:tcPr>
          <w:p w14:paraId="7402FE10" w14:textId="4243ADA6" w:rsidR="00EB70BD" w:rsidRPr="00EB70BD" w:rsidRDefault="00EB70BD" w:rsidP="00EB70BD">
            <w:pPr>
              <w:spacing w:after="0" w:line="240" w:lineRule="auto"/>
              <w:jc w:val="center"/>
              <w:rPr>
                <w:rFonts w:ascii="Arial" w:hAnsi="Arial" w:cs="Arial"/>
              </w:rPr>
            </w:pPr>
            <w:r w:rsidRPr="00EB70BD">
              <w:rPr>
                <w:rFonts w:ascii="Arial" w:hAnsi="Arial" w:cs="Arial"/>
                <w:color w:val="000000"/>
              </w:rPr>
              <w:t>6.39 ± 1.16</w:t>
            </w:r>
          </w:p>
        </w:tc>
        <w:tc>
          <w:tcPr>
            <w:tcW w:w="1683" w:type="dxa"/>
            <w:vAlign w:val="bottom"/>
          </w:tcPr>
          <w:p w14:paraId="31D99F21" w14:textId="39699BB0" w:rsidR="00EB70BD" w:rsidRPr="00EB70BD" w:rsidRDefault="00EB70BD" w:rsidP="00EB70BD">
            <w:pPr>
              <w:spacing w:after="0" w:line="240" w:lineRule="auto"/>
              <w:jc w:val="center"/>
              <w:rPr>
                <w:rFonts w:ascii="Arial" w:hAnsi="Arial" w:cs="Arial"/>
              </w:rPr>
            </w:pPr>
            <w:r w:rsidRPr="00EB70BD">
              <w:rPr>
                <w:rFonts w:ascii="Arial" w:hAnsi="Arial" w:cs="Arial"/>
                <w:color w:val="000000"/>
              </w:rPr>
              <w:t>4.05 ± 0.37</w:t>
            </w:r>
          </w:p>
        </w:tc>
        <w:tc>
          <w:tcPr>
            <w:tcW w:w="1683" w:type="dxa"/>
            <w:vAlign w:val="bottom"/>
          </w:tcPr>
          <w:p w14:paraId="04BA7D73" w14:textId="2386755F" w:rsidR="00EB70BD" w:rsidRPr="00EB70BD" w:rsidRDefault="00EB70BD" w:rsidP="00EB70BD">
            <w:pPr>
              <w:spacing w:after="0" w:line="240" w:lineRule="auto"/>
              <w:jc w:val="center"/>
              <w:rPr>
                <w:rFonts w:ascii="Arial" w:hAnsi="Arial" w:cs="Arial"/>
              </w:rPr>
            </w:pPr>
            <w:r w:rsidRPr="00EB70BD">
              <w:rPr>
                <w:rFonts w:ascii="Arial" w:hAnsi="Arial" w:cs="Arial"/>
                <w:color w:val="000000"/>
              </w:rPr>
              <w:t>4.12 ± 0.84</w:t>
            </w:r>
          </w:p>
        </w:tc>
      </w:tr>
      <w:tr w:rsidR="00EB70BD" w14:paraId="1881E6B6" w14:textId="77777777" w:rsidTr="00EB70BD">
        <w:trPr>
          <w:jc w:val="center"/>
        </w:trPr>
        <w:tc>
          <w:tcPr>
            <w:tcW w:w="2635" w:type="dxa"/>
            <w:vAlign w:val="bottom"/>
          </w:tcPr>
          <w:p w14:paraId="0C1D3EB2" w14:textId="78518D75" w:rsidR="00EB70BD" w:rsidRPr="00EB70BD" w:rsidRDefault="00EB70BD" w:rsidP="00EB70BD">
            <w:pPr>
              <w:spacing w:after="0" w:line="240" w:lineRule="auto"/>
              <w:rPr>
                <w:rFonts w:ascii="Arial" w:hAnsi="Arial" w:cs="Arial"/>
                <w:i/>
              </w:rPr>
            </w:pPr>
            <w:r w:rsidRPr="00EB70BD">
              <w:rPr>
                <w:rFonts w:ascii="Arial" w:hAnsi="Arial" w:cs="Arial"/>
                <w:i/>
                <w:color w:val="000000"/>
              </w:rPr>
              <w:t>Desulfovibrionaceae</w:t>
            </w:r>
          </w:p>
        </w:tc>
        <w:tc>
          <w:tcPr>
            <w:tcW w:w="1683" w:type="dxa"/>
            <w:vAlign w:val="bottom"/>
          </w:tcPr>
          <w:p w14:paraId="58FAF6B3" w14:textId="6BACBA70" w:rsidR="00EB70BD" w:rsidRPr="00EB70BD" w:rsidRDefault="00EB70BD" w:rsidP="00EB70BD">
            <w:pPr>
              <w:spacing w:after="0" w:line="240" w:lineRule="auto"/>
              <w:jc w:val="center"/>
              <w:rPr>
                <w:rFonts w:ascii="Arial" w:hAnsi="Arial" w:cs="Arial"/>
              </w:rPr>
            </w:pPr>
            <w:r w:rsidRPr="00EB70BD">
              <w:rPr>
                <w:rFonts w:ascii="Arial" w:hAnsi="Arial" w:cs="Arial"/>
                <w:color w:val="000000"/>
              </w:rPr>
              <w:t>3.52 ± 0.62</w:t>
            </w:r>
          </w:p>
        </w:tc>
        <w:tc>
          <w:tcPr>
            <w:tcW w:w="1683" w:type="dxa"/>
            <w:vAlign w:val="bottom"/>
          </w:tcPr>
          <w:p w14:paraId="2ED713AC" w14:textId="4C1DB2D6" w:rsidR="00EB70BD" w:rsidRPr="00EB70BD" w:rsidRDefault="00EB70BD" w:rsidP="00EB70BD">
            <w:pPr>
              <w:spacing w:after="0" w:line="240" w:lineRule="auto"/>
              <w:jc w:val="center"/>
              <w:rPr>
                <w:rFonts w:ascii="Arial" w:hAnsi="Arial" w:cs="Arial"/>
              </w:rPr>
            </w:pPr>
            <w:r w:rsidRPr="00EB70BD">
              <w:rPr>
                <w:rFonts w:ascii="Arial" w:hAnsi="Arial" w:cs="Arial"/>
                <w:color w:val="000000"/>
              </w:rPr>
              <w:t>2.73 ± 0.1</w:t>
            </w:r>
            <w:r>
              <w:rPr>
                <w:rFonts w:ascii="Arial" w:hAnsi="Arial" w:cs="Arial"/>
                <w:color w:val="000000"/>
              </w:rPr>
              <w:t>0</w:t>
            </w:r>
          </w:p>
        </w:tc>
        <w:tc>
          <w:tcPr>
            <w:tcW w:w="1683" w:type="dxa"/>
            <w:vAlign w:val="bottom"/>
          </w:tcPr>
          <w:p w14:paraId="0C1A792A" w14:textId="31DDE569" w:rsidR="00EB70BD" w:rsidRPr="00EB70BD" w:rsidRDefault="00EB70BD" w:rsidP="00EB70BD">
            <w:pPr>
              <w:spacing w:after="0" w:line="240" w:lineRule="auto"/>
              <w:jc w:val="center"/>
              <w:rPr>
                <w:rFonts w:ascii="Arial" w:hAnsi="Arial" w:cs="Arial"/>
              </w:rPr>
            </w:pPr>
            <w:r w:rsidRPr="00EB70BD">
              <w:rPr>
                <w:rFonts w:ascii="Arial" w:hAnsi="Arial" w:cs="Arial"/>
                <w:color w:val="000000"/>
              </w:rPr>
              <w:t>1.82 ± 0.69</w:t>
            </w:r>
          </w:p>
        </w:tc>
        <w:tc>
          <w:tcPr>
            <w:tcW w:w="1683" w:type="dxa"/>
            <w:vAlign w:val="bottom"/>
          </w:tcPr>
          <w:p w14:paraId="6EA70544" w14:textId="28B6BC1F" w:rsidR="00EB70BD" w:rsidRPr="00EB70BD" w:rsidRDefault="00EB70BD" w:rsidP="00EB70BD">
            <w:pPr>
              <w:spacing w:after="0" w:line="240" w:lineRule="auto"/>
              <w:jc w:val="center"/>
              <w:rPr>
                <w:rFonts w:ascii="Arial" w:hAnsi="Arial" w:cs="Arial"/>
              </w:rPr>
            </w:pPr>
            <w:r w:rsidRPr="00EB70BD">
              <w:rPr>
                <w:rFonts w:ascii="Arial" w:hAnsi="Arial" w:cs="Arial"/>
                <w:color w:val="000000"/>
              </w:rPr>
              <w:t>2.74 ± 0.45</w:t>
            </w:r>
          </w:p>
        </w:tc>
      </w:tr>
      <w:tr w:rsidR="00EB70BD" w14:paraId="092D3FEA" w14:textId="77777777" w:rsidTr="00EB70BD">
        <w:trPr>
          <w:jc w:val="center"/>
        </w:trPr>
        <w:tc>
          <w:tcPr>
            <w:tcW w:w="2635" w:type="dxa"/>
            <w:vAlign w:val="bottom"/>
          </w:tcPr>
          <w:p w14:paraId="4A7C81E6" w14:textId="055BB5FA" w:rsidR="00EB70BD" w:rsidRPr="00EB70BD" w:rsidRDefault="00EB70BD" w:rsidP="00EB70BD">
            <w:pPr>
              <w:spacing w:after="0" w:line="240" w:lineRule="auto"/>
              <w:rPr>
                <w:rFonts w:ascii="Arial" w:hAnsi="Arial" w:cs="Arial"/>
                <w:i/>
              </w:rPr>
            </w:pPr>
            <w:r w:rsidRPr="00EB70BD">
              <w:rPr>
                <w:rFonts w:ascii="Arial" w:hAnsi="Arial" w:cs="Arial"/>
                <w:i/>
                <w:color w:val="000000"/>
              </w:rPr>
              <w:t>Erysipelotrichaceae</w:t>
            </w:r>
          </w:p>
        </w:tc>
        <w:tc>
          <w:tcPr>
            <w:tcW w:w="1683" w:type="dxa"/>
            <w:vAlign w:val="bottom"/>
          </w:tcPr>
          <w:p w14:paraId="25902DB9" w14:textId="2A60DA97" w:rsidR="00EB70BD" w:rsidRPr="00EB70BD" w:rsidRDefault="00EB70BD" w:rsidP="00EB70BD">
            <w:pPr>
              <w:spacing w:after="0" w:line="240" w:lineRule="auto"/>
              <w:jc w:val="center"/>
              <w:rPr>
                <w:rFonts w:ascii="Arial" w:hAnsi="Arial" w:cs="Arial"/>
              </w:rPr>
            </w:pPr>
            <w:r w:rsidRPr="00EB70BD">
              <w:rPr>
                <w:rFonts w:ascii="Arial" w:hAnsi="Arial" w:cs="Arial"/>
                <w:color w:val="000000"/>
              </w:rPr>
              <w:t>0.67 ± 0.11</w:t>
            </w:r>
          </w:p>
        </w:tc>
        <w:tc>
          <w:tcPr>
            <w:tcW w:w="1683" w:type="dxa"/>
            <w:vAlign w:val="bottom"/>
          </w:tcPr>
          <w:p w14:paraId="2736CB87" w14:textId="60AE911F" w:rsidR="00EB70BD" w:rsidRPr="00EB70BD" w:rsidRDefault="00EB70BD" w:rsidP="00EB70BD">
            <w:pPr>
              <w:spacing w:after="0" w:line="240" w:lineRule="auto"/>
              <w:jc w:val="center"/>
              <w:rPr>
                <w:rFonts w:ascii="Arial" w:hAnsi="Arial" w:cs="Arial"/>
              </w:rPr>
            </w:pPr>
            <w:r w:rsidRPr="00EB70BD">
              <w:rPr>
                <w:rFonts w:ascii="Arial" w:hAnsi="Arial" w:cs="Arial"/>
                <w:color w:val="000000"/>
              </w:rPr>
              <w:t>3.27 ± 0.08</w:t>
            </w:r>
          </w:p>
        </w:tc>
        <w:tc>
          <w:tcPr>
            <w:tcW w:w="1683" w:type="dxa"/>
            <w:vAlign w:val="bottom"/>
          </w:tcPr>
          <w:p w14:paraId="7C2AD228" w14:textId="15B27548" w:rsidR="00EB70BD" w:rsidRPr="00EB70BD" w:rsidRDefault="00EB70BD" w:rsidP="00EB70BD">
            <w:pPr>
              <w:spacing w:after="0" w:line="240" w:lineRule="auto"/>
              <w:jc w:val="center"/>
              <w:rPr>
                <w:rFonts w:ascii="Arial" w:hAnsi="Arial" w:cs="Arial"/>
              </w:rPr>
            </w:pPr>
            <w:r w:rsidRPr="00EB70BD">
              <w:rPr>
                <w:rFonts w:ascii="Arial" w:hAnsi="Arial" w:cs="Arial"/>
                <w:color w:val="000000"/>
              </w:rPr>
              <w:t>1.73 ± 1.8</w:t>
            </w:r>
            <w:r>
              <w:rPr>
                <w:rFonts w:ascii="Arial" w:hAnsi="Arial" w:cs="Arial"/>
                <w:color w:val="000000"/>
              </w:rPr>
              <w:t>0</w:t>
            </w:r>
          </w:p>
        </w:tc>
        <w:tc>
          <w:tcPr>
            <w:tcW w:w="1683" w:type="dxa"/>
            <w:vAlign w:val="bottom"/>
          </w:tcPr>
          <w:p w14:paraId="11CD39C0" w14:textId="020F56DF" w:rsidR="00EB70BD" w:rsidRPr="00EB70BD" w:rsidRDefault="00EB70BD" w:rsidP="00EB70BD">
            <w:pPr>
              <w:spacing w:after="0" w:line="240" w:lineRule="auto"/>
              <w:jc w:val="center"/>
              <w:rPr>
                <w:rFonts w:ascii="Arial" w:hAnsi="Arial" w:cs="Arial"/>
              </w:rPr>
            </w:pPr>
            <w:r w:rsidRPr="00EB70BD">
              <w:rPr>
                <w:rFonts w:ascii="Arial" w:hAnsi="Arial" w:cs="Arial"/>
                <w:color w:val="000000"/>
              </w:rPr>
              <w:t>4.85 ± 1.42</w:t>
            </w:r>
          </w:p>
        </w:tc>
      </w:tr>
      <w:tr w:rsidR="00EB70BD" w14:paraId="7A0ED05C" w14:textId="77777777" w:rsidTr="00EB70BD">
        <w:trPr>
          <w:jc w:val="center"/>
        </w:trPr>
        <w:tc>
          <w:tcPr>
            <w:tcW w:w="2635" w:type="dxa"/>
            <w:vAlign w:val="bottom"/>
          </w:tcPr>
          <w:p w14:paraId="27F99A39" w14:textId="21846076" w:rsidR="00EB70BD" w:rsidRPr="00EB70BD" w:rsidRDefault="00EB70BD" w:rsidP="00EB70BD">
            <w:pPr>
              <w:spacing w:after="0" w:line="240" w:lineRule="auto"/>
              <w:rPr>
                <w:rFonts w:ascii="Arial" w:hAnsi="Arial" w:cs="Arial"/>
                <w:i/>
              </w:rPr>
            </w:pPr>
            <w:r w:rsidRPr="00EB70BD">
              <w:rPr>
                <w:rFonts w:ascii="Arial" w:hAnsi="Arial" w:cs="Arial"/>
                <w:i/>
                <w:color w:val="000000"/>
              </w:rPr>
              <w:t>Rikenellaceae</w:t>
            </w:r>
          </w:p>
        </w:tc>
        <w:tc>
          <w:tcPr>
            <w:tcW w:w="1683" w:type="dxa"/>
            <w:vAlign w:val="bottom"/>
          </w:tcPr>
          <w:p w14:paraId="2D9E489C" w14:textId="6E75523A" w:rsidR="00EB70BD" w:rsidRPr="00EB70BD" w:rsidRDefault="00EB70BD" w:rsidP="00EB70BD">
            <w:pPr>
              <w:spacing w:after="0" w:line="240" w:lineRule="auto"/>
              <w:jc w:val="center"/>
              <w:rPr>
                <w:rFonts w:ascii="Arial" w:hAnsi="Arial" w:cs="Arial"/>
              </w:rPr>
            </w:pPr>
            <w:r w:rsidRPr="00EB70BD">
              <w:rPr>
                <w:rFonts w:ascii="Arial" w:hAnsi="Arial" w:cs="Arial"/>
                <w:color w:val="000000"/>
              </w:rPr>
              <w:t>0.27 ± 0.12</w:t>
            </w:r>
          </w:p>
        </w:tc>
        <w:tc>
          <w:tcPr>
            <w:tcW w:w="1683" w:type="dxa"/>
            <w:vAlign w:val="bottom"/>
          </w:tcPr>
          <w:p w14:paraId="2C546296" w14:textId="25E0773A" w:rsidR="00EB70BD" w:rsidRPr="00EB70BD" w:rsidRDefault="00EB70BD" w:rsidP="00EB70BD">
            <w:pPr>
              <w:spacing w:after="0" w:line="240" w:lineRule="auto"/>
              <w:jc w:val="center"/>
              <w:rPr>
                <w:rFonts w:ascii="Arial" w:hAnsi="Arial" w:cs="Arial"/>
              </w:rPr>
            </w:pPr>
            <w:r w:rsidRPr="00EB70BD">
              <w:rPr>
                <w:rFonts w:ascii="Arial" w:hAnsi="Arial" w:cs="Arial"/>
                <w:color w:val="000000"/>
              </w:rPr>
              <w:t>2.14 ± 0.71</w:t>
            </w:r>
          </w:p>
        </w:tc>
        <w:tc>
          <w:tcPr>
            <w:tcW w:w="1683" w:type="dxa"/>
            <w:vAlign w:val="bottom"/>
          </w:tcPr>
          <w:p w14:paraId="3C56ED22" w14:textId="070CC40E" w:rsidR="00EB70BD" w:rsidRPr="00EB70BD" w:rsidRDefault="00EB70BD" w:rsidP="00EB70BD">
            <w:pPr>
              <w:spacing w:after="0" w:line="240" w:lineRule="auto"/>
              <w:jc w:val="center"/>
              <w:rPr>
                <w:rFonts w:ascii="Arial" w:hAnsi="Arial" w:cs="Arial"/>
              </w:rPr>
            </w:pPr>
            <w:r w:rsidRPr="00EB70BD">
              <w:rPr>
                <w:rFonts w:ascii="Arial" w:hAnsi="Arial" w:cs="Arial"/>
                <w:color w:val="000000"/>
              </w:rPr>
              <w:t>1.7</w:t>
            </w:r>
            <w:r>
              <w:rPr>
                <w:rFonts w:ascii="Arial" w:hAnsi="Arial" w:cs="Arial"/>
                <w:color w:val="000000"/>
              </w:rPr>
              <w:t>0</w:t>
            </w:r>
            <w:r w:rsidRPr="00EB70BD">
              <w:rPr>
                <w:rFonts w:ascii="Arial" w:hAnsi="Arial" w:cs="Arial"/>
                <w:color w:val="000000"/>
              </w:rPr>
              <w:t xml:space="preserve"> ± 0.35</w:t>
            </w:r>
          </w:p>
        </w:tc>
        <w:tc>
          <w:tcPr>
            <w:tcW w:w="1683" w:type="dxa"/>
            <w:vAlign w:val="bottom"/>
          </w:tcPr>
          <w:p w14:paraId="6DD4069E" w14:textId="627A8E9C" w:rsidR="00EB70BD" w:rsidRPr="00EB70BD" w:rsidRDefault="00EB70BD" w:rsidP="00EB70BD">
            <w:pPr>
              <w:spacing w:after="0" w:line="240" w:lineRule="auto"/>
              <w:jc w:val="center"/>
              <w:rPr>
                <w:rFonts w:ascii="Arial" w:hAnsi="Arial" w:cs="Arial"/>
              </w:rPr>
            </w:pPr>
            <w:r w:rsidRPr="00EB70BD">
              <w:rPr>
                <w:rFonts w:ascii="Arial" w:hAnsi="Arial" w:cs="Arial"/>
                <w:color w:val="000000"/>
              </w:rPr>
              <w:t>2.62 ± 0.46</w:t>
            </w:r>
          </w:p>
        </w:tc>
      </w:tr>
      <w:tr w:rsidR="00EB70BD" w14:paraId="29941D65" w14:textId="77777777" w:rsidTr="00EB70BD">
        <w:trPr>
          <w:jc w:val="center"/>
        </w:trPr>
        <w:tc>
          <w:tcPr>
            <w:tcW w:w="2635" w:type="dxa"/>
            <w:vAlign w:val="bottom"/>
          </w:tcPr>
          <w:p w14:paraId="255C4818" w14:textId="12BDD2E9" w:rsidR="00EB70BD" w:rsidRPr="00EB70BD" w:rsidRDefault="00EB70BD" w:rsidP="00EB70BD">
            <w:pPr>
              <w:spacing w:after="0" w:line="240" w:lineRule="auto"/>
              <w:rPr>
                <w:rFonts w:ascii="Arial" w:hAnsi="Arial" w:cs="Arial"/>
                <w:i/>
              </w:rPr>
            </w:pPr>
            <w:r w:rsidRPr="00EB70BD">
              <w:rPr>
                <w:rFonts w:ascii="Arial" w:hAnsi="Arial" w:cs="Arial"/>
                <w:i/>
                <w:color w:val="000000"/>
              </w:rPr>
              <w:t>Lactobacillaceae</w:t>
            </w:r>
          </w:p>
        </w:tc>
        <w:tc>
          <w:tcPr>
            <w:tcW w:w="1683" w:type="dxa"/>
            <w:vAlign w:val="bottom"/>
          </w:tcPr>
          <w:p w14:paraId="60467F22" w14:textId="44AD0A1B" w:rsidR="00EB70BD" w:rsidRPr="00EB70BD" w:rsidRDefault="00EB70BD" w:rsidP="00EB70BD">
            <w:pPr>
              <w:spacing w:after="0" w:line="240" w:lineRule="auto"/>
              <w:jc w:val="center"/>
              <w:rPr>
                <w:rFonts w:ascii="Arial" w:hAnsi="Arial" w:cs="Arial"/>
              </w:rPr>
            </w:pPr>
            <w:r w:rsidRPr="00EB70BD">
              <w:rPr>
                <w:rFonts w:ascii="Arial" w:hAnsi="Arial" w:cs="Arial"/>
                <w:color w:val="000000"/>
              </w:rPr>
              <w:t>0</w:t>
            </w:r>
            <w:r>
              <w:rPr>
                <w:rFonts w:ascii="Arial" w:hAnsi="Arial" w:cs="Arial"/>
                <w:color w:val="000000"/>
              </w:rPr>
              <w:t>.00</w:t>
            </w:r>
            <w:r w:rsidRPr="00EB70BD">
              <w:rPr>
                <w:rFonts w:ascii="Arial" w:hAnsi="Arial" w:cs="Arial"/>
                <w:color w:val="000000"/>
              </w:rPr>
              <w:t xml:space="preserve"> ± 0</w:t>
            </w:r>
            <w:r>
              <w:rPr>
                <w:rFonts w:ascii="Arial" w:hAnsi="Arial" w:cs="Arial"/>
                <w:color w:val="000000"/>
              </w:rPr>
              <w:t>.00</w:t>
            </w:r>
          </w:p>
        </w:tc>
        <w:tc>
          <w:tcPr>
            <w:tcW w:w="1683" w:type="dxa"/>
            <w:vAlign w:val="bottom"/>
          </w:tcPr>
          <w:p w14:paraId="0B8820F5" w14:textId="349FF266" w:rsidR="00EB70BD" w:rsidRPr="00EB70BD" w:rsidRDefault="00EB70BD" w:rsidP="00EB70BD">
            <w:pPr>
              <w:spacing w:after="0" w:line="240" w:lineRule="auto"/>
              <w:jc w:val="center"/>
              <w:rPr>
                <w:rFonts w:ascii="Arial" w:hAnsi="Arial" w:cs="Arial"/>
              </w:rPr>
            </w:pPr>
            <w:r w:rsidRPr="00EB70BD">
              <w:rPr>
                <w:rFonts w:ascii="Arial" w:hAnsi="Arial" w:cs="Arial"/>
                <w:color w:val="000000"/>
              </w:rPr>
              <w:t>2.53 ± 0.2</w:t>
            </w:r>
            <w:r>
              <w:rPr>
                <w:rFonts w:ascii="Arial" w:hAnsi="Arial" w:cs="Arial"/>
                <w:color w:val="000000"/>
              </w:rPr>
              <w:t>0</w:t>
            </w:r>
          </w:p>
        </w:tc>
        <w:tc>
          <w:tcPr>
            <w:tcW w:w="1683" w:type="dxa"/>
            <w:vAlign w:val="bottom"/>
          </w:tcPr>
          <w:p w14:paraId="0065162C" w14:textId="684BACA5" w:rsidR="00EB70BD" w:rsidRPr="00EB70BD" w:rsidRDefault="00EB70BD" w:rsidP="00EB70BD">
            <w:pPr>
              <w:spacing w:after="0" w:line="240" w:lineRule="auto"/>
              <w:jc w:val="center"/>
              <w:rPr>
                <w:rFonts w:ascii="Arial" w:hAnsi="Arial" w:cs="Arial"/>
              </w:rPr>
            </w:pPr>
            <w:r w:rsidRPr="00EB70BD">
              <w:rPr>
                <w:rFonts w:ascii="Arial" w:hAnsi="Arial" w:cs="Arial"/>
                <w:color w:val="000000"/>
              </w:rPr>
              <w:t>1.53 ± 1.65</w:t>
            </w:r>
          </w:p>
        </w:tc>
        <w:tc>
          <w:tcPr>
            <w:tcW w:w="1683" w:type="dxa"/>
            <w:vAlign w:val="bottom"/>
          </w:tcPr>
          <w:p w14:paraId="41104E2E" w14:textId="3A2B2A75" w:rsidR="00EB70BD" w:rsidRPr="00EB70BD" w:rsidRDefault="00EB70BD" w:rsidP="00EB70BD">
            <w:pPr>
              <w:spacing w:after="0" w:line="240" w:lineRule="auto"/>
              <w:jc w:val="center"/>
              <w:rPr>
                <w:rFonts w:ascii="Arial" w:hAnsi="Arial" w:cs="Arial"/>
              </w:rPr>
            </w:pPr>
            <w:r w:rsidRPr="00EB70BD">
              <w:rPr>
                <w:rFonts w:ascii="Arial" w:hAnsi="Arial" w:cs="Arial"/>
                <w:color w:val="000000"/>
              </w:rPr>
              <w:t>4.87 ± 0.64</w:t>
            </w:r>
          </w:p>
        </w:tc>
      </w:tr>
      <w:tr w:rsidR="00EB70BD" w14:paraId="1D7F5A48" w14:textId="77777777" w:rsidTr="00EB70BD">
        <w:trPr>
          <w:jc w:val="center"/>
        </w:trPr>
        <w:tc>
          <w:tcPr>
            <w:tcW w:w="2635" w:type="dxa"/>
            <w:vAlign w:val="bottom"/>
          </w:tcPr>
          <w:p w14:paraId="32387605" w14:textId="25088F4A" w:rsidR="00EB70BD" w:rsidRPr="00EB70BD" w:rsidRDefault="00EB70BD" w:rsidP="00EB70BD">
            <w:pPr>
              <w:spacing w:after="0" w:line="240" w:lineRule="auto"/>
              <w:rPr>
                <w:rFonts w:ascii="Arial" w:hAnsi="Arial" w:cs="Arial"/>
                <w:i/>
              </w:rPr>
            </w:pPr>
            <w:r w:rsidRPr="00EB70BD">
              <w:rPr>
                <w:rFonts w:ascii="Arial" w:hAnsi="Arial" w:cs="Arial"/>
                <w:i/>
                <w:color w:val="000000"/>
              </w:rPr>
              <w:t>Acidaminococcaceae</w:t>
            </w:r>
          </w:p>
        </w:tc>
        <w:tc>
          <w:tcPr>
            <w:tcW w:w="1683" w:type="dxa"/>
            <w:vAlign w:val="bottom"/>
          </w:tcPr>
          <w:p w14:paraId="3B147ED9" w14:textId="546DD9FB" w:rsidR="00EB70BD" w:rsidRPr="00EB70BD" w:rsidRDefault="00EB70BD" w:rsidP="00EB70BD">
            <w:pPr>
              <w:spacing w:after="0" w:line="240" w:lineRule="auto"/>
              <w:jc w:val="center"/>
              <w:rPr>
                <w:rFonts w:ascii="Arial" w:hAnsi="Arial" w:cs="Arial"/>
              </w:rPr>
            </w:pPr>
            <w:r w:rsidRPr="00EB70BD">
              <w:rPr>
                <w:rFonts w:ascii="Arial" w:hAnsi="Arial" w:cs="Arial"/>
                <w:color w:val="000000"/>
              </w:rPr>
              <w:t>0.14 ± 0.06</w:t>
            </w:r>
          </w:p>
        </w:tc>
        <w:tc>
          <w:tcPr>
            <w:tcW w:w="1683" w:type="dxa"/>
            <w:vAlign w:val="bottom"/>
          </w:tcPr>
          <w:p w14:paraId="1C532D4A" w14:textId="155052B2" w:rsidR="00EB70BD" w:rsidRPr="00EB70BD" w:rsidRDefault="00EB70BD" w:rsidP="00EB70BD">
            <w:pPr>
              <w:spacing w:after="0" w:line="240" w:lineRule="auto"/>
              <w:jc w:val="center"/>
              <w:rPr>
                <w:rFonts w:ascii="Arial" w:hAnsi="Arial" w:cs="Arial"/>
              </w:rPr>
            </w:pPr>
            <w:r w:rsidRPr="00EB70BD">
              <w:rPr>
                <w:rFonts w:ascii="Arial" w:hAnsi="Arial" w:cs="Arial"/>
                <w:color w:val="000000"/>
              </w:rPr>
              <w:t>0.06 ± 0.01</w:t>
            </w:r>
          </w:p>
        </w:tc>
        <w:tc>
          <w:tcPr>
            <w:tcW w:w="1683" w:type="dxa"/>
            <w:vAlign w:val="bottom"/>
          </w:tcPr>
          <w:p w14:paraId="3DFD3D49" w14:textId="45812857" w:rsidR="00EB70BD" w:rsidRPr="00EB70BD" w:rsidRDefault="00EB70BD" w:rsidP="00EB70BD">
            <w:pPr>
              <w:spacing w:after="0" w:line="240" w:lineRule="auto"/>
              <w:jc w:val="center"/>
              <w:rPr>
                <w:rFonts w:ascii="Arial" w:hAnsi="Arial" w:cs="Arial"/>
              </w:rPr>
            </w:pPr>
            <w:r w:rsidRPr="00EB70BD">
              <w:rPr>
                <w:rFonts w:ascii="Arial" w:hAnsi="Arial" w:cs="Arial"/>
                <w:color w:val="000000"/>
              </w:rPr>
              <w:t>3.06 ± 1.86</w:t>
            </w:r>
          </w:p>
        </w:tc>
        <w:tc>
          <w:tcPr>
            <w:tcW w:w="1683" w:type="dxa"/>
            <w:vAlign w:val="bottom"/>
          </w:tcPr>
          <w:p w14:paraId="3724E559" w14:textId="06F57BDC" w:rsidR="00EB70BD" w:rsidRPr="00EB70BD" w:rsidRDefault="00EB70BD" w:rsidP="00EB70BD">
            <w:pPr>
              <w:spacing w:after="0" w:line="240" w:lineRule="auto"/>
              <w:jc w:val="center"/>
              <w:rPr>
                <w:rFonts w:ascii="Arial" w:hAnsi="Arial" w:cs="Arial"/>
              </w:rPr>
            </w:pPr>
            <w:r w:rsidRPr="00EB70BD">
              <w:rPr>
                <w:rFonts w:ascii="Arial" w:hAnsi="Arial" w:cs="Arial"/>
                <w:color w:val="000000"/>
              </w:rPr>
              <w:t>5.96 ± 1.44</w:t>
            </w:r>
          </w:p>
        </w:tc>
      </w:tr>
    </w:tbl>
    <w:p w14:paraId="36F43E94" w14:textId="77777777" w:rsidR="00F17A2B" w:rsidRPr="00F17A2B" w:rsidRDefault="00F17A2B" w:rsidP="000E45B6">
      <w:pPr>
        <w:spacing w:line="240" w:lineRule="auto"/>
        <w:rPr>
          <w:rFonts w:ascii="Arial" w:hAnsi="Arial" w:cs="Arial"/>
        </w:rPr>
      </w:pPr>
    </w:p>
    <w:sectPr w:rsidR="00F17A2B" w:rsidRPr="00F17A2B" w:rsidSect="00DF2CB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C63CA" w14:textId="77777777" w:rsidR="00895D12" w:rsidRDefault="00895D12" w:rsidP="003A4350">
      <w:pPr>
        <w:spacing w:after="0" w:line="240" w:lineRule="auto"/>
      </w:pPr>
      <w:r>
        <w:separator/>
      </w:r>
    </w:p>
  </w:endnote>
  <w:endnote w:type="continuationSeparator" w:id="0">
    <w:p w14:paraId="517C40A7" w14:textId="77777777" w:rsidR="00895D12" w:rsidRDefault="00895D12" w:rsidP="003A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5B619" w14:textId="77777777" w:rsidR="00895D12" w:rsidRDefault="00895D12">
    <w:pPr>
      <w:pStyle w:val="Footer"/>
      <w:jc w:val="center"/>
    </w:pPr>
  </w:p>
  <w:p w14:paraId="5EC7B532" w14:textId="77777777" w:rsidR="00895D12" w:rsidRDefault="00895D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582166"/>
      <w:docPartObj>
        <w:docPartGallery w:val="Page Numbers (Bottom of Page)"/>
        <w:docPartUnique/>
      </w:docPartObj>
    </w:sdtPr>
    <w:sdtEndPr>
      <w:rPr>
        <w:noProof/>
      </w:rPr>
    </w:sdtEndPr>
    <w:sdtContent>
      <w:p w14:paraId="606FE4AF" w14:textId="59E6BE5B" w:rsidR="00895D12" w:rsidRDefault="00895D12">
        <w:pPr>
          <w:pStyle w:val="Footer"/>
          <w:jc w:val="center"/>
        </w:pPr>
        <w:r>
          <w:fldChar w:fldCharType="begin"/>
        </w:r>
        <w:r>
          <w:instrText xml:space="preserve"> PAGE   \* MERGEFORMAT </w:instrText>
        </w:r>
        <w:r>
          <w:fldChar w:fldCharType="separate"/>
        </w:r>
        <w:r w:rsidR="001C1CDE">
          <w:rPr>
            <w:noProof/>
          </w:rPr>
          <w:t>1</w:t>
        </w:r>
        <w:r>
          <w:rPr>
            <w:noProof/>
          </w:rPr>
          <w:fldChar w:fldCharType="end"/>
        </w:r>
      </w:p>
    </w:sdtContent>
  </w:sdt>
  <w:p w14:paraId="3FA4F98C" w14:textId="77777777" w:rsidR="00895D12" w:rsidRDefault="00895D1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01E5F" w14:textId="77777777" w:rsidR="00895D12" w:rsidRDefault="00895D12" w:rsidP="003A4350">
      <w:pPr>
        <w:spacing w:after="0" w:line="240" w:lineRule="auto"/>
      </w:pPr>
      <w:r>
        <w:separator/>
      </w:r>
    </w:p>
  </w:footnote>
  <w:footnote w:type="continuationSeparator" w:id="0">
    <w:p w14:paraId="015AE3B6" w14:textId="77777777" w:rsidR="00895D12" w:rsidRDefault="00895D12" w:rsidP="003A43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CB2"/>
    <w:rsid w:val="0003619B"/>
    <w:rsid w:val="00073D3C"/>
    <w:rsid w:val="000E45B6"/>
    <w:rsid w:val="00105003"/>
    <w:rsid w:val="0014314D"/>
    <w:rsid w:val="001767FD"/>
    <w:rsid w:val="0019545B"/>
    <w:rsid w:val="001C1CDE"/>
    <w:rsid w:val="002C3A61"/>
    <w:rsid w:val="003325D4"/>
    <w:rsid w:val="00342604"/>
    <w:rsid w:val="003A4350"/>
    <w:rsid w:val="003B717C"/>
    <w:rsid w:val="003C72B9"/>
    <w:rsid w:val="003E0F27"/>
    <w:rsid w:val="00420AEB"/>
    <w:rsid w:val="004631DB"/>
    <w:rsid w:val="004836C0"/>
    <w:rsid w:val="00552794"/>
    <w:rsid w:val="00582F97"/>
    <w:rsid w:val="005C03E8"/>
    <w:rsid w:val="005E0E34"/>
    <w:rsid w:val="0063093E"/>
    <w:rsid w:val="007B3642"/>
    <w:rsid w:val="00895D12"/>
    <w:rsid w:val="00900105"/>
    <w:rsid w:val="00A25725"/>
    <w:rsid w:val="00A341F0"/>
    <w:rsid w:val="00A6795D"/>
    <w:rsid w:val="00AA5592"/>
    <w:rsid w:val="00BB657D"/>
    <w:rsid w:val="00BC29AE"/>
    <w:rsid w:val="00BF2475"/>
    <w:rsid w:val="00C53CB8"/>
    <w:rsid w:val="00CE79F9"/>
    <w:rsid w:val="00D334D9"/>
    <w:rsid w:val="00D54FF8"/>
    <w:rsid w:val="00DC0766"/>
    <w:rsid w:val="00DC308F"/>
    <w:rsid w:val="00DF2CB2"/>
    <w:rsid w:val="00E54DB6"/>
    <w:rsid w:val="00E754B4"/>
    <w:rsid w:val="00EB70BD"/>
    <w:rsid w:val="00F00EEE"/>
    <w:rsid w:val="00F0225D"/>
    <w:rsid w:val="00F039E9"/>
    <w:rsid w:val="00F170B7"/>
    <w:rsid w:val="00F17A2B"/>
    <w:rsid w:val="00F50BD1"/>
    <w:rsid w:val="00F94D0A"/>
    <w:rsid w:val="00FD5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5C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7FD"/>
    <w:pPr>
      <w:spacing w:after="200" w:line="480" w:lineRule="auto"/>
    </w:pPr>
  </w:style>
  <w:style w:type="paragraph" w:styleId="Heading1">
    <w:name w:val="heading 1"/>
    <w:basedOn w:val="Normal"/>
    <w:next w:val="Normal"/>
    <w:link w:val="Heading1Char"/>
    <w:uiPriority w:val="9"/>
    <w:qFormat/>
    <w:rsid w:val="001767FD"/>
    <w:pPr>
      <w:outlineLvl w:val="0"/>
    </w:pPr>
    <w:rPr>
      <w:b/>
    </w:rPr>
  </w:style>
  <w:style w:type="paragraph" w:styleId="Heading2">
    <w:name w:val="heading 2"/>
    <w:basedOn w:val="Normal"/>
    <w:next w:val="Normal"/>
    <w:link w:val="Heading2Char"/>
    <w:uiPriority w:val="9"/>
    <w:unhideWhenUsed/>
    <w:qFormat/>
    <w:rsid w:val="001767FD"/>
    <w:pPr>
      <w:spacing w:line="276"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7FD"/>
    <w:rPr>
      <w:b/>
    </w:rPr>
  </w:style>
  <w:style w:type="character" w:customStyle="1" w:styleId="Heading1Char">
    <w:name w:val="Heading 1 Char"/>
    <w:basedOn w:val="DefaultParagraphFont"/>
    <w:link w:val="Heading1"/>
    <w:uiPriority w:val="9"/>
    <w:rsid w:val="001767FD"/>
    <w:rPr>
      <w:b/>
    </w:rPr>
  </w:style>
  <w:style w:type="paragraph" w:styleId="Header">
    <w:name w:val="header"/>
    <w:basedOn w:val="Normal"/>
    <w:link w:val="HeaderChar"/>
    <w:uiPriority w:val="99"/>
    <w:unhideWhenUsed/>
    <w:rsid w:val="003A4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350"/>
  </w:style>
  <w:style w:type="paragraph" w:styleId="Footer">
    <w:name w:val="footer"/>
    <w:basedOn w:val="Normal"/>
    <w:link w:val="FooterChar"/>
    <w:uiPriority w:val="99"/>
    <w:unhideWhenUsed/>
    <w:rsid w:val="003A4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350"/>
  </w:style>
  <w:style w:type="paragraph" w:styleId="BalloonText">
    <w:name w:val="Balloon Text"/>
    <w:basedOn w:val="Normal"/>
    <w:link w:val="BalloonTextChar"/>
    <w:uiPriority w:val="99"/>
    <w:semiHidden/>
    <w:unhideWhenUsed/>
    <w:rsid w:val="0063093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093E"/>
    <w:rPr>
      <w:rFonts w:ascii="Lucida Grande" w:hAnsi="Lucida Grande" w:cs="Lucida Grande"/>
      <w:sz w:val="18"/>
      <w:szCs w:val="18"/>
    </w:rPr>
  </w:style>
  <w:style w:type="table" w:styleId="TableGrid">
    <w:name w:val="Table Grid"/>
    <w:basedOn w:val="TableNormal"/>
    <w:uiPriority w:val="39"/>
    <w:rsid w:val="00EB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7FD"/>
    <w:pPr>
      <w:spacing w:after="200" w:line="480" w:lineRule="auto"/>
    </w:pPr>
  </w:style>
  <w:style w:type="paragraph" w:styleId="Heading1">
    <w:name w:val="heading 1"/>
    <w:basedOn w:val="Normal"/>
    <w:next w:val="Normal"/>
    <w:link w:val="Heading1Char"/>
    <w:uiPriority w:val="9"/>
    <w:qFormat/>
    <w:rsid w:val="001767FD"/>
    <w:pPr>
      <w:outlineLvl w:val="0"/>
    </w:pPr>
    <w:rPr>
      <w:b/>
    </w:rPr>
  </w:style>
  <w:style w:type="paragraph" w:styleId="Heading2">
    <w:name w:val="heading 2"/>
    <w:basedOn w:val="Normal"/>
    <w:next w:val="Normal"/>
    <w:link w:val="Heading2Char"/>
    <w:uiPriority w:val="9"/>
    <w:unhideWhenUsed/>
    <w:qFormat/>
    <w:rsid w:val="001767FD"/>
    <w:pPr>
      <w:spacing w:line="276"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7FD"/>
    <w:rPr>
      <w:b/>
    </w:rPr>
  </w:style>
  <w:style w:type="character" w:customStyle="1" w:styleId="Heading1Char">
    <w:name w:val="Heading 1 Char"/>
    <w:basedOn w:val="DefaultParagraphFont"/>
    <w:link w:val="Heading1"/>
    <w:uiPriority w:val="9"/>
    <w:rsid w:val="001767FD"/>
    <w:rPr>
      <w:b/>
    </w:rPr>
  </w:style>
  <w:style w:type="paragraph" w:styleId="Header">
    <w:name w:val="header"/>
    <w:basedOn w:val="Normal"/>
    <w:link w:val="HeaderChar"/>
    <w:uiPriority w:val="99"/>
    <w:unhideWhenUsed/>
    <w:rsid w:val="003A4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350"/>
  </w:style>
  <w:style w:type="paragraph" w:styleId="Footer">
    <w:name w:val="footer"/>
    <w:basedOn w:val="Normal"/>
    <w:link w:val="FooterChar"/>
    <w:uiPriority w:val="99"/>
    <w:unhideWhenUsed/>
    <w:rsid w:val="003A4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350"/>
  </w:style>
  <w:style w:type="paragraph" w:styleId="BalloonText">
    <w:name w:val="Balloon Text"/>
    <w:basedOn w:val="Normal"/>
    <w:link w:val="BalloonTextChar"/>
    <w:uiPriority w:val="99"/>
    <w:semiHidden/>
    <w:unhideWhenUsed/>
    <w:rsid w:val="0063093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093E"/>
    <w:rPr>
      <w:rFonts w:ascii="Lucida Grande" w:hAnsi="Lucida Grande" w:cs="Lucida Grande"/>
      <w:sz w:val="18"/>
      <w:szCs w:val="18"/>
    </w:rPr>
  </w:style>
  <w:style w:type="table" w:styleId="TableGrid">
    <w:name w:val="Table Grid"/>
    <w:basedOn w:val="TableNormal"/>
    <w:uiPriority w:val="39"/>
    <w:rsid w:val="00EB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761919">
      <w:bodyDiv w:val="1"/>
      <w:marLeft w:val="0"/>
      <w:marRight w:val="0"/>
      <w:marTop w:val="0"/>
      <w:marBottom w:val="0"/>
      <w:divBdr>
        <w:top w:val="none" w:sz="0" w:space="0" w:color="auto"/>
        <w:left w:val="none" w:sz="0" w:space="0" w:color="auto"/>
        <w:bottom w:val="none" w:sz="0" w:space="0" w:color="auto"/>
        <w:right w:val="none" w:sz="0" w:space="0" w:color="auto"/>
      </w:divBdr>
    </w:div>
    <w:div w:id="1045061284">
      <w:bodyDiv w:val="1"/>
      <w:marLeft w:val="0"/>
      <w:marRight w:val="0"/>
      <w:marTop w:val="0"/>
      <w:marBottom w:val="0"/>
      <w:divBdr>
        <w:top w:val="none" w:sz="0" w:space="0" w:color="auto"/>
        <w:left w:val="none" w:sz="0" w:space="0" w:color="auto"/>
        <w:bottom w:val="none" w:sz="0" w:space="0" w:color="auto"/>
        <w:right w:val="none" w:sz="0" w:space="0" w:color="auto"/>
      </w:divBdr>
    </w:div>
    <w:div w:id="158934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1063</Words>
  <Characters>6065</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Staley</dc:creator>
  <cp:lastModifiedBy>Alexander Khoruts</cp:lastModifiedBy>
  <cp:revision>2</cp:revision>
  <dcterms:created xsi:type="dcterms:W3CDTF">2017-06-28T01:51:00Z</dcterms:created>
  <dcterms:modified xsi:type="dcterms:W3CDTF">2017-06-28T01:51:00Z</dcterms:modified>
</cp:coreProperties>
</file>