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43C" w:rsidRDefault="0006243C" w:rsidP="0006243C">
      <w:pPr>
        <w:jc w:val="center"/>
        <w:rPr>
          <w:rFonts w:ascii="Helvetica" w:hAnsi="Helvetica"/>
          <w:sz w:val="22"/>
          <w:szCs w:val="22"/>
        </w:rPr>
      </w:pPr>
      <w:bookmarkStart w:id="0" w:name="_GoBack"/>
      <w:bookmarkEnd w:id="0"/>
    </w:p>
    <w:tbl>
      <w:tblPr>
        <w:tblW w:w="7958" w:type="dxa"/>
        <w:tblInd w:w="625" w:type="dxa"/>
        <w:tblLook w:val="04A0"/>
      </w:tblPr>
      <w:tblGrid>
        <w:gridCol w:w="2758"/>
        <w:gridCol w:w="1300"/>
        <w:gridCol w:w="1300"/>
        <w:gridCol w:w="1300"/>
        <w:gridCol w:w="1300"/>
      </w:tblGrid>
      <w:tr w:rsidR="0006243C" w:rsidRPr="009166BC" w:rsidTr="001648AF">
        <w:trPr>
          <w:trHeight w:val="380"/>
        </w:trPr>
        <w:tc>
          <w:tcPr>
            <w:tcW w:w="2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Phase\DMM </w:t>
            </w:r>
            <w:r w:rsidRPr="009166BC">
              <w:rPr>
                <w:rFonts w:ascii="Calibri" w:eastAsia="Times New Roman" w:hAnsi="Calibri" w:cs="Times New Roman"/>
                <w:color w:val="000000"/>
                <w:lang w:eastAsia="zh-CN"/>
              </w:rPr>
              <w:t>Component</w:t>
            </w:r>
          </w:p>
        </w:tc>
        <w:tc>
          <w:tcPr>
            <w:tcW w:w="1300" w:type="dxa"/>
            <w:tcBorders>
              <w:top w:val="single" w:sz="4" w:space="0" w:color="auto"/>
              <w:left w:val="nil"/>
              <w:bottom w:val="single" w:sz="4" w:space="0" w:color="auto"/>
              <w:right w:val="single" w:sz="4" w:space="0" w:color="auto"/>
            </w:tcBorders>
            <w:shd w:val="clear" w:color="000000" w:fill="C6EFCE"/>
            <w:noWrap/>
            <w:vAlign w:val="bottom"/>
            <w:hideMark/>
          </w:tcPr>
          <w:p w:rsidR="0006243C" w:rsidRPr="009166BC" w:rsidRDefault="0006243C" w:rsidP="001648AF">
            <w:pPr>
              <w:jc w:val="center"/>
              <w:rPr>
                <w:rFonts w:ascii="Calibri" w:eastAsia="Times New Roman" w:hAnsi="Calibri" w:cs="Times New Roman"/>
                <w:color w:val="006100"/>
                <w:lang w:eastAsia="zh-CN"/>
              </w:rPr>
            </w:pPr>
            <w:r w:rsidRPr="009166BC">
              <w:rPr>
                <w:rFonts w:ascii="Calibri" w:eastAsia="Times New Roman" w:hAnsi="Calibri" w:cs="Times New Roman"/>
                <w:color w:val="006100"/>
                <w:lang w:eastAsia="zh-CN"/>
              </w:rPr>
              <w:t>C1</w:t>
            </w:r>
          </w:p>
        </w:tc>
        <w:tc>
          <w:tcPr>
            <w:tcW w:w="1300" w:type="dxa"/>
            <w:tcBorders>
              <w:top w:val="single" w:sz="4" w:space="0" w:color="auto"/>
              <w:left w:val="nil"/>
              <w:bottom w:val="single" w:sz="4" w:space="0" w:color="auto"/>
              <w:right w:val="single" w:sz="4" w:space="0" w:color="auto"/>
            </w:tcBorders>
            <w:shd w:val="clear" w:color="000000" w:fill="FFEB9C"/>
            <w:noWrap/>
            <w:vAlign w:val="bottom"/>
            <w:hideMark/>
          </w:tcPr>
          <w:p w:rsidR="0006243C" w:rsidRPr="009166BC" w:rsidRDefault="0006243C" w:rsidP="001648AF">
            <w:pPr>
              <w:jc w:val="center"/>
              <w:rPr>
                <w:rFonts w:ascii="Calibri" w:eastAsia="Times New Roman" w:hAnsi="Calibri" w:cs="Times New Roman"/>
                <w:color w:val="9C5700"/>
                <w:lang w:eastAsia="zh-CN"/>
              </w:rPr>
            </w:pPr>
            <w:r w:rsidRPr="009166BC">
              <w:rPr>
                <w:rFonts w:ascii="Calibri" w:eastAsia="Times New Roman" w:hAnsi="Calibri" w:cs="Times New Roman"/>
                <w:color w:val="9C5700"/>
                <w:lang w:eastAsia="zh-CN"/>
              </w:rPr>
              <w:t>C2</w:t>
            </w:r>
          </w:p>
        </w:tc>
        <w:tc>
          <w:tcPr>
            <w:tcW w:w="1300" w:type="dxa"/>
            <w:tcBorders>
              <w:top w:val="single" w:sz="4" w:space="0" w:color="auto"/>
              <w:left w:val="nil"/>
              <w:bottom w:val="single" w:sz="4" w:space="0" w:color="auto"/>
              <w:right w:val="single" w:sz="4" w:space="0" w:color="auto"/>
            </w:tcBorders>
            <w:shd w:val="clear" w:color="000000" w:fill="FFC7CE"/>
            <w:noWrap/>
            <w:vAlign w:val="bottom"/>
            <w:hideMark/>
          </w:tcPr>
          <w:p w:rsidR="0006243C" w:rsidRPr="009166BC" w:rsidRDefault="0006243C" w:rsidP="001648AF">
            <w:pPr>
              <w:jc w:val="center"/>
              <w:rPr>
                <w:rFonts w:ascii="Calibri" w:eastAsia="Times New Roman" w:hAnsi="Calibri" w:cs="Times New Roman"/>
                <w:color w:val="9C0006"/>
                <w:lang w:eastAsia="zh-CN"/>
              </w:rPr>
            </w:pPr>
            <w:r w:rsidRPr="009166BC">
              <w:rPr>
                <w:rFonts w:ascii="Calibri" w:eastAsia="Times New Roman" w:hAnsi="Calibri" w:cs="Times New Roman"/>
                <w:color w:val="9C0006"/>
                <w:lang w:eastAsia="zh-CN"/>
              </w:rPr>
              <w:t>C3</w:t>
            </w:r>
          </w:p>
        </w:tc>
        <w:tc>
          <w:tcPr>
            <w:tcW w:w="1300" w:type="dxa"/>
            <w:tcBorders>
              <w:top w:val="single" w:sz="4" w:space="0" w:color="auto"/>
              <w:left w:val="nil"/>
              <w:bottom w:val="single" w:sz="4" w:space="0" w:color="auto"/>
              <w:right w:val="single" w:sz="4" w:space="0" w:color="auto"/>
            </w:tcBorders>
            <w:shd w:val="clear" w:color="000000" w:fill="C6EFCE"/>
            <w:noWrap/>
            <w:vAlign w:val="bottom"/>
            <w:hideMark/>
          </w:tcPr>
          <w:p w:rsidR="0006243C" w:rsidRPr="009166BC" w:rsidRDefault="0006243C" w:rsidP="001648AF">
            <w:pPr>
              <w:jc w:val="center"/>
              <w:rPr>
                <w:rFonts w:ascii="Calibri" w:eastAsia="Times New Roman" w:hAnsi="Calibri" w:cs="Times New Roman"/>
                <w:color w:val="006100"/>
                <w:lang w:eastAsia="zh-CN"/>
              </w:rPr>
            </w:pPr>
            <w:r w:rsidRPr="009166BC">
              <w:rPr>
                <w:rFonts w:ascii="Calibri" w:eastAsia="Times New Roman" w:hAnsi="Calibri" w:cs="Times New Roman"/>
                <w:color w:val="006100"/>
                <w:lang w:eastAsia="zh-CN"/>
              </w:rPr>
              <w:t>C4</w:t>
            </w:r>
          </w:p>
        </w:tc>
      </w:tr>
      <w:tr w:rsidR="0006243C" w:rsidRPr="009166BC" w:rsidTr="001648AF">
        <w:trPr>
          <w:trHeight w:val="320"/>
        </w:trPr>
        <w:tc>
          <w:tcPr>
            <w:tcW w:w="2758" w:type="dxa"/>
            <w:tcBorders>
              <w:top w:val="nil"/>
              <w:left w:val="single" w:sz="4" w:space="0" w:color="auto"/>
              <w:bottom w:val="single" w:sz="4" w:space="0" w:color="auto"/>
              <w:right w:val="single" w:sz="4" w:space="0" w:color="auto"/>
            </w:tcBorders>
            <w:shd w:val="clear" w:color="000000" w:fill="FFC7CE"/>
            <w:noWrap/>
            <w:vAlign w:val="bottom"/>
            <w:hideMark/>
          </w:tcPr>
          <w:p w:rsidR="0006243C" w:rsidRPr="009166BC" w:rsidRDefault="0006243C" w:rsidP="001648AF">
            <w:pPr>
              <w:jc w:val="center"/>
              <w:rPr>
                <w:rFonts w:ascii="Calibri" w:eastAsia="Times New Roman" w:hAnsi="Calibri" w:cs="Times New Roman"/>
                <w:color w:val="9C0006"/>
                <w:lang w:eastAsia="zh-CN"/>
              </w:rPr>
            </w:pPr>
            <w:r w:rsidRPr="009166BC">
              <w:rPr>
                <w:rFonts w:ascii="Calibri" w:eastAsia="Times New Roman" w:hAnsi="Calibri" w:cs="Times New Roman"/>
                <w:color w:val="9C0006"/>
                <w:lang w:eastAsia="zh-CN"/>
              </w:rPr>
              <w:t>P1</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0</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0</w:t>
            </w:r>
          </w:p>
        </w:tc>
        <w:tc>
          <w:tcPr>
            <w:tcW w:w="1300" w:type="dxa"/>
            <w:tcBorders>
              <w:top w:val="nil"/>
              <w:left w:val="nil"/>
              <w:bottom w:val="single" w:sz="4" w:space="0" w:color="auto"/>
              <w:right w:val="single" w:sz="4" w:space="0" w:color="auto"/>
            </w:tcBorders>
            <w:shd w:val="clear" w:color="000000" w:fill="FFC7CE"/>
            <w:noWrap/>
            <w:vAlign w:val="bottom"/>
            <w:hideMark/>
          </w:tcPr>
          <w:p w:rsidR="0006243C" w:rsidRPr="009166BC" w:rsidRDefault="0006243C" w:rsidP="001648AF">
            <w:pPr>
              <w:jc w:val="center"/>
              <w:rPr>
                <w:rFonts w:ascii="Calibri" w:eastAsia="Times New Roman" w:hAnsi="Calibri" w:cs="Times New Roman"/>
                <w:color w:val="9C0006"/>
                <w:lang w:eastAsia="zh-CN"/>
              </w:rPr>
            </w:pPr>
            <w:r w:rsidRPr="009166BC">
              <w:rPr>
                <w:rFonts w:ascii="Calibri" w:eastAsia="Times New Roman" w:hAnsi="Calibri" w:cs="Times New Roman"/>
                <w:color w:val="9C0006"/>
                <w:lang w:eastAsia="zh-CN"/>
              </w:rPr>
              <w:t>90</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0</w:t>
            </w:r>
          </w:p>
        </w:tc>
      </w:tr>
      <w:tr w:rsidR="0006243C" w:rsidRPr="009166BC" w:rsidTr="001648AF">
        <w:trPr>
          <w:trHeight w:val="320"/>
        </w:trPr>
        <w:tc>
          <w:tcPr>
            <w:tcW w:w="2758" w:type="dxa"/>
            <w:tcBorders>
              <w:top w:val="nil"/>
              <w:left w:val="single" w:sz="4" w:space="0" w:color="auto"/>
              <w:bottom w:val="single" w:sz="4" w:space="0" w:color="auto"/>
              <w:right w:val="single" w:sz="4" w:space="0" w:color="auto"/>
            </w:tcBorders>
            <w:shd w:val="clear" w:color="000000" w:fill="FFEB9C"/>
            <w:noWrap/>
            <w:vAlign w:val="bottom"/>
            <w:hideMark/>
          </w:tcPr>
          <w:p w:rsidR="0006243C" w:rsidRPr="009166BC" w:rsidRDefault="0006243C" w:rsidP="001648AF">
            <w:pPr>
              <w:jc w:val="center"/>
              <w:rPr>
                <w:rFonts w:ascii="Calibri" w:eastAsia="Times New Roman" w:hAnsi="Calibri" w:cs="Times New Roman"/>
                <w:color w:val="9C5700"/>
                <w:lang w:eastAsia="zh-CN"/>
              </w:rPr>
            </w:pPr>
            <w:r w:rsidRPr="009166BC">
              <w:rPr>
                <w:rFonts w:ascii="Calibri" w:eastAsia="Times New Roman" w:hAnsi="Calibri" w:cs="Times New Roman"/>
                <w:color w:val="9C5700"/>
                <w:lang w:eastAsia="zh-CN"/>
              </w:rPr>
              <w:t>P2</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8</w:t>
            </w:r>
          </w:p>
        </w:tc>
        <w:tc>
          <w:tcPr>
            <w:tcW w:w="1300" w:type="dxa"/>
            <w:tcBorders>
              <w:top w:val="nil"/>
              <w:left w:val="nil"/>
              <w:bottom w:val="single" w:sz="4" w:space="0" w:color="auto"/>
              <w:right w:val="single" w:sz="4" w:space="0" w:color="auto"/>
            </w:tcBorders>
            <w:shd w:val="clear" w:color="000000" w:fill="FFEB9C"/>
            <w:noWrap/>
            <w:vAlign w:val="bottom"/>
            <w:hideMark/>
          </w:tcPr>
          <w:p w:rsidR="0006243C" w:rsidRPr="009166BC" w:rsidRDefault="0006243C" w:rsidP="001648AF">
            <w:pPr>
              <w:jc w:val="center"/>
              <w:rPr>
                <w:rFonts w:ascii="Calibri" w:eastAsia="Times New Roman" w:hAnsi="Calibri" w:cs="Times New Roman"/>
                <w:color w:val="9C5700"/>
                <w:lang w:eastAsia="zh-CN"/>
              </w:rPr>
            </w:pPr>
            <w:r w:rsidRPr="009166BC">
              <w:rPr>
                <w:rFonts w:ascii="Calibri" w:eastAsia="Times New Roman" w:hAnsi="Calibri" w:cs="Times New Roman"/>
                <w:color w:val="9C5700"/>
                <w:lang w:eastAsia="zh-CN"/>
              </w:rPr>
              <w:t>211</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25</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0</w:t>
            </w:r>
          </w:p>
        </w:tc>
      </w:tr>
      <w:tr w:rsidR="0006243C" w:rsidRPr="009166BC" w:rsidTr="001648AF">
        <w:trPr>
          <w:trHeight w:val="320"/>
        </w:trPr>
        <w:tc>
          <w:tcPr>
            <w:tcW w:w="2758" w:type="dxa"/>
            <w:tcBorders>
              <w:top w:val="nil"/>
              <w:left w:val="single" w:sz="4" w:space="0" w:color="auto"/>
              <w:bottom w:val="single" w:sz="4" w:space="0" w:color="auto"/>
              <w:right w:val="single" w:sz="4" w:space="0" w:color="auto"/>
            </w:tcBorders>
            <w:shd w:val="clear" w:color="000000" w:fill="C6EFCE"/>
            <w:noWrap/>
            <w:vAlign w:val="bottom"/>
            <w:hideMark/>
          </w:tcPr>
          <w:p w:rsidR="0006243C" w:rsidRPr="009166BC" w:rsidRDefault="0006243C" w:rsidP="001648AF">
            <w:pPr>
              <w:jc w:val="center"/>
              <w:rPr>
                <w:rFonts w:ascii="Calibri" w:eastAsia="Times New Roman" w:hAnsi="Calibri" w:cs="Times New Roman"/>
                <w:color w:val="006100"/>
                <w:lang w:eastAsia="zh-CN"/>
              </w:rPr>
            </w:pPr>
            <w:r w:rsidRPr="009166BC">
              <w:rPr>
                <w:rFonts w:ascii="Calibri" w:eastAsia="Times New Roman" w:hAnsi="Calibri" w:cs="Times New Roman"/>
                <w:color w:val="006100"/>
                <w:lang w:eastAsia="zh-CN"/>
              </w:rPr>
              <w:t>P3</w:t>
            </w:r>
          </w:p>
        </w:tc>
        <w:tc>
          <w:tcPr>
            <w:tcW w:w="1300" w:type="dxa"/>
            <w:tcBorders>
              <w:top w:val="nil"/>
              <w:left w:val="nil"/>
              <w:bottom w:val="single" w:sz="4" w:space="0" w:color="auto"/>
              <w:right w:val="single" w:sz="4" w:space="0" w:color="auto"/>
            </w:tcBorders>
            <w:shd w:val="clear" w:color="000000" w:fill="C6EFCE"/>
            <w:noWrap/>
            <w:vAlign w:val="bottom"/>
            <w:hideMark/>
          </w:tcPr>
          <w:p w:rsidR="0006243C" w:rsidRPr="009166BC" w:rsidRDefault="0006243C" w:rsidP="001648AF">
            <w:pPr>
              <w:jc w:val="center"/>
              <w:rPr>
                <w:rFonts w:ascii="Calibri" w:eastAsia="Times New Roman" w:hAnsi="Calibri" w:cs="Times New Roman"/>
                <w:color w:val="006100"/>
                <w:lang w:eastAsia="zh-CN"/>
              </w:rPr>
            </w:pPr>
            <w:r w:rsidRPr="009166BC">
              <w:rPr>
                <w:rFonts w:ascii="Calibri" w:eastAsia="Times New Roman" w:hAnsi="Calibri" w:cs="Times New Roman"/>
                <w:color w:val="006100"/>
                <w:lang w:eastAsia="zh-CN"/>
              </w:rPr>
              <w:t>254</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23</w:t>
            </w:r>
          </w:p>
        </w:tc>
        <w:tc>
          <w:tcPr>
            <w:tcW w:w="1300" w:type="dxa"/>
            <w:tcBorders>
              <w:top w:val="nil"/>
              <w:left w:val="nil"/>
              <w:bottom w:val="single" w:sz="4" w:space="0" w:color="auto"/>
              <w:right w:val="single" w:sz="4" w:space="0" w:color="auto"/>
            </w:tcBorders>
            <w:shd w:val="clear" w:color="auto" w:fill="auto"/>
            <w:noWrap/>
            <w:vAlign w:val="bottom"/>
            <w:hideMark/>
          </w:tcPr>
          <w:p w:rsidR="0006243C" w:rsidRPr="009166BC" w:rsidRDefault="0006243C" w:rsidP="001648AF">
            <w:pPr>
              <w:jc w:val="center"/>
              <w:rPr>
                <w:rFonts w:ascii="Calibri" w:eastAsia="Times New Roman" w:hAnsi="Calibri" w:cs="Times New Roman"/>
                <w:color w:val="000000"/>
                <w:lang w:eastAsia="zh-CN"/>
              </w:rPr>
            </w:pPr>
            <w:r w:rsidRPr="009166BC">
              <w:rPr>
                <w:rFonts w:ascii="Calibri" w:eastAsia="Times New Roman" w:hAnsi="Calibri" w:cs="Times New Roman"/>
                <w:color w:val="000000"/>
                <w:lang w:eastAsia="zh-CN"/>
              </w:rPr>
              <w:t>17</w:t>
            </w:r>
          </w:p>
        </w:tc>
        <w:tc>
          <w:tcPr>
            <w:tcW w:w="1300" w:type="dxa"/>
            <w:tcBorders>
              <w:top w:val="nil"/>
              <w:left w:val="nil"/>
              <w:bottom w:val="single" w:sz="4" w:space="0" w:color="auto"/>
              <w:right w:val="single" w:sz="4" w:space="0" w:color="auto"/>
            </w:tcBorders>
            <w:shd w:val="clear" w:color="000000" w:fill="C6EFCE"/>
            <w:noWrap/>
            <w:vAlign w:val="bottom"/>
            <w:hideMark/>
          </w:tcPr>
          <w:p w:rsidR="0006243C" w:rsidRPr="009166BC" w:rsidRDefault="0006243C" w:rsidP="001648AF">
            <w:pPr>
              <w:jc w:val="center"/>
              <w:rPr>
                <w:rFonts w:ascii="Calibri" w:eastAsia="Times New Roman" w:hAnsi="Calibri" w:cs="Times New Roman"/>
                <w:color w:val="006100"/>
                <w:lang w:eastAsia="zh-CN"/>
              </w:rPr>
            </w:pPr>
            <w:r w:rsidRPr="009166BC">
              <w:rPr>
                <w:rFonts w:ascii="Calibri" w:eastAsia="Times New Roman" w:hAnsi="Calibri" w:cs="Times New Roman"/>
                <w:color w:val="006100"/>
                <w:lang w:eastAsia="zh-CN"/>
              </w:rPr>
              <w:t>93</w:t>
            </w:r>
          </w:p>
        </w:tc>
      </w:tr>
    </w:tbl>
    <w:p w:rsidR="0006243C" w:rsidRPr="00C07FE4" w:rsidRDefault="0006243C" w:rsidP="0006243C">
      <w:pPr>
        <w:jc w:val="center"/>
        <w:rPr>
          <w:rFonts w:ascii="Helvetica" w:hAnsi="Helvetica"/>
          <w:sz w:val="22"/>
          <w:szCs w:val="22"/>
        </w:rPr>
      </w:pPr>
    </w:p>
    <w:p w:rsidR="0006243C" w:rsidRPr="0006243C" w:rsidRDefault="00E72495" w:rsidP="0006243C">
      <w:pPr>
        <w:rPr>
          <w:rFonts w:ascii="Helvetica" w:hAnsi="Helvetica"/>
          <w:b/>
          <w:bCs/>
          <w:sz w:val="22"/>
          <w:szCs w:val="22"/>
        </w:rPr>
      </w:pPr>
      <w:r>
        <w:rPr>
          <w:rFonts w:ascii="Helvetica" w:hAnsi="Helvetica"/>
          <w:b/>
          <w:sz w:val="22"/>
          <w:szCs w:val="22"/>
        </w:rPr>
        <w:t xml:space="preserve">Additional file 3: </w:t>
      </w:r>
      <w:r w:rsidR="0006243C">
        <w:rPr>
          <w:rFonts w:ascii="Helvetica" w:hAnsi="Helvetica"/>
          <w:b/>
          <w:sz w:val="22"/>
          <w:szCs w:val="22"/>
        </w:rPr>
        <w:t xml:space="preserve">Table </w:t>
      </w:r>
      <w:r w:rsidR="00054B45">
        <w:rPr>
          <w:rFonts w:ascii="Helvetica" w:hAnsi="Helvetica"/>
          <w:b/>
          <w:sz w:val="22"/>
          <w:szCs w:val="22"/>
        </w:rPr>
        <w:t>S</w:t>
      </w:r>
      <w:r w:rsidR="0006243C">
        <w:rPr>
          <w:rFonts w:ascii="Helvetica" w:hAnsi="Helvetica"/>
          <w:b/>
          <w:sz w:val="22"/>
          <w:szCs w:val="22"/>
        </w:rPr>
        <w:t>2.</w:t>
      </w:r>
      <w:r w:rsidR="0006243C">
        <w:rPr>
          <w:rFonts w:ascii="Helvetica" w:hAnsi="Helvetica"/>
          <w:sz w:val="22"/>
          <w:szCs w:val="22"/>
        </w:rPr>
        <w:t xml:space="preserve">  </w:t>
      </w:r>
      <w:r w:rsidR="0006243C">
        <w:rPr>
          <w:rFonts w:ascii="Helvetica" w:hAnsi="Helvetica"/>
          <w:b/>
          <w:bCs/>
          <w:sz w:val="22"/>
          <w:szCs w:val="22"/>
        </w:rPr>
        <w:t xml:space="preserve">Confusion table of Phases vs. Dirichlet multinomial mixture components. </w:t>
      </w:r>
      <w:r w:rsidR="0006243C">
        <w:rPr>
          <w:rFonts w:ascii="Helvetica" w:hAnsi="Helvetica"/>
          <w:sz w:val="22"/>
          <w:szCs w:val="22"/>
        </w:rPr>
        <w:t xml:space="preserve">Each sample was classified as representing a specific phase based on the ratios of </w:t>
      </w:r>
      <w:r w:rsidR="0006243C" w:rsidRPr="00DA5B66">
        <w:rPr>
          <w:rFonts w:ascii="Helvetica" w:hAnsi="Helvetica"/>
          <w:i/>
          <w:sz w:val="22"/>
          <w:szCs w:val="22"/>
        </w:rPr>
        <w:t>Bacilli</w:t>
      </w:r>
      <w:r w:rsidR="0006243C">
        <w:rPr>
          <w:rFonts w:ascii="Helvetica" w:hAnsi="Helvetica"/>
          <w:sz w:val="22"/>
          <w:szCs w:val="22"/>
        </w:rPr>
        <w:t xml:space="preserve">, </w:t>
      </w:r>
      <w:r w:rsidR="0006243C" w:rsidRPr="00DA5B66">
        <w:rPr>
          <w:rFonts w:ascii="Helvetica" w:hAnsi="Helvetica"/>
          <w:i/>
          <w:sz w:val="22"/>
          <w:szCs w:val="22"/>
        </w:rPr>
        <w:t>Gammaproteobacteria</w:t>
      </w:r>
      <w:r w:rsidR="0006243C">
        <w:rPr>
          <w:rFonts w:ascii="Helvetica" w:hAnsi="Helvetica"/>
          <w:sz w:val="22"/>
          <w:szCs w:val="22"/>
        </w:rPr>
        <w:t xml:space="preserve">, and </w:t>
      </w:r>
      <w:r w:rsidR="0006243C" w:rsidRPr="00DA5B66">
        <w:rPr>
          <w:rFonts w:ascii="Helvetica" w:hAnsi="Helvetica"/>
          <w:i/>
          <w:sz w:val="22"/>
          <w:szCs w:val="22"/>
        </w:rPr>
        <w:t>Clostridia</w:t>
      </w:r>
      <w:r w:rsidR="0006243C">
        <w:rPr>
          <w:rFonts w:ascii="Helvetica" w:hAnsi="Helvetica"/>
          <w:sz w:val="22"/>
          <w:szCs w:val="22"/>
        </w:rPr>
        <w:t>, as described.  Independently, each sample was classified as representing a Dirichlet multinomial mixture (DMM) component based on the abundances of all classes of bacteria present.  Each row of the table above indicates the number of samples classified as a given phase, and each column indicates the number of samples classified as a given DMM component. Row/column intersections indicate the number of samples classified as the corresponding phase (row) and DMM component (column).  DMM components are numbered automatically from most common to least common, while phases are numbered according to their order in a model of temporal progression.  Phase 1 is equivalent to DMM component 3; Phase 2 corresponds to DMM component 2; and Phase 3 corresponds to both DMM components 1 and 4.  Colors on the row and column labels indicate these correspondence relationships, and colors internal to the table identify sets of samples where the phase-based and DMM component classifications are in agreement.</w:t>
      </w:r>
    </w:p>
    <w:p w:rsidR="0006243C" w:rsidRDefault="0006243C" w:rsidP="0006243C">
      <w:pPr>
        <w:jc w:val="center"/>
        <w:rPr>
          <w:rFonts w:ascii="Helvetica" w:hAnsi="Helvetica"/>
          <w:sz w:val="22"/>
          <w:szCs w:val="22"/>
        </w:rPr>
      </w:pPr>
    </w:p>
    <w:p w:rsidR="0006243C" w:rsidRDefault="0006243C" w:rsidP="0006243C">
      <w:pPr>
        <w:rPr>
          <w:rFonts w:ascii="Helvetica" w:hAnsi="Helvetica"/>
          <w:sz w:val="22"/>
          <w:szCs w:val="22"/>
        </w:rPr>
      </w:pPr>
    </w:p>
    <w:p w:rsidR="0006243C" w:rsidRDefault="0006243C" w:rsidP="0006243C">
      <w:pPr>
        <w:rPr>
          <w:rFonts w:ascii="Helvetica" w:hAnsi="Helvetica"/>
          <w:sz w:val="22"/>
          <w:szCs w:val="22"/>
        </w:rPr>
      </w:pPr>
      <w:r>
        <w:rPr>
          <w:rFonts w:ascii="Helvetica" w:hAnsi="Helvetica"/>
          <w:sz w:val="22"/>
          <w:szCs w:val="22"/>
        </w:rPr>
        <w:tab/>
        <w:t xml:space="preserve">These observations prompted us to examine why the DMM model split our phase three samples into two DMM components (components one and four).  Upon inspection, DMM component four appears to have more of the canonical characteristics of phase three (mean </w:t>
      </w:r>
      <w:r w:rsidRPr="00DA5B66">
        <w:rPr>
          <w:rFonts w:ascii="Helvetica" w:hAnsi="Helvetica"/>
          <w:i/>
          <w:sz w:val="22"/>
          <w:szCs w:val="22"/>
        </w:rPr>
        <w:t xml:space="preserve">Clostridia </w:t>
      </w:r>
      <w:r>
        <w:rPr>
          <w:rFonts w:ascii="Helvetica" w:hAnsi="Helvetica"/>
          <w:sz w:val="22"/>
          <w:szCs w:val="22"/>
        </w:rPr>
        <w:t xml:space="preserve">abundance = 48.5%, </w:t>
      </w:r>
      <w:r w:rsidRPr="00DA5B66">
        <w:rPr>
          <w:rFonts w:ascii="Helvetica" w:hAnsi="Helvetica"/>
          <w:i/>
          <w:sz w:val="22"/>
          <w:szCs w:val="22"/>
        </w:rPr>
        <w:t>Gammaproteobacteria</w:t>
      </w:r>
      <w:r>
        <w:rPr>
          <w:rFonts w:ascii="Helvetica" w:hAnsi="Helvetica"/>
          <w:sz w:val="22"/>
          <w:szCs w:val="22"/>
        </w:rPr>
        <w:t xml:space="preserve"> = 9.3%, Bacilli = 12.8%), while DMM component one appears to be comprised of samples that exhibit characteristics of both phases two and three, with phase three </w:t>
      </w:r>
      <w:r w:rsidR="001D0DBA">
        <w:rPr>
          <w:rFonts w:ascii="Helvetica" w:hAnsi="Helvetica"/>
          <w:sz w:val="22"/>
          <w:szCs w:val="22"/>
        </w:rPr>
        <w:t>characteristics</w:t>
      </w:r>
      <w:r>
        <w:rPr>
          <w:rFonts w:ascii="Helvetica" w:hAnsi="Helvetica"/>
          <w:sz w:val="22"/>
          <w:szCs w:val="22"/>
        </w:rPr>
        <w:t xml:space="preserve"> being prominent (mean </w:t>
      </w:r>
      <w:r w:rsidRPr="00DA5B66">
        <w:rPr>
          <w:rFonts w:ascii="Helvetica" w:hAnsi="Helvetica"/>
          <w:i/>
          <w:sz w:val="22"/>
          <w:szCs w:val="22"/>
        </w:rPr>
        <w:t>Clostridia</w:t>
      </w:r>
      <w:r>
        <w:rPr>
          <w:rFonts w:ascii="Helvetica" w:hAnsi="Helvetica"/>
          <w:sz w:val="22"/>
          <w:szCs w:val="22"/>
        </w:rPr>
        <w:t xml:space="preserve"> abundance = 39.9%, </w:t>
      </w:r>
      <w:r w:rsidRPr="00DA5B66">
        <w:rPr>
          <w:rFonts w:ascii="Helvetica" w:hAnsi="Helvetica"/>
          <w:i/>
          <w:sz w:val="22"/>
          <w:szCs w:val="22"/>
        </w:rPr>
        <w:t>Gammaproteobacteria</w:t>
      </w:r>
      <w:r>
        <w:rPr>
          <w:rFonts w:ascii="Helvetica" w:hAnsi="Helvetica"/>
          <w:sz w:val="22"/>
          <w:szCs w:val="22"/>
        </w:rPr>
        <w:t xml:space="preserve"> = 36.8%, </w:t>
      </w:r>
      <w:r w:rsidRPr="00DA5B66">
        <w:rPr>
          <w:rFonts w:ascii="Helvetica" w:hAnsi="Helvetica"/>
          <w:i/>
          <w:sz w:val="22"/>
          <w:szCs w:val="22"/>
        </w:rPr>
        <w:t>Bacilli</w:t>
      </w:r>
      <w:r>
        <w:rPr>
          <w:rFonts w:ascii="Helvetica" w:hAnsi="Helvetica"/>
          <w:sz w:val="22"/>
          <w:szCs w:val="22"/>
        </w:rPr>
        <w:t xml:space="preserve"> = 14.2%).  These findings suggest that DMM component one may represent a sort of intermediate or transitional period during which phase three features manifest while phase two features persist in a limited way.  These relationships between phases and DMM components are evident in Weighted </w:t>
      </w:r>
      <w:r w:rsidR="001D0DBA">
        <w:rPr>
          <w:rFonts w:ascii="Helvetica" w:hAnsi="Helvetica"/>
          <w:sz w:val="22"/>
          <w:szCs w:val="22"/>
        </w:rPr>
        <w:t>UniFrac</w:t>
      </w:r>
      <w:r>
        <w:rPr>
          <w:rFonts w:ascii="Helvetica" w:hAnsi="Helvetica"/>
          <w:sz w:val="22"/>
          <w:szCs w:val="22"/>
        </w:rPr>
        <w:t xml:space="preserve"> PCoA plots with samples colored according to phase and DMM component </w:t>
      </w:r>
      <w:r w:rsidRPr="0006243C">
        <w:rPr>
          <w:rFonts w:ascii="Helvetica" w:hAnsi="Helvetica"/>
          <w:b/>
          <w:sz w:val="22"/>
          <w:szCs w:val="22"/>
        </w:rPr>
        <w:t xml:space="preserve">(Supplemental </w:t>
      </w:r>
      <w:r w:rsidR="00054B45">
        <w:rPr>
          <w:rFonts w:ascii="Helvetica" w:hAnsi="Helvetica"/>
          <w:b/>
          <w:sz w:val="22"/>
          <w:szCs w:val="22"/>
        </w:rPr>
        <w:t xml:space="preserve">Material, </w:t>
      </w:r>
      <w:r w:rsidRPr="0006243C">
        <w:rPr>
          <w:rFonts w:ascii="Helvetica" w:hAnsi="Helvetica"/>
          <w:b/>
          <w:sz w:val="22"/>
          <w:szCs w:val="22"/>
        </w:rPr>
        <w:t xml:space="preserve">Figures </w:t>
      </w:r>
      <w:r w:rsidR="00054B45">
        <w:rPr>
          <w:rFonts w:ascii="Helvetica" w:hAnsi="Helvetica"/>
          <w:b/>
          <w:sz w:val="22"/>
          <w:szCs w:val="22"/>
        </w:rPr>
        <w:t>S</w:t>
      </w:r>
      <w:r w:rsidRPr="0006243C">
        <w:rPr>
          <w:rFonts w:ascii="Helvetica" w:hAnsi="Helvetica"/>
          <w:b/>
          <w:sz w:val="22"/>
          <w:szCs w:val="22"/>
        </w:rPr>
        <w:t>4</w:t>
      </w:r>
      <w:r w:rsidR="00054B45">
        <w:rPr>
          <w:rFonts w:ascii="Helvetica" w:hAnsi="Helvetica"/>
          <w:b/>
          <w:sz w:val="22"/>
          <w:szCs w:val="22"/>
        </w:rPr>
        <w:t>A-</w:t>
      </w:r>
      <w:r w:rsidRPr="0006243C">
        <w:rPr>
          <w:rFonts w:ascii="Helvetica" w:hAnsi="Helvetica"/>
          <w:b/>
          <w:sz w:val="22"/>
          <w:szCs w:val="22"/>
        </w:rPr>
        <w:t>B)</w:t>
      </w:r>
      <w:r>
        <w:rPr>
          <w:rFonts w:ascii="Helvetica" w:hAnsi="Helvetica"/>
          <w:sz w:val="22"/>
          <w:szCs w:val="22"/>
        </w:rPr>
        <w:t>.  Samples are concentrated at three corners of a triangle-like structure with each corner corresponding to a phase.  Coloring the samples by DMM component reveals that component one samples are concentrated in the region between the phase two and phase three clusters.  The temporal distribution of DMM components one and four are consistent with these observations, with the mean day of life and the mean post menstrual age of component four samples being approximately two weeks later than those of component one samples (p-value ≈ 0.0).</w:t>
      </w:r>
    </w:p>
    <w:p w:rsidR="0006243C" w:rsidRPr="009166BC" w:rsidRDefault="0006243C" w:rsidP="0006243C">
      <w:pPr>
        <w:rPr>
          <w:rFonts w:ascii="Helvetica" w:hAnsi="Helvetica"/>
          <w:sz w:val="22"/>
          <w:szCs w:val="22"/>
        </w:rPr>
      </w:pPr>
      <w:r>
        <w:rPr>
          <w:rFonts w:ascii="Helvetica" w:hAnsi="Helvetica"/>
          <w:sz w:val="22"/>
          <w:szCs w:val="22"/>
        </w:rPr>
        <w:tab/>
        <w:t xml:space="preserve">We believe the results of this DMM model-based analysis support our phase-based clustering approach, as evidenced by the high degree of concordance between phase and DMM component classification.  The fact that the best DMM model fit was achieved with four components instead of three, and that this corresponds to splitting our phase three cluster into two sub-clusters, is not inconsistent or incompatible with our phase-based paradigm.  In the phase model, the </w:t>
      </w:r>
      <w:r w:rsidRPr="00DA5B66">
        <w:rPr>
          <w:rFonts w:ascii="Helvetica" w:hAnsi="Helvetica"/>
          <w:i/>
          <w:sz w:val="22"/>
          <w:szCs w:val="22"/>
        </w:rPr>
        <w:t>Bacilli</w:t>
      </w:r>
      <w:r>
        <w:rPr>
          <w:rFonts w:ascii="Helvetica" w:hAnsi="Helvetica"/>
          <w:sz w:val="22"/>
          <w:szCs w:val="22"/>
        </w:rPr>
        <w:t xml:space="preserve"> characteristic of phase one give way to the </w:t>
      </w:r>
      <w:r w:rsidRPr="00DA5B66">
        <w:rPr>
          <w:rFonts w:ascii="Helvetica" w:hAnsi="Helvetica"/>
          <w:i/>
          <w:sz w:val="22"/>
          <w:szCs w:val="22"/>
        </w:rPr>
        <w:t>Gammaproteobacteria</w:t>
      </w:r>
      <w:r>
        <w:rPr>
          <w:rFonts w:ascii="Helvetica" w:hAnsi="Helvetica"/>
          <w:sz w:val="22"/>
          <w:szCs w:val="22"/>
        </w:rPr>
        <w:t xml:space="preserve"> characteristic of phase two and diminish dramatically – often nearly disappearing – in the process.  The transition between phase two and three differs in that phase three is not distinguished so much by the disappearance of </w:t>
      </w:r>
      <w:r w:rsidRPr="00DA5B66">
        <w:rPr>
          <w:rFonts w:ascii="Helvetica" w:hAnsi="Helvetica"/>
          <w:i/>
          <w:sz w:val="22"/>
          <w:szCs w:val="22"/>
        </w:rPr>
        <w:t>Gammaproteobacteria</w:t>
      </w:r>
      <w:r>
        <w:rPr>
          <w:rFonts w:ascii="Helvetica" w:hAnsi="Helvetica"/>
          <w:sz w:val="22"/>
          <w:szCs w:val="22"/>
        </w:rPr>
        <w:t xml:space="preserve"> as it is by the sudden </w:t>
      </w:r>
      <w:r>
        <w:rPr>
          <w:rFonts w:ascii="Helvetica" w:hAnsi="Helvetica"/>
          <w:sz w:val="22"/>
          <w:szCs w:val="22"/>
        </w:rPr>
        <w:lastRenderedPageBreak/>
        <w:t xml:space="preserve">emergence of </w:t>
      </w:r>
      <w:r w:rsidRPr="00DA5B66">
        <w:rPr>
          <w:rFonts w:ascii="Helvetica" w:hAnsi="Helvetica"/>
          <w:i/>
          <w:sz w:val="22"/>
          <w:szCs w:val="22"/>
        </w:rPr>
        <w:t>Clostridia</w:t>
      </w:r>
      <w:r>
        <w:rPr>
          <w:rFonts w:ascii="Helvetica" w:hAnsi="Helvetica"/>
          <w:sz w:val="22"/>
          <w:szCs w:val="22"/>
        </w:rPr>
        <w:t xml:space="preserve"> at significant levels.  </w:t>
      </w:r>
      <w:r w:rsidRPr="00DA5B66">
        <w:rPr>
          <w:rFonts w:ascii="Helvetica" w:hAnsi="Helvetica"/>
          <w:i/>
          <w:sz w:val="22"/>
          <w:szCs w:val="22"/>
        </w:rPr>
        <w:t>Gammaproteobacteria</w:t>
      </w:r>
      <w:r>
        <w:rPr>
          <w:rFonts w:ascii="Helvetica" w:hAnsi="Helvetica"/>
          <w:sz w:val="22"/>
          <w:szCs w:val="22"/>
        </w:rPr>
        <w:t xml:space="preserve"> are seen to persist at appreciable abundances in phase three, while </w:t>
      </w:r>
      <w:r w:rsidRPr="00DA5B66">
        <w:rPr>
          <w:rFonts w:ascii="Helvetica" w:hAnsi="Helvetica"/>
          <w:i/>
          <w:sz w:val="22"/>
          <w:szCs w:val="22"/>
        </w:rPr>
        <w:t>Clostridia</w:t>
      </w:r>
      <w:r>
        <w:rPr>
          <w:rFonts w:ascii="Helvetica" w:hAnsi="Helvetica"/>
          <w:sz w:val="22"/>
          <w:szCs w:val="22"/>
        </w:rPr>
        <w:t xml:space="preserve"> appear to bloom and then continue to flourish.  Accordingly, the primary distinction between DMM components two and one is the prominence of </w:t>
      </w:r>
      <w:r w:rsidRPr="00DA5B66">
        <w:rPr>
          <w:rFonts w:ascii="Helvetica" w:hAnsi="Helvetica"/>
          <w:i/>
          <w:sz w:val="22"/>
          <w:szCs w:val="22"/>
        </w:rPr>
        <w:t>Clostridia</w:t>
      </w:r>
      <w:r>
        <w:rPr>
          <w:rFonts w:ascii="Helvetica" w:hAnsi="Helvetica"/>
          <w:sz w:val="22"/>
          <w:szCs w:val="22"/>
        </w:rPr>
        <w:t xml:space="preserve"> in component one.  The distinction between DMM components one and four is less of a bright line, and is characterized by substantial abundance of </w:t>
      </w:r>
      <w:r w:rsidRPr="00DA5B66">
        <w:rPr>
          <w:rFonts w:ascii="Helvetica" w:hAnsi="Helvetica"/>
          <w:i/>
          <w:sz w:val="22"/>
          <w:szCs w:val="22"/>
        </w:rPr>
        <w:t>Clostridia</w:t>
      </w:r>
      <w:r>
        <w:rPr>
          <w:rFonts w:ascii="Helvetica" w:hAnsi="Helvetica"/>
          <w:sz w:val="22"/>
          <w:szCs w:val="22"/>
        </w:rPr>
        <w:t xml:space="preserve"> concurrent with significantly diminished </w:t>
      </w:r>
      <w:r w:rsidRPr="00DA5B66">
        <w:rPr>
          <w:rFonts w:ascii="Helvetica" w:hAnsi="Helvetica"/>
          <w:i/>
          <w:sz w:val="22"/>
          <w:szCs w:val="22"/>
        </w:rPr>
        <w:t>Gammaproteobacteria</w:t>
      </w:r>
      <w:r>
        <w:rPr>
          <w:rFonts w:ascii="Helvetica" w:hAnsi="Helvetica"/>
          <w:sz w:val="22"/>
          <w:szCs w:val="22"/>
        </w:rPr>
        <w:t xml:space="preserve"> in component four.  The hallmarks of phase three – significant abundance of </w:t>
      </w:r>
      <w:r w:rsidRPr="00DA5B66">
        <w:rPr>
          <w:rFonts w:ascii="Helvetica" w:hAnsi="Helvetica"/>
          <w:i/>
          <w:sz w:val="22"/>
          <w:szCs w:val="22"/>
        </w:rPr>
        <w:t>Clostridia</w:t>
      </w:r>
      <w:r>
        <w:rPr>
          <w:rFonts w:ascii="Helvetica" w:hAnsi="Helvetica"/>
          <w:sz w:val="22"/>
          <w:szCs w:val="22"/>
        </w:rPr>
        <w:t xml:space="preserve"> and high diversity – are manifest in both DMM components one and four, with component four representing a more mature sub-type of phase three.  Both components one and four are easily distinguishable from phases one and two, and both likely indicate the developmental milestone that we have identified as phase three, which is characterized by the ability of the infant gut to support substantial levels and varieties of obligate anaerobic </w:t>
      </w:r>
      <w:r w:rsidRPr="00DA5B66">
        <w:rPr>
          <w:rFonts w:ascii="Helvetica" w:hAnsi="Helvetica"/>
          <w:i/>
          <w:sz w:val="22"/>
          <w:szCs w:val="22"/>
        </w:rPr>
        <w:t>Clostridia</w:t>
      </w:r>
      <w:r>
        <w:rPr>
          <w:rFonts w:ascii="Helvetica" w:hAnsi="Helvetica"/>
          <w:sz w:val="22"/>
          <w:szCs w:val="22"/>
        </w:rPr>
        <w:t>.</w:t>
      </w:r>
    </w:p>
    <w:p w:rsidR="00D84364" w:rsidRDefault="00D84364"/>
    <w:sectPr w:rsidR="00D84364" w:rsidSect="00572C6E">
      <w:pgSz w:w="12240" w:h="15840"/>
      <w:pgMar w:top="1440" w:right="1440" w:bottom="1440" w:left="1440" w:header="720" w:footer="720" w:gutter="0"/>
      <w:cols w:space="720"/>
      <w:docGrid w:linePitch="40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docVars>
    <w:docVar w:name="Total_Editing_Time" w:val="0"/>
  </w:docVars>
  <w:rsids>
    <w:rsidRoot w:val="0006243C"/>
    <w:rsid w:val="0000301E"/>
    <w:rsid w:val="00003556"/>
    <w:rsid w:val="000048B0"/>
    <w:rsid w:val="0000572A"/>
    <w:rsid w:val="00007B59"/>
    <w:rsid w:val="00013BB6"/>
    <w:rsid w:val="00013F60"/>
    <w:rsid w:val="0001785D"/>
    <w:rsid w:val="000212C7"/>
    <w:rsid w:val="00031E90"/>
    <w:rsid w:val="0003504B"/>
    <w:rsid w:val="00040EBE"/>
    <w:rsid w:val="00041194"/>
    <w:rsid w:val="00042FDD"/>
    <w:rsid w:val="00044A43"/>
    <w:rsid w:val="00052D94"/>
    <w:rsid w:val="00053A27"/>
    <w:rsid w:val="00054B45"/>
    <w:rsid w:val="00056396"/>
    <w:rsid w:val="00062210"/>
    <w:rsid w:val="0006243C"/>
    <w:rsid w:val="00063C64"/>
    <w:rsid w:val="0006539B"/>
    <w:rsid w:val="00074A1F"/>
    <w:rsid w:val="00074C1C"/>
    <w:rsid w:val="000774C2"/>
    <w:rsid w:val="00091270"/>
    <w:rsid w:val="00091A1F"/>
    <w:rsid w:val="00091B1B"/>
    <w:rsid w:val="00091F50"/>
    <w:rsid w:val="00092CCB"/>
    <w:rsid w:val="0009550E"/>
    <w:rsid w:val="000A2A09"/>
    <w:rsid w:val="000A2BE6"/>
    <w:rsid w:val="000A3D5B"/>
    <w:rsid w:val="000B2C09"/>
    <w:rsid w:val="000B3C92"/>
    <w:rsid w:val="000B3C9D"/>
    <w:rsid w:val="000B6FDA"/>
    <w:rsid w:val="000C0A93"/>
    <w:rsid w:val="000C61CD"/>
    <w:rsid w:val="000C6AD3"/>
    <w:rsid w:val="000D2D0C"/>
    <w:rsid w:val="000D5101"/>
    <w:rsid w:val="000E3CD0"/>
    <w:rsid w:val="000E500C"/>
    <w:rsid w:val="000F1B74"/>
    <w:rsid w:val="000F690A"/>
    <w:rsid w:val="000F7580"/>
    <w:rsid w:val="00100B32"/>
    <w:rsid w:val="00104EEA"/>
    <w:rsid w:val="001069AC"/>
    <w:rsid w:val="00107808"/>
    <w:rsid w:val="001128F3"/>
    <w:rsid w:val="00114350"/>
    <w:rsid w:val="001165E4"/>
    <w:rsid w:val="00117806"/>
    <w:rsid w:val="001210AD"/>
    <w:rsid w:val="00122408"/>
    <w:rsid w:val="00122496"/>
    <w:rsid w:val="001239D7"/>
    <w:rsid w:val="00123C1F"/>
    <w:rsid w:val="00125A7A"/>
    <w:rsid w:val="0013008B"/>
    <w:rsid w:val="00140559"/>
    <w:rsid w:val="0014344C"/>
    <w:rsid w:val="00150965"/>
    <w:rsid w:val="00152E1C"/>
    <w:rsid w:val="001534EE"/>
    <w:rsid w:val="00153504"/>
    <w:rsid w:val="00157156"/>
    <w:rsid w:val="001614EB"/>
    <w:rsid w:val="00164D43"/>
    <w:rsid w:val="001656C4"/>
    <w:rsid w:val="00165D65"/>
    <w:rsid w:val="001758DF"/>
    <w:rsid w:val="00177101"/>
    <w:rsid w:val="0018060B"/>
    <w:rsid w:val="00181049"/>
    <w:rsid w:val="0018206B"/>
    <w:rsid w:val="00182F49"/>
    <w:rsid w:val="00187599"/>
    <w:rsid w:val="00191CEA"/>
    <w:rsid w:val="001920CA"/>
    <w:rsid w:val="00194821"/>
    <w:rsid w:val="001B1B81"/>
    <w:rsid w:val="001B3300"/>
    <w:rsid w:val="001B4556"/>
    <w:rsid w:val="001B556F"/>
    <w:rsid w:val="001C0B95"/>
    <w:rsid w:val="001C2164"/>
    <w:rsid w:val="001C3196"/>
    <w:rsid w:val="001C55F9"/>
    <w:rsid w:val="001C68FF"/>
    <w:rsid w:val="001C7105"/>
    <w:rsid w:val="001C7997"/>
    <w:rsid w:val="001D0DBA"/>
    <w:rsid w:val="001D165D"/>
    <w:rsid w:val="001D2B15"/>
    <w:rsid w:val="001D3C35"/>
    <w:rsid w:val="001D473F"/>
    <w:rsid w:val="001D7471"/>
    <w:rsid w:val="001E0C90"/>
    <w:rsid w:val="001E0EF9"/>
    <w:rsid w:val="001E199D"/>
    <w:rsid w:val="001E28C7"/>
    <w:rsid w:val="001E2ADE"/>
    <w:rsid w:val="001E2EA9"/>
    <w:rsid w:val="001E4A85"/>
    <w:rsid w:val="001F5288"/>
    <w:rsid w:val="001F6A97"/>
    <w:rsid w:val="001F7BFE"/>
    <w:rsid w:val="00201E44"/>
    <w:rsid w:val="00203682"/>
    <w:rsid w:val="00204DEC"/>
    <w:rsid w:val="00210680"/>
    <w:rsid w:val="00210BF4"/>
    <w:rsid w:val="00211EB4"/>
    <w:rsid w:val="002125B0"/>
    <w:rsid w:val="00212D24"/>
    <w:rsid w:val="002166AC"/>
    <w:rsid w:val="0022035B"/>
    <w:rsid w:val="00221CF1"/>
    <w:rsid w:val="00224339"/>
    <w:rsid w:val="00226291"/>
    <w:rsid w:val="002301D5"/>
    <w:rsid w:val="00242DC0"/>
    <w:rsid w:val="00244978"/>
    <w:rsid w:val="0024614C"/>
    <w:rsid w:val="0024749E"/>
    <w:rsid w:val="002607CA"/>
    <w:rsid w:val="0026719B"/>
    <w:rsid w:val="00270785"/>
    <w:rsid w:val="00273649"/>
    <w:rsid w:val="00277565"/>
    <w:rsid w:val="00281FA4"/>
    <w:rsid w:val="00285D52"/>
    <w:rsid w:val="00291D3E"/>
    <w:rsid w:val="002950C6"/>
    <w:rsid w:val="002A42DA"/>
    <w:rsid w:val="002A4FCD"/>
    <w:rsid w:val="002B13C9"/>
    <w:rsid w:val="002B3EB4"/>
    <w:rsid w:val="002B547E"/>
    <w:rsid w:val="002C12C1"/>
    <w:rsid w:val="002C1DDE"/>
    <w:rsid w:val="002C4AA4"/>
    <w:rsid w:val="002C6439"/>
    <w:rsid w:val="002C6B23"/>
    <w:rsid w:val="002D191D"/>
    <w:rsid w:val="002D5113"/>
    <w:rsid w:val="002D7135"/>
    <w:rsid w:val="002D7E26"/>
    <w:rsid w:val="002E1823"/>
    <w:rsid w:val="002E321D"/>
    <w:rsid w:val="002E5ED3"/>
    <w:rsid w:val="002E64F0"/>
    <w:rsid w:val="002F16F3"/>
    <w:rsid w:val="002F1CDF"/>
    <w:rsid w:val="002F2E84"/>
    <w:rsid w:val="002F42A3"/>
    <w:rsid w:val="002F579F"/>
    <w:rsid w:val="002F59FD"/>
    <w:rsid w:val="002F5BE2"/>
    <w:rsid w:val="002F62B4"/>
    <w:rsid w:val="002F71FE"/>
    <w:rsid w:val="002F770E"/>
    <w:rsid w:val="003019AF"/>
    <w:rsid w:val="0030422A"/>
    <w:rsid w:val="00307733"/>
    <w:rsid w:val="0031217E"/>
    <w:rsid w:val="00313D5F"/>
    <w:rsid w:val="003148DD"/>
    <w:rsid w:val="0031540C"/>
    <w:rsid w:val="00315EDA"/>
    <w:rsid w:val="00323664"/>
    <w:rsid w:val="00325BF2"/>
    <w:rsid w:val="00326A70"/>
    <w:rsid w:val="003279EE"/>
    <w:rsid w:val="00332A38"/>
    <w:rsid w:val="00337136"/>
    <w:rsid w:val="00340348"/>
    <w:rsid w:val="00343A30"/>
    <w:rsid w:val="003451EE"/>
    <w:rsid w:val="00345DD1"/>
    <w:rsid w:val="00346AAF"/>
    <w:rsid w:val="0035086E"/>
    <w:rsid w:val="003513A1"/>
    <w:rsid w:val="003514FE"/>
    <w:rsid w:val="00354F4C"/>
    <w:rsid w:val="00355F6D"/>
    <w:rsid w:val="00361551"/>
    <w:rsid w:val="00361E35"/>
    <w:rsid w:val="003623D3"/>
    <w:rsid w:val="0036512C"/>
    <w:rsid w:val="00365DE3"/>
    <w:rsid w:val="00367F8B"/>
    <w:rsid w:val="00370CDC"/>
    <w:rsid w:val="00371417"/>
    <w:rsid w:val="00375983"/>
    <w:rsid w:val="00376D61"/>
    <w:rsid w:val="00377F47"/>
    <w:rsid w:val="00380D3C"/>
    <w:rsid w:val="003810DB"/>
    <w:rsid w:val="003830ED"/>
    <w:rsid w:val="003833BA"/>
    <w:rsid w:val="0038409B"/>
    <w:rsid w:val="00385FA9"/>
    <w:rsid w:val="00390EBE"/>
    <w:rsid w:val="00391F2D"/>
    <w:rsid w:val="0039321C"/>
    <w:rsid w:val="003939B1"/>
    <w:rsid w:val="00394328"/>
    <w:rsid w:val="003959D7"/>
    <w:rsid w:val="003A166C"/>
    <w:rsid w:val="003A166F"/>
    <w:rsid w:val="003A5C38"/>
    <w:rsid w:val="003A6BBD"/>
    <w:rsid w:val="003B3D36"/>
    <w:rsid w:val="003B631B"/>
    <w:rsid w:val="003B7BCD"/>
    <w:rsid w:val="003C08D9"/>
    <w:rsid w:val="003C22D9"/>
    <w:rsid w:val="003D2CB1"/>
    <w:rsid w:val="003D3231"/>
    <w:rsid w:val="003D3343"/>
    <w:rsid w:val="003D712F"/>
    <w:rsid w:val="003D7352"/>
    <w:rsid w:val="003D7BCD"/>
    <w:rsid w:val="003E2B84"/>
    <w:rsid w:val="003E5F86"/>
    <w:rsid w:val="003E7DDF"/>
    <w:rsid w:val="003F7EDE"/>
    <w:rsid w:val="004005BF"/>
    <w:rsid w:val="00403F66"/>
    <w:rsid w:val="00405BD8"/>
    <w:rsid w:val="004115D5"/>
    <w:rsid w:val="0041296B"/>
    <w:rsid w:val="00412D54"/>
    <w:rsid w:val="004152FB"/>
    <w:rsid w:val="004157F0"/>
    <w:rsid w:val="004161CC"/>
    <w:rsid w:val="00420DF3"/>
    <w:rsid w:val="00421D62"/>
    <w:rsid w:val="00421F77"/>
    <w:rsid w:val="00424B57"/>
    <w:rsid w:val="004262FD"/>
    <w:rsid w:val="00430480"/>
    <w:rsid w:val="00431928"/>
    <w:rsid w:val="00431DF8"/>
    <w:rsid w:val="004322E6"/>
    <w:rsid w:val="0043523B"/>
    <w:rsid w:val="00440A9E"/>
    <w:rsid w:val="00442C7C"/>
    <w:rsid w:val="0044382F"/>
    <w:rsid w:val="00444B38"/>
    <w:rsid w:val="004515AA"/>
    <w:rsid w:val="00451778"/>
    <w:rsid w:val="00453721"/>
    <w:rsid w:val="004556C3"/>
    <w:rsid w:val="004557E7"/>
    <w:rsid w:val="004567BB"/>
    <w:rsid w:val="00461925"/>
    <w:rsid w:val="00463000"/>
    <w:rsid w:val="0046395C"/>
    <w:rsid w:val="00473473"/>
    <w:rsid w:val="00473475"/>
    <w:rsid w:val="00474B04"/>
    <w:rsid w:val="00483463"/>
    <w:rsid w:val="00483E6D"/>
    <w:rsid w:val="00490695"/>
    <w:rsid w:val="00490F93"/>
    <w:rsid w:val="00491D7B"/>
    <w:rsid w:val="00495878"/>
    <w:rsid w:val="004A104F"/>
    <w:rsid w:val="004A127E"/>
    <w:rsid w:val="004A25C7"/>
    <w:rsid w:val="004A2DFB"/>
    <w:rsid w:val="004A405F"/>
    <w:rsid w:val="004A44CA"/>
    <w:rsid w:val="004A5C07"/>
    <w:rsid w:val="004B585E"/>
    <w:rsid w:val="004B603A"/>
    <w:rsid w:val="004C1D2B"/>
    <w:rsid w:val="004C2E83"/>
    <w:rsid w:val="004C57E2"/>
    <w:rsid w:val="004C7F36"/>
    <w:rsid w:val="004D1F01"/>
    <w:rsid w:val="004D3333"/>
    <w:rsid w:val="004E0E4D"/>
    <w:rsid w:val="004E6254"/>
    <w:rsid w:val="004E6B64"/>
    <w:rsid w:val="004F2841"/>
    <w:rsid w:val="004F6FFF"/>
    <w:rsid w:val="00500127"/>
    <w:rsid w:val="005028CF"/>
    <w:rsid w:val="00505A2F"/>
    <w:rsid w:val="00511F29"/>
    <w:rsid w:val="00512D1F"/>
    <w:rsid w:val="0051410E"/>
    <w:rsid w:val="00516C8C"/>
    <w:rsid w:val="00516EAB"/>
    <w:rsid w:val="00517BEF"/>
    <w:rsid w:val="00521224"/>
    <w:rsid w:val="00522554"/>
    <w:rsid w:val="005272E9"/>
    <w:rsid w:val="00531049"/>
    <w:rsid w:val="005322C5"/>
    <w:rsid w:val="005357B3"/>
    <w:rsid w:val="00535926"/>
    <w:rsid w:val="00537D89"/>
    <w:rsid w:val="00541DB9"/>
    <w:rsid w:val="00545BE2"/>
    <w:rsid w:val="005465E0"/>
    <w:rsid w:val="005508AA"/>
    <w:rsid w:val="005509E9"/>
    <w:rsid w:val="005512B1"/>
    <w:rsid w:val="00552242"/>
    <w:rsid w:val="005551C8"/>
    <w:rsid w:val="00555F95"/>
    <w:rsid w:val="0055799C"/>
    <w:rsid w:val="00573663"/>
    <w:rsid w:val="005766DE"/>
    <w:rsid w:val="005807D0"/>
    <w:rsid w:val="005810D6"/>
    <w:rsid w:val="00581EE1"/>
    <w:rsid w:val="005825B2"/>
    <w:rsid w:val="00583306"/>
    <w:rsid w:val="00583E52"/>
    <w:rsid w:val="00583FF3"/>
    <w:rsid w:val="005858F9"/>
    <w:rsid w:val="00586D55"/>
    <w:rsid w:val="00590069"/>
    <w:rsid w:val="005910AC"/>
    <w:rsid w:val="00591662"/>
    <w:rsid w:val="005A0FBD"/>
    <w:rsid w:val="005B02A7"/>
    <w:rsid w:val="005B06D8"/>
    <w:rsid w:val="005B23AE"/>
    <w:rsid w:val="005B4D61"/>
    <w:rsid w:val="005B56D4"/>
    <w:rsid w:val="005C417A"/>
    <w:rsid w:val="005C5775"/>
    <w:rsid w:val="005C5EB0"/>
    <w:rsid w:val="005D2F08"/>
    <w:rsid w:val="005D594B"/>
    <w:rsid w:val="005F151F"/>
    <w:rsid w:val="005F2DAC"/>
    <w:rsid w:val="005F2DC4"/>
    <w:rsid w:val="005F600B"/>
    <w:rsid w:val="005F61D7"/>
    <w:rsid w:val="005F6C4D"/>
    <w:rsid w:val="00600129"/>
    <w:rsid w:val="00610405"/>
    <w:rsid w:val="00610E3B"/>
    <w:rsid w:val="006127CD"/>
    <w:rsid w:val="00614121"/>
    <w:rsid w:val="0061506B"/>
    <w:rsid w:val="00615969"/>
    <w:rsid w:val="00620D29"/>
    <w:rsid w:val="006236F8"/>
    <w:rsid w:val="00627BEE"/>
    <w:rsid w:val="00630FBB"/>
    <w:rsid w:val="00631DC2"/>
    <w:rsid w:val="006346CD"/>
    <w:rsid w:val="00635BA7"/>
    <w:rsid w:val="00643C64"/>
    <w:rsid w:val="006447D3"/>
    <w:rsid w:val="00654298"/>
    <w:rsid w:val="0066073A"/>
    <w:rsid w:val="006615A0"/>
    <w:rsid w:val="00661833"/>
    <w:rsid w:val="00661A17"/>
    <w:rsid w:val="00662F87"/>
    <w:rsid w:val="00665FD9"/>
    <w:rsid w:val="00671C50"/>
    <w:rsid w:val="00672185"/>
    <w:rsid w:val="00677897"/>
    <w:rsid w:val="006807EC"/>
    <w:rsid w:val="00681382"/>
    <w:rsid w:val="00682E1A"/>
    <w:rsid w:val="00684DA7"/>
    <w:rsid w:val="00685706"/>
    <w:rsid w:val="006859E2"/>
    <w:rsid w:val="006867F5"/>
    <w:rsid w:val="00686DDB"/>
    <w:rsid w:val="00687CE5"/>
    <w:rsid w:val="006A0C90"/>
    <w:rsid w:val="006A6FEA"/>
    <w:rsid w:val="006B2A45"/>
    <w:rsid w:val="006C06AF"/>
    <w:rsid w:val="006C09B6"/>
    <w:rsid w:val="006C0F21"/>
    <w:rsid w:val="006C3BDF"/>
    <w:rsid w:val="006C4FDF"/>
    <w:rsid w:val="006C5F0E"/>
    <w:rsid w:val="006C73B0"/>
    <w:rsid w:val="006D0100"/>
    <w:rsid w:val="006D11B5"/>
    <w:rsid w:val="006D4CDC"/>
    <w:rsid w:val="006D5F0C"/>
    <w:rsid w:val="006D7B8D"/>
    <w:rsid w:val="006E1185"/>
    <w:rsid w:val="006F1D7B"/>
    <w:rsid w:val="006F66CA"/>
    <w:rsid w:val="00700F14"/>
    <w:rsid w:val="007020B7"/>
    <w:rsid w:val="00705D68"/>
    <w:rsid w:val="00720BA0"/>
    <w:rsid w:val="00722156"/>
    <w:rsid w:val="0073654C"/>
    <w:rsid w:val="0073675B"/>
    <w:rsid w:val="007475FF"/>
    <w:rsid w:val="0076257B"/>
    <w:rsid w:val="00763576"/>
    <w:rsid w:val="0076652C"/>
    <w:rsid w:val="00767566"/>
    <w:rsid w:val="0077247C"/>
    <w:rsid w:val="00772D78"/>
    <w:rsid w:val="00774559"/>
    <w:rsid w:val="00774765"/>
    <w:rsid w:val="007805B8"/>
    <w:rsid w:val="00783B97"/>
    <w:rsid w:val="00787CB9"/>
    <w:rsid w:val="00791D72"/>
    <w:rsid w:val="00796EBE"/>
    <w:rsid w:val="007A1E0D"/>
    <w:rsid w:val="007A2088"/>
    <w:rsid w:val="007A39BC"/>
    <w:rsid w:val="007A454C"/>
    <w:rsid w:val="007A75CB"/>
    <w:rsid w:val="007B0B34"/>
    <w:rsid w:val="007B1B31"/>
    <w:rsid w:val="007B1F42"/>
    <w:rsid w:val="007B3BC7"/>
    <w:rsid w:val="007B413C"/>
    <w:rsid w:val="007C1732"/>
    <w:rsid w:val="007C30D2"/>
    <w:rsid w:val="007C34C2"/>
    <w:rsid w:val="007C5CBB"/>
    <w:rsid w:val="007D0024"/>
    <w:rsid w:val="007D105A"/>
    <w:rsid w:val="007D76A1"/>
    <w:rsid w:val="007D785A"/>
    <w:rsid w:val="007E0EAC"/>
    <w:rsid w:val="007E6F01"/>
    <w:rsid w:val="007E6F7C"/>
    <w:rsid w:val="007F22F9"/>
    <w:rsid w:val="007F2CDA"/>
    <w:rsid w:val="007F32DC"/>
    <w:rsid w:val="007F3E7D"/>
    <w:rsid w:val="008020DB"/>
    <w:rsid w:val="008055CB"/>
    <w:rsid w:val="00805B13"/>
    <w:rsid w:val="008115CB"/>
    <w:rsid w:val="00812EB0"/>
    <w:rsid w:val="008132F8"/>
    <w:rsid w:val="0082162A"/>
    <w:rsid w:val="00822B7C"/>
    <w:rsid w:val="00831E87"/>
    <w:rsid w:val="00834E10"/>
    <w:rsid w:val="00837B1D"/>
    <w:rsid w:val="00840E3C"/>
    <w:rsid w:val="00846BF9"/>
    <w:rsid w:val="0085252D"/>
    <w:rsid w:val="008562B1"/>
    <w:rsid w:val="00856F41"/>
    <w:rsid w:val="00857617"/>
    <w:rsid w:val="008625A4"/>
    <w:rsid w:val="008669F6"/>
    <w:rsid w:val="008673B3"/>
    <w:rsid w:val="00877B60"/>
    <w:rsid w:val="008828BC"/>
    <w:rsid w:val="00884ABC"/>
    <w:rsid w:val="00886099"/>
    <w:rsid w:val="0089291E"/>
    <w:rsid w:val="0089303D"/>
    <w:rsid w:val="00893153"/>
    <w:rsid w:val="00895F9F"/>
    <w:rsid w:val="00897B76"/>
    <w:rsid w:val="008A0125"/>
    <w:rsid w:val="008A0E0C"/>
    <w:rsid w:val="008A2752"/>
    <w:rsid w:val="008A306F"/>
    <w:rsid w:val="008A6A33"/>
    <w:rsid w:val="008A78FC"/>
    <w:rsid w:val="008B0AC9"/>
    <w:rsid w:val="008B39FF"/>
    <w:rsid w:val="008B3F73"/>
    <w:rsid w:val="008B4089"/>
    <w:rsid w:val="008B4F7D"/>
    <w:rsid w:val="008B598F"/>
    <w:rsid w:val="008C1473"/>
    <w:rsid w:val="008C34DD"/>
    <w:rsid w:val="008C40CF"/>
    <w:rsid w:val="008C5A35"/>
    <w:rsid w:val="008C601C"/>
    <w:rsid w:val="008D093D"/>
    <w:rsid w:val="008D1C69"/>
    <w:rsid w:val="008D1DF4"/>
    <w:rsid w:val="008D24C1"/>
    <w:rsid w:val="008D3722"/>
    <w:rsid w:val="008E0ED4"/>
    <w:rsid w:val="008E1EBE"/>
    <w:rsid w:val="008E22EC"/>
    <w:rsid w:val="008E238F"/>
    <w:rsid w:val="008E32D7"/>
    <w:rsid w:val="008E3ED8"/>
    <w:rsid w:val="008E4E29"/>
    <w:rsid w:val="008F0195"/>
    <w:rsid w:val="008F02A3"/>
    <w:rsid w:val="008F05B0"/>
    <w:rsid w:val="008F2CA8"/>
    <w:rsid w:val="008F3003"/>
    <w:rsid w:val="008F7521"/>
    <w:rsid w:val="0090160A"/>
    <w:rsid w:val="00910BD7"/>
    <w:rsid w:val="00910F41"/>
    <w:rsid w:val="00912537"/>
    <w:rsid w:val="00914126"/>
    <w:rsid w:val="009205F6"/>
    <w:rsid w:val="009234F2"/>
    <w:rsid w:val="00923636"/>
    <w:rsid w:val="00925731"/>
    <w:rsid w:val="009257E0"/>
    <w:rsid w:val="0093092D"/>
    <w:rsid w:val="00932DEE"/>
    <w:rsid w:val="00933884"/>
    <w:rsid w:val="00935120"/>
    <w:rsid w:val="0094292E"/>
    <w:rsid w:val="00942F77"/>
    <w:rsid w:val="00945111"/>
    <w:rsid w:val="00947267"/>
    <w:rsid w:val="00950047"/>
    <w:rsid w:val="0095047E"/>
    <w:rsid w:val="0095205F"/>
    <w:rsid w:val="00956C96"/>
    <w:rsid w:val="00965129"/>
    <w:rsid w:val="0096521F"/>
    <w:rsid w:val="0096714A"/>
    <w:rsid w:val="00967B2A"/>
    <w:rsid w:val="009801D6"/>
    <w:rsid w:val="0098661C"/>
    <w:rsid w:val="00990483"/>
    <w:rsid w:val="00994941"/>
    <w:rsid w:val="00996132"/>
    <w:rsid w:val="009A0906"/>
    <w:rsid w:val="009A410F"/>
    <w:rsid w:val="009A528A"/>
    <w:rsid w:val="009A602C"/>
    <w:rsid w:val="009A629D"/>
    <w:rsid w:val="009B2AED"/>
    <w:rsid w:val="009B2CE7"/>
    <w:rsid w:val="009B42A1"/>
    <w:rsid w:val="009B4307"/>
    <w:rsid w:val="009B480B"/>
    <w:rsid w:val="009B4EA0"/>
    <w:rsid w:val="009B6808"/>
    <w:rsid w:val="009C1EC9"/>
    <w:rsid w:val="009C67F5"/>
    <w:rsid w:val="009C715F"/>
    <w:rsid w:val="009D05AE"/>
    <w:rsid w:val="009D5830"/>
    <w:rsid w:val="009D6425"/>
    <w:rsid w:val="009D6605"/>
    <w:rsid w:val="009D6E0F"/>
    <w:rsid w:val="009E0D98"/>
    <w:rsid w:val="009E29C0"/>
    <w:rsid w:val="009E3A77"/>
    <w:rsid w:val="009E4CD7"/>
    <w:rsid w:val="009F38CE"/>
    <w:rsid w:val="009F4F73"/>
    <w:rsid w:val="00A01A06"/>
    <w:rsid w:val="00A02E93"/>
    <w:rsid w:val="00A036D9"/>
    <w:rsid w:val="00A03BF3"/>
    <w:rsid w:val="00A05A2C"/>
    <w:rsid w:val="00A203A1"/>
    <w:rsid w:val="00A2149F"/>
    <w:rsid w:val="00A2428A"/>
    <w:rsid w:val="00A3271B"/>
    <w:rsid w:val="00A32A59"/>
    <w:rsid w:val="00A333F9"/>
    <w:rsid w:val="00A3586C"/>
    <w:rsid w:val="00A36B8D"/>
    <w:rsid w:val="00A37619"/>
    <w:rsid w:val="00A41022"/>
    <w:rsid w:val="00A427AC"/>
    <w:rsid w:val="00A51504"/>
    <w:rsid w:val="00A627D0"/>
    <w:rsid w:val="00A62D1F"/>
    <w:rsid w:val="00A6325D"/>
    <w:rsid w:val="00A70931"/>
    <w:rsid w:val="00A728CB"/>
    <w:rsid w:val="00A7461F"/>
    <w:rsid w:val="00A75DE5"/>
    <w:rsid w:val="00A82374"/>
    <w:rsid w:val="00A8446D"/>
    <w:rsid w:val="00A90DBA"/>
    <w:rsid w:val="00A925E5"/>
    <w:rsid w:val="00A92981"/>
    <w:rsid w:val="00AA0F3E"/>
    <w:rsid w:val="00AA120F"/>
    <w:rsid w:val="00AA178A"/>
    <w:rsid w:val="00AA688D"/>
    <w:rsid w:val="00AC0DB2"/>
    <w:rsid w:val="00AC4287"/>
    <w:rsid w:val="00AC473E"/>
    <w:rsid w:val="00AD137B"/>
    <w:rsid w:val="00AD449A"/>
    <w:rsid w:val="00AE373F"/>
    <w:rsid w:val="00AF06CB"/>
    <w:rsid w:val="00AF34A9"/>
    <w:rsid w:val="00AF3D93"/>
    <w:rsid w:val="00AF56C9"/>
    <w:rsid w:val="00B03068"/>
    <w:rsid w:val="00B100D9"/>
    <w:rsid w:val="00B116AA"/>
    <w:rsid w:val="00B1214F"/>
    <w:rsid w:val="00B12DE2"/>
    <w:rsid w:val="00B151E1"/>
    <w:rsid w:val="00B16C3E"/>
    <w:rsid w:val="00B21033"/>
    <w:rsid w:val="00B211D4"/>
    <w:rsid w:val="00B2351B"/>
    <w:rsid w:val="00B31D68"/>
    <w:rsid w:val="00B31DD4"/>
    <w:rsid w:val="00B330FA"/>
    <w:rsid w:val="00B33A6C"/>
    <w:rsid w:val="00B404D2"/>
    <w:rsid w:val="00B40DC4"/>
    <w:rsid w:val="00B412CE"/>
    <w:rsid w:val="00B44A2F"/>
    <w:rsid w:val="00B46375"/>
    <w:rsid w:val="00B46CC1"/>
    <w:rsid w:val="00B53BB8"/>
    <w:rsid w:val="00B53DB6"/>
    <w:rsid w:val="00B60794"/>
    <w:rsid w:val="00B6127A"/>
    <w:rsid w:val="00B61636"/>
    <w:rsid w:val="00B61E77"/>
    <w:rsid w:val="00B62550"/>
    <w:rsid w:val="00B71D4C"/>
    <w:rsid w:val="00B724FF"/>
    <w:rsid w:val="00B74A6A"/>
    <w:rsid w:val="00B757B2"/>
    <w:rsid w:val="00B76353"/>
    <w:rsid w:val="00B82C5A"/>
    <w:rsid w:val="00B932B4"/>
    <w:rsid w:val="00B95BBA"/>
    <w:rsid w:val="00B965B1"/>
    <w:rsid w:val="00BA4DA0"/>
    <w:rsid w:val="00BA5E41"/>
    <w:rsid w:val="00BA6AB8"/>
    <w:rsid w:val="00BB1BF3"/>
    <w:rsid w:val="00BB2436"/>
    <w:rsid w:val="00BB2D06"/>
    <w:rsid w:val="00BB3CCB"/>
    <w:rsid w:val="00BB7304"/>
    <w:rsid w:val="00BC25E5"/>
    <w:rsid w:val="00BC6F0A"/>
    <w:rsid w:val="00BC6FE9"/>
    <w:rsid w:val="00BD0791"/>
    <w:rsid w:val="00BD26C9"/>
    <w:rsid w:val="00BD4F57"/>
    <w:rsid w:val="00BE062D"/>
    <w:rsid w:val="00BE15E4"/>
    <w:rsid w:val="00BE4231"/>
    <w:rsid w:val="00BE4265"/>
    <w:rsid w:val="00BE6E36"/>
    <w:rsid w:val="00BF1CE6"/>
    <w:rsid w:val="00BF2628"/>
    <w:rsid w:val="00BF3628"/>
    <w:rsid w:val="00BF5F69"/>
    <w:rsid w:val="00BF74FE"/>
    <w:rsid w:val="00C00A88"/>
    <w:rsid w:val="00C03F3E"/>
    <w:rsid w:val="00C0502B"/>
    <w:rsid w:val="00C149AE"/>
    <w:rsid w:val="00C1523C"/>
    <w:rsid w:val="00C23691"/>
    <w:rsid w:val="00C2722A"/>
    <w:rsid w:val="00C30686"/>
    <w:rsid w:val="00C32CF5"/>
    <w:rsid w:val="00C33609"/>
    <w:rsid w:val="00C33B75"/>
    <w:rsid w:val="00C35825"/>
    <w:rsid w:val="00C35D31"/>
    <w:rsid w:val="00C3640B"/>
    <w:rsid w:val="00C37311"/>
    <w:rsid w:val="00C424D9"/>
    <w:rsid w:val="00C43559"/>
    <w:rsid w:val="00C46AE0"/>
    <w:rsid w:val="00C50709"/>
    <w:rsid w:val="00C509A2"/>
    <w:rsid w:val="00C50CBB"/>
    <w:rsid w:val="00C516B4"/>
    <w:rsid w:val="00C52191"/>
    <w:rsid w:val="00C52AEF"/>
    <w:rsid w:val="00C5545F"/>
    <w:rsid w:val="00C57EE3"/>
    <w:rsid w:val="00C60CCB"/>
    <w:rsid w:val="00C649B8"/>
    <w:rsid w:val="00C64A38"/>
    <w:rsid w:val="00C74A4F"/>
    <w:rsid w:val="00C76389"/>
    <w:rsid w:val="00C76A4F"/>
    <w:rsid w:val="00C8106D"/>
    <w:rsid w:val="00C824A4"/>
    <w:rsid w:val="00C84C98"/>
    <w:rsid w:val="00C862D9"/>
    <w:rsid w:val="00C8665B"/>
    <w:rsid w:val="00C903F8"/>
    <w:rsid w:val="00C928DD"/>
    <w:rsid w:val="00C96B5C"/>
    <w:rsid w:val="00CA4E67"/>
    <w:rsid w:val="00CA5DE5"/>
    <w:rsid w:val="00CA6BB4"/>
    <w:rsid w:val="00CA6DDB"/>
    <w:rsid w:val="00CA73A9"/>
    <w:rsid w:val="00CB403E"/>
    <w:rsid w:val="00CB51AD"/>
    <w:rsid w:val="00CB7336"/>
    <w:rsid w:val="00CC007D"/>
    <w:rsid w:val="00CC23BD"/>
    <w:rsid w:val="00CC3F21"/>
    <w:rsid w:val="00CC4331"/>
    <w:rsid w:val="00CC5A36"/>
    <w:rsid w:val="00CC5F66"/>
    <w:rsid w:val="00CD22DD"/>
    <w:rsid w:val="00CD4C6A"/>
    <w:rsid w:val="00CE4794"/>
    <w:rsid w:val="00CE5F89"/>
    <w:rsid w:val="00CF0140"/>
    <w:rsid w:val="00CF1420"/>
    <w:rsid w:val="00CF25EE"/>
    <w:rsid w:val="00CF3A57"/>
    <w:rsid w:val="00CF4AF3"/>
    <w:rsid w:val="00D0215D"/>
    <w:rsid w:val="00D0360F"/>
    <w:rsid w:val="00D05076"/>
    <w:rsid w:val="00D078E9"/>
    <w:rsid w:val="00D126F0"/>
    <w:rsid w:val="00D12A5F"/>
    <w:rsid w:val="00D13283"/>
    <w:rsid w:val="00D136C4"/>
    <w:rsid w:val="00D21D29"/>
    <w:rsid w:val="00D22C1F"/>
    <w:rsid w:val="00D24D24"/>
    <w:rsid w:val="00D305A8"/>
    <w:rsid w:val="00D30A9C"/>
    <w:rsid w:val="00D3420E"/>
    <w:rsid w:val="00D3484D"/>
    <w:rsid w:val="00D41AAC"/>
    <w:rsid w:val="00D464A7"/>
    <w:rsid w:val="00D55AA1"/>
    <w:rsid w:val="00D579A9"/>
    <w:rsid w:val="00D57A9E"/>
    <w:rsid w:val="00D609AF"/>
    <w:rsid w:val="00D64D2E"/>
    <w:rsid w:val="00D65D04"/>
    <w:rsid w:val="00D707C6"/>
    <w:rsid w:val="00D70F02"/>
    <w:rsid w:val="00D7138A"/>
    <w:rsid w:val="00D745A3"/>
    <w:rsid w:val="00D7521A"/>
    <w:rsid w:val="00D75BC1"/>
    <w:rsid w:val="00D806B6"/>
    <w:rsid w:val="00D81586"/>
    <w:rsid w:val="00D81CE8"/>
    <w:rsid w:val="00D84364"/>
    <w:rsid w:val="00D87ECC"/>
    <w:rsid w:val="00D9110C"/>
    <w:rsid w:val="00D94001"/>
    <w:rsid w:val="00D9485B"/>
    <w:rsid w:val="00D94A05"/>
    <w:rsid w:val="00D95D7E"/>
    <w:rsid w:val="00D96426"/>
    <w:rsid w:val="00DA14B1"/>
    <w:rsid w:val="00DA36DD"/>
    <w:rsid w:val="00DA4098"/>
    <w:rsid w:val="00DA463D"/>
    <w:rsid w:val="00DA5B66"/>
    <w:rsid w:val="00DA7C44"/>
    <w:rsid w:val="00DB3B9B"/>
    <w:rsid w:val="00DC0CC1"/>
    <w:rsid w:val="00DC2026"/>
    <w:rsid w:val="00DC4D93"/>
    <w:rsid w:val="00DC5813"/>
    <w:rsid w:val="00DC587B"/>
    <w:rsid w:val="00DE29CC"/>
    <w:rsid w:val="00DE59CC"/>
    <w:rsid w:val="00DE67DE"/>
    <w:rsid w:val="00DF0C59"/>
    <w:rsid w:val="00DF4E9C"/>
    <w:rsid w:val="00DF5FBE"/>
    <w:rsid w:val="00DF71AE"/>
    <w:rsid w:val="00E00E39"/>
    <w:rsid w:val="00E048D1"/>
    <w:rsid w:val="00E11A96"/>
    <w:rsid w:val="00E12BF9"/>
    <w:rsid w:val="00E15046"/>
    <w:rsid w:val="00E15171"/>
    <w:rsid w:val="00E172A3"/>
    <w:rsid w:val="00E201AE"/>
    <w:rsid w:val="00E21FD5"/>
    <w:rsid w:val="00E26897"/>
    <w:rsid w:val="00E30D21"/>
    <w:rsid w:val="00E30EB0"/>
    <w:rsid w:val="00E337E7"/>
    <w:rsid w:val="00E341B2"/>
    <w:rsid w:val="00E354FD"/>
    <w:rsid w:val="00E37506"/>
    <w:rsid w:val="00E40815"/>
    <w:rsid w:val="00E40EA7"/>
    <w:rsid w:val="00E41E11"/>
    <w:rsid w:val="00E42CF7"/>
    <w:rsid w:val="00E42FB2"/>
    <w:rsid w:val="00E447B1"/>
    <w:rsid w:val="00E507BD"/>
    <w:rsid w:val="00E51504"/>
    <w:rsid w:val="00E6055A"/>
    <w:rsid w:val="00E6373A"/>
    <w:rsid w:val="00E65804"/>
    <w:rsid w:val="00E65986"/>
    <w:rsid w:val="00E67B9F"/>
    <w:rsid w:val="00E7229C"/>
    <w:rsid w:val="00E72384"/>
    <w:rsid w:val="00E72495"/>
    <w:rsid w:val="00E75612"/>
    <w:rsid w:val="00E816F2"/>
    <w:rsid w:val="00E835E1"/>
    <w:rsid w:val="00E83B5E"/>
    <w:rsid w:val="00E879EE"/>
    <w:rsid w:val="00E90997"/>
    <w:rsid w:val="00E92272"/>
    <w:rsid w:val="00E933C9"/>
    <w:rsid w:val="00E94321"/>
    <w:rsid w:val="00E94F97"/>
    <w:rsid w:val="00E95F7A"/>
    <w:rsid w:val="00EA08D2"/>
    <w:rsid w:val="00EA115D"/>
    <w:rsid w:val="00EA4398"/>
    <w:rsid w:val="00EA54D8"/>
    <w:rsid w:val="00EA66E8"/>
    <w:rsid w:val="00EA753C"/>
    <w:rsid w:val="00EB01CD"/>
    <w:rsid w:val="00EB39D2"/>
    <w:rsid w:val="00EB42AB"/>
    <w:rsid w:val="00EB4335"/>
    <w:rsid w:val="00EB7A44"/>
    <w:rsid w:val="00EC1154"/>
    <w:rsid w:val="00EC15AB"/>
    <w:rsid w:val="00EC4182"/>
    <w:rsid w:val="00EC52D8"/>
    <w:rsid w:val="00ED0DD2"/>
    <w:rsid w:val="00ED1380"/>
    <w:rsid w:val="00ED2EAF"/>
    <w:rsid w:val="00ED635E"/>
    <w:rsid w:val="00ED728F"/>
    <w:rsid w:val="00EF076B"/>
    <w:rsid w:val="00EF12CE"/>
    <w:rsid w:val="00EF447F"/>
    <w:rsid w:val="00F00EC7"/>
    <w:rsid w:val="00F0107E"/>
    <w:rsid w:val="00F017D5"/>
    <w:rsid w:val="00F01E0F"/>
    <w:rsid w:val="00F022B1"/>
    <w:rsid w:val="00F0397E"/>
    <w:rsid w:val="00F0414A"/>
    <w:rsid w:val="00F11D9A"/>
    <w:rsid w:val="00F12EAB"/>
    <w:rsid w:val="00F1518D"/>
    <w:rsid w:val="00F156A9"/>
    <w:rsid w:val="00F213A4"/>
    <w:rsid w:val="00F24B2A"/>
    <w:rsid w:val="00F25AB1"/>
    <w:rsid w:val="00F27983"/>
    <w:rsid w:val="00F329AF"/>
    <w:rsid w:val="00F3457B"/>
    <w:rsid w:val="00F35277"/>
    <w:rsid w:val="00F379CE"/>
    <w:rsid w:val="00F40949"/>
    <w:rsid w:val="00F42474"/>
    <w:rsid w:val="00F43419"/>
    <w:rsid w:val="00F525EC"/>
    <w:rsid w:val="00F627B6"/>
    <w:rsid w:val="00F631D5"/>
    <w:rsid w:val="00F644B0"/>
    <w:rsid w:val="00F70AA0"/>
    <w:rsid w:val="00F70CC4"/>
    <w:rsid w:val="00F75A6F"/>
    <w:rsid w:val="00F75F6F"/>
    <w:rsid w:val="00F824F9"/>
    <w:rsid w:val="00F83C2A"/>
    <w:rsid w:val="00F83E3A"/>
    <w:rsid w:val="00F84DEE"/>
    <w:rsid w:val="00F91407"/>
    <w:rsid w:val="00F9383E"/>
    <w:rsid w:val="00F96F73"/>
    <w:rsid w:val="00FA4516"/>
    <w:rsid w:val="00FA7A9E"/>
    <w:rsid w:val="00FA7F44"/>
    <w:rsid w:val="00FB75A6"/>
    <w:rsid w:val="00FB7D96"/>
    <w:rsid w:val="00FC05EC"/>
    <w:rsid w:val="00FC1DC8"/>
    <w:rsid w:val="00FC5C65"/>
    <w:rsid w:val="00FC6CFB"/>
    <w:rsid w:val="00FD09F9"/>
    <w:rsid w:val="00FD1C7F"/>
    <w:rsid w:val="00FD259D"/>
    <w:rsid w:val="00FD3751"/>
    <w:rsid w:val="00FD379B"/>
    <w:rsid w:val="00FD4472"/>
    <w:rsid w:val="00FD7D88"/>
    <w:rsid w:val="00FE3103"/>
    <w:rsid w:val="00FE34D8"/>
    <w:rsid w:val="00FE63C7"/>
    <w:rsid w:val="00FF0F8A"/>
    <w:rsid w:val="00FF1B40"/>
    <w:rsid w:val="00FF2B79"/>
    <w:rsid w:val="00FF5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43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3976</Characters>
  <Application>Microsoft Office Word</Application>
  <DocSecurity>0</DocSecurity>
  <Lines>77</Lines>
  <Paragraphs>27</Paragraphs>
  <ScaleCrop>false</ScaleCrop>
  <Company>URMC</Company>
  <LinksUpToDate>false</LinksUpToDate>
  <CharactersWithSpaces>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Gill</dc:creator>
  <cp:keywords/>
  <dc:description/>
  <cp:lastModifiedBy>JBODONZO</cp:lastModifiedBy>
  <cp:revision>3</cp:revision>
  <dcterms:created xsi:type="dcterms:W3CDTF">2017-11-04T14:25:00Z</dcterms:created>
  <dcterms:modified xsi:type="dcterms:W3CDTF">2017-11-28T11:00:00Z</dcterms:modified>
</cp:coreProperties>
</file>