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D0E" w:rsidRDefault="00111CA2" w:rsidP="00146D0E">
      <w:pPr>
        <w:spacing w:line="360" w:lineRule="auto"/>
        <w:jc w:val="both"/>
        <w:outlineLvl w:val="0"/>
        <w:rPr>
          <w:rFonts w:ascii="Arial" w:hAnsi="Arial" w:cs="Arial"/>
          <w:b/>
        </w:rPr>
      </w:pPr>
      <w:r>
        <w:rPr>
          <w:rFonts w:ascii="Arial" w:hAnsi="Arial" w:cs="Arial"/>
          <w:b/>
        </w:rPr>
        <w:t>Additional file</w:t>
      </w:r>
      <w:bookmarkStart w:id="0" w:name="_GoBack"/>
      <w:bookmarkEnd w:id="0"/>
      <w:r w:rsidR="00146D0E">
        <w:rPr>
          <w:rFonts w:ascii="Arial" w:hAnsi="Arial" w:cs="Arial"/>
          <w:b/>
        </w:rPr>
        <w:t xml:space="preserve"> for </w:t>
      </w:r>
      <w:bookmarkStart w:id="1" w:name="_Hlk498626762"/>
      <w:r w:rsidR="00146D0E">
        <w:rPr>
          <w:rFonts w:ascii="Arial" w:hAnsi="Arial" w:cs="Arial"/>
          <w:b/>
        </w:rPr>
        <w:t>“</w:t>
      </w:r>
      <w:r w:rsidR="00146D0E" w:rsidRPr="005F04C1">
        <w:rPr>
          <w:rFonts w:ascii="Arial" w:hAnsi="Arial" w:cs="Arial"/>
          <w:b/>
        </w:rPr>
        <w:t>A reservoir of ‘historical’ antibiotic resistance genes in remote pristine Antarctic soil</w:t>
      </w:r>
      <w:bookmarkEnd w:id="1"/>
      <w:r w:rsidR="00146D0E">
        <w:rPr>
          <w:rFonts w:ascii="Arial" w:hAnsi="Arial" w:cs="Arial"/>
          <w:b/>
        </w:rPr>
        <w:t>s”</w:t>
      </w:r>
    </w:p>
    <w:p w:rsidR="005C40F7" w:rsidRPr="006B178C" w:rsidRDefault="005C40F7" w:rsidP="00146D0E">
      <w:pPr>
        <w:spacing w:line="360" w:lineRule="auto"/>
        <w:jc w:val="both"/>
        <w:outlineLvl w:val="0"/>
        <w:rPr>
          <w:rFonts w:ascii="Arial" w:hAnsi="Arial" w:cs="Arial"/>
          <w:b/>
        </w:rPr>
      </w:pPr>
      <w:r w:rsidRPr="00EC1F27">
        <w:rPr>
          <w:rFonts w:ascii="Arial" w:hAnsi="Arial" w:cs="Arial"/>
          <w:b/>
          <w:szCs w:val="24"/>
        </w:rPr>
        <w:t>Marc W. Van Goethem</w:t>
      </w:r>
      <w:r w:rsidRPr="00EC1F27">
        <w:rPr>
          <w:rFonts w:ascii="Arial" w:hAnsi="Arial" w:cs="Arial"/>
          <w:szCs w:val="24"/>
        </w:rPr>
        <w:t>, Rian Pierneef, Oliver K. I. Bezuidt, Yves Van De Peer, Don A. Cowan and Thulani P. Makhalanyane</w:t>
      </w:r>
    </w:p>
    <w:p w:rsidR="00547B76" w:rsidRPr="005F04C1" w:rsidRDefault="00547B76" w:rsidP="00547B76">
      <w:pPr>
        <w:spacing w:line="360" w:lineRule="auto"/>
        <w:jc w:val="both"/>
        <w:outlineLvl w:val="0"/>
        <w:rPr>
          <w:rFonts w:ascii="Arial" w:hAnsi="Arial" w:cs="Arial"/>
          <w:b/>
        </w:rPr>
      </w:pPr>
    </w:p>
    <w:p w:rsidR="00547B76" w:rsidRPr="005F04C1" w:rsidRDefault="00547B76" w:rsidP="00547B76">
      <w:pPr>
        <w:spacing w:before="240" w:after="240" w:line="360" w:lineRule="auto"/>
        <w:jc w:val="both"/>
        <w:rPr>
          <w:rFonts w:ascii="Arial" w:hAnsi="Arial" w:cs="Arial"/>
        </w:rPr>
      </w:pPr>
      <w:r w:rsidRPr="005F04C1">
        <w:rPr>
          <w:rFonts w:ascii="Arial" w:hAnsi="Arial" w:cs="Arial"/>
          <w:b/>
        </w:rPr>
        <w:t xml:space="preserve">Table S1. </w:t>
      </w:r>
      <w:r w:rsidRPr="005F04C1">
        <w:rPr>
          <w:rFonts w:ascii="Arial" w:hAnsi="Arial" w:cs="Arial"/>
        </w:rPr>
        <w:t>Environmental factors of the 17 sampled sites.</w:t>
      </w:r>
    </w:p>
    <w:p w:rsidR="00547B76" w:rsidRPr="005F04C1" w:rsidRDefault="00547B76" w:rsidP="00547B76">
      <w:pPr>
        <w:spacing w:before="240" w:after="240" w:line="360" w:lineRule="auto"/>
        <w:jc w:val="both"/>
        <w:rPr>
          <w:rFonts w:ascii="Arial" w:hAnsi="Arial" w:cs="Arial"/>
        </w:rPr>
      </w:pPr>
      <w:r w:rsidRPr="005F04C1">
        <w:rPr>
          <w:rFonts w:ascii="Arial" w:hAnsi="Arial" w:cs="Arial"/>
          <w:b/>
        </w:rPr>
        <w:t>Table S2.</w:t>
      </w:r>
      <w:r w:rsidRPr="005F04C1">
        <w:rPr>
          <w:rFonts w:ascii="Arial" w:hAnsi="Arial" w:cs="Arial"/>
        </w:rPr>
        <w:t xml:space="preserve"> The selected ARGs chosen from </w:t>
      </w:r>
      <w:r w:rsidRPr="005F04C1">
        <w:rPr>
          <w:rFonts w:ascii="Arial" w:hAnsi="Arial" w:cs="Arial"/>
          <w:i/>
        </w:rPr>
        <w:t>noradab</w:t>
      </w:r>
      <w:r w:rsidRPr="005F04C1">
        <w:rPr>
          <w:rFonts w:ascii="Arial" w:hAnsi="Arial" w:cs="Arial"/>
        </w:rPr>
        <w:t xml:space="preserve">, including the names, gene and ARG description, and ARG families. </w:t>
      </w:r>
    </w:p>
    <w:p w:rsidR="00547B76" w:rsidRPr="005F04C1" w:rsidRDefault="00547B76" w:rsidP="00547B76">
      <w:pPr>
        <w:spacing w:before="240" w:line="360" w:lineRule="auto"/>
        <w:jc w:val="both"/>
        <w:rPr>
          <w:rFonts w:ascii="Arial" w:hAnsi="Arial" w:cs="Arial"/>
          <w:b/>
        </w:rPr>
      </w:pPr>
      <w:r w:rsidRPr="005F04C1">
        <w:rPr>
          <w:rFonts w:ascii="Arial" w:hAnsi="Arial" w:cs="Arial"/>
          <w:b/>
        </w:rPr>
        <w:t xml:space="preserve">Figure S1. </w:t>
      </w:r>
      <w:r w:rsidRPr="005F04C1">
        <w:rPr>
          <w:rFonts w:ascii="Arial" w:hAnsi="Arial" w:cs="Arial"/>
        </w:rPr>
        <w:t>The number of unique ARGs and number of unique AR hosts per site. Linear model indicated in red and lowess in blue (Pearson’s correlation</w:t>
      </w:r>
      <w:r w:rsidRPr="005F04C1">
        <w:rPr>
          <w:rFonts w:ascii="Arial" w:hAnsi="Arial" w:cs="Arial"/>
          <w:i/>
        </w:rPr>
        <w:t xml:space="preserve"> r</w:t>
      </w:r>
      <w:r w:rsidRPr="005F04C1">
        <w:rPr>
          <w:rFonts w:ascii="Arial" w:hAnsi="Arial" w:cs="Arial"/>
        </w:rPr>
        <w:t xml:space="preserve"> = 0.89, </w:t>
      </w:r>
      <w:r w:rsidRPr="005F04C1">
        <w:rPr>
          <w:rFonts w:ascii="Arial" w:hAnsi="Arial" w:cs="Arial"/>
          <w:i/>
        </w:rPr>
        <w:t>P</w:t>
      </w:r>
      <w:r w:rsidRPr="005F04C1">
        <w:rPr>
          <w:rFonts w:ascii="Arial" w:hAnsi="Arial" w:cs="Arial"/>
        </w:rPr>
        <w:t xml:space="preserve"> = 1.62e-06).</w:t>
      </w:r>
    </w:p>
    <w:p w:rsidR="00547B76" w:rsidRPr="005F04C1" w:rsidRDefault="00547B76" w:rsidP="00547B76">
      <w:pPr>
        <w:spacing w:before="240" w:line="360" w:lineRule="auto"/>
        <w:jc w:val="both"/>
        <w:rPr>
          <w:rFonts w:ascii="Arial" w:hAnsi="Arial" w:cs="Arial"/>
        </w:rPr>
      </w:pPr>
      <w:r w:rsidRPr="005F04C1">
        <w:rPr>
          <w:rFonts w:ascii="Arial" w:hAnsi="Arial" w:cs="Arial"/>
          <w:b/>
        </w:rPr>
        <w:t xml:space="preserve">Figure S2. </w:t>
      </w:r>
      <w:r w:rsidRPr="005F04C1">
        <w:rPr>
          <w:rFonts w:ascii="Arial" w:hAnsi="Arial" w:cs="Arial"/>
        </w:rPr>
        <w:t>ARG host frequencies across sampled sites. The number of different ARG hosts is indicated in green with the number of unique ARG hosts displayed in red, axis on the left. The black line represents the relative abundance, axis on the right.</w:t>
      </w:r>
    </w:p>
    <w:p w:rsidR="00547B76" w:rsidRPr="005F04C1" w:rsidRDefault="00547B76" w:rsidP="00547B76">
      <w:pPr>
        <w:spacing w:before="240" w:line="360" w:lineRule="auto"/>
        <w:jc w:val="both"/>
        <w:rPr>
          <w:rFonts w:ascii="Arial" w:hAnsi="Arial" w:cs="Arial"/>
        </w:rPr>
      </w:pPr>
      <w:r w:rsidRPr="005F04C1">
        <w:rPr>
          <w:rFonts w:ascii="Arial" w:hAnsi="Arial" w:cs="Arial"/>
          <w:b/>
        </w:rPr>
        <w:t>Figure S3.</w:t>
      </w:r>
      <w:r w:rsidRPr="005F04C1">
        <w:rPr>
          <w:rFonts w:ascii="Arial" w:hAnsi="Arial" w:cs="Arial"/>
        </w:rPr>
        <w:t xml:space="preserve"> ARG redundancy analysis. The only environmental factor to display a significant impact was percentage N (</w:t>
      </w:r>
      <w:r w:rsidRPr="005F04C1">
        <w:rPr>
          <w:rFonts w:ascii="Arial" w:hAnsi="Arial" w:cs="Arial"/>
          <w:i/>
        </w:rPr>
        <w:t>P</w:t>
      </w:r>
      <w:r w:rsidRPr="005F04C1">
        <w:rPr>
          <w:rFonts w:ascii="Arial" w:hAnsi="Arial" w:cs="Arial"/>
        </w:rPr>
        <w:t xml:space="preserve"> = 0.024).</w:t>
      </w:r>
      <w:r w:rsidRPr="005F04C1">
        <w:rPr>
          <w:rFonts w:ascii="Arial" w:hAnsi="Arial" w:cs="Arial"/>
        </w:rPr>
        <w:br w:type="page"/>
      </w:r>
    </w:p>
    <w:p w:rsidR="00547B76" w:rsidRPr="005F04C1" w:rsidRDefault="00547B76" w:rsidP="00547B76">
      <w:pPr>
        <w:spacing w:before="240" w:after="240" w:line="360" w:lineRule="auto"/>
        <w:jc w:val="both"/>
        <w:rPr>
          <w:rFonts w:ascii="Arial" w:hAnsi="Arial" w:cs="Arial"/>
        </w:rPr>
      </w:pPr>
      <w:r w:rsidRPr="005F04C1">
        <w:rPr>
          <w:rFonts w:ascii="Arial" w:hAnsi="Arial" w:cs="Arial"/>
          <w:b/>
        </w:rPr>
        <w:lastRenderedPageBreak/>
        <w:t xml:space="preserve">Table S1. </w:t>
      </w:r>
      <w:r w:rsidRPr="005F04C1">
        <w:rPr>
          <w:rFonts w:ascii="Arial" w:hAnsi="Arial" w:cs="Arial"/>
        </w:rPr>
        <w:t>Environmental factors of the 17 sampled sites.</w:t>
      </w:r>
    </w:p>
    <w:tbl>
      <w:tblPr>
        <w:tblW w:w="11792" w:type="dxa"/>
        <w:jc w:val="center"/>
        <w:tblBorders>
          <w:top w:val="single" w:sz="4" w:space="0" w:color="00000A"/>
          <w:bottom w:val="single" w:sz="4" w:space="0" w:color="00000A"/>
          <w:insideH w:val="single" w:sz="4" w:space="0" w:color="00000A"/>
        </w:tblBorders>
        <w:tblLook w:val="04A0" w:firstRow="1" w:lastRow="0" w:firstColumn="1" w:lastColumn="0" w:noHBand="0" w:noVBand="1"/>
      </w:tblPr>
      <w:tblGrid>
        <w:gridCol w:w="1195"/>
        <w:gridCol w:w="666"/>
        <w:gridCol w:w="1030"/>
        <w:gridCol w:w="1618"/>
        <w:gridCol w:w="1095"/>
        <w:gridCol w:w="1618"/>
        <w:gridCol w:w="1558"/>
        <w:gridCol w:w="645"/>
        <w:gridCol w:w="767"/>
        <w:gridCol w:w="1600"/>
      </w:tblGrid>
      <w:tr w:rsidR="00547B76" w:rsidRPr="00562704" w:rsidTr="00DA507A">
        <w:trPr>
          <w:jc w:val="center"/>
        </w:trPr>
        <w:tc>
          <w:tcPr>
            <w:tcW w:w="1195" w:type="dxa"/>
            <w:tcBorders>
              <w:top w:val="single" w:sz="4" w:space="0" w:color="00000A"/>
              <w:bottom w:val="single" w:sz="4" w:space="0" w:color="auto"/>
            </w:tcBorders>
            <w:shd w:val="clear" w:color="auto" w:fill="auto"/>
          </w:tcPr>
          <w:p w:rsidR="00547B76" w:rsidRPr="00562704" w:rsidRDefault="00547B76" w:rsidP="00DA507A">
            <w:pPr>
              <w:spacing w:line="360" w:lineRule="auto"/>
              <w:jc w:val="both"/>
              <w:rPr>
                <w:rFonts w:ascii="Arial" w:hAnsi="Arial" w:cs="Arial"/>
                <w:b/>
                <w:sz w:val="18"/>
              </w:rPr>
            </w:pPr>
            <w:r w:rsidRPr="00562704">
              <w:rPr>
                <w:rFonts w:ascii="Arial" w:hAnsi="Arial" w:cs="Arial"/>
                <w:b/>
                <w:sz w:val="18"/>
              </w:rPr>
              <w:t>Site</w:t>
            </w:r>
          </w:p>
        </w:tc>
        <w:tc>
          <w:tcPr>
            <w:tcW w:w="666"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pH</w:t>
            </w:r>
          </w:p>
        </w:tc>
        <w:tc>
          <w:tcPr>
            <w:tcW w:w="1030"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P (ppm)</w:t>
            </w:r>
          </w:p>
        </w:tc>
        <w:tc>
          <w:tcPr>
            <w:tcW w:w="1618"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Na (</w:t>
            </w:r>
            <w:proofErr w:type="spellStart"/>
            <w:r w:rsidRPr="005D0314">
              <w:rPr>
                <w:rFonts w:ascii="Arial" w:hAnsi="Arial" w:cs="Arial"/>
                <w:b/>
                <w:sz w:val="18"/>
                <w:szCs w:val="18"/>
              </w:rPr>
              <w:t>cmol</w:t>
            </w:r>
            <w:proofErr w:type="spellEnd"/>
            <w:r w:rsidRPr="005D0314">
              <w:rPr>
                <w:rFonts w:ascii="Arial" w:hAnsi="Arial" w:cs="Arial"/>
                <w:b/>
                <w:sz w:val="18"/>
                <w:szCs w:val="18"/>
              </w:rPr>
              <w:t>(+)/kg)</w:t>
            </w:r>
          </w:p>
        </w:tc>
        <w:tc>
          <w:tcPr>
            <w:tcW w:w="1095"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K (mg/kg)</w:t>
            </w:r>
          </w:p>
        </w:tc>
        <w:tc>
          <w:tcPr>
            <w:tcW w:w="1618"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Ca (</w:t>
            </w:r>
            <w:proofErr w:type="spellStart"/>
            <w:r w:rsidRPr="005D0314">
              <w:rPr>
                <w:rFonts w:ascii="Arial" w:hAnsi="Arial" w:cs="Arial"/>
                <w:b/>
                <w:sz w:val="18"/>
                <w:szCs w:val="18"/>
              </w:rPr>
              <w:t>cmol</w:t>
            </w:r>
            <w:proofErr w:type="spellEnd"/>
            <w:r w:rsidRPr="005D0314">
              <w:rPr>
                <w:rFonts w:ascii="Arial" w:hAnsi="Arial" w:cs="Arial"/>
                <w:b/>
                <w:sz w:val="18"/>
                <w:szCs w:val="18"/>
              </w:rPr>
              <w:t>(+)/kg)</w:t>
            </w:r>
          </w:p>
        </w:tc>
        <w:tc>
          <w:tcPr>
            <w:tcW w:w="1558"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Mg (</w:t>
            </w:r>
            <w:proofErr w:type="spellStart"/>
            <w:r w:rsidRPr="005D0314">
              <w:rPr>
                <w:rFonts w:ascii="Arial" w:hAnsi="Arial" w:cs="Arial"/>
                <w:b/>
                <w:sz w:val="18"/>
                <w:szCs w:val="18"/>
              </w:rPr>
              <w:t>cmol</w:t>
            </w:r>
            <w:proofErr w:type="spellEnd"/>
            <w:r w:rsidRPr="005D0314">
              <w:rPr>
                <w:rFonts w:ascii="Arial" w:hAnsi="Arial" w:cs="Arial"/>
                <w:b/>
                <w:sz w:val="18"/>
                <w:szCs w:val="18"/>
              </w:rPr>
              <w:t>(+)/kg)</w:t>
            </w:r>
          </w:p>
        </w:tc>
        <w:tc>
          <w:tcPr>
            <w:tcW w:w="645"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 C</w:t>
            </w:r>
          </w:p>
        </w:tc>
        <w:tc>
          <w:tcPr>
            <w:tcW w:w="767"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 N</w:t>
            </w:r>
          </w:p>
        </w:tc>
        <w:tc>
          <w:tcPr>
            <w:tcW w:w="1600" w:type="dxa"/>
            <w:tcBorders>
              <w:top w:val="single" w:sz="4" w:space="0" w:color="00000A"/>
              <w:bottom w:val="single" w:sz="4" w:space="0" w:color="auto"/>
            </w:tcBorders>
            <w:shd w:val="clear" w:color="auto" w:fill="auto"/>
          </w:tcPr>
          <w:p w:rsidR="00547B76" w:rsidRPr="005D0314" w:rsidRDefault="00547B76" w:rsidP="00DA507A">
            <w:pPr>
              <w:spacing w:line="360" w:lineRule="auto"/>
              <w:jc w:val="center"/>
              <w:rPr>
                <w:rFonts w:ascii="Arial" w:hAnsi="Arial" w:cs="Arial"/>
                <w:b/>
                <w:sz w:val="18"/>
                <w:szCs w:val="18"/>
              </w:rPr>
            </w:pPr>
            <w:r w:rsidRPr="005D0314">
              <w:rPr>
                <w:rFonts w:ascii="Arial" w:hAnsi="Arial" w:cs="Arial"/>
                <w:b/>
                <w:sz w:val="18"/>
                <w:szCs w:val="18"/>
              </w:rPr>
              <w:t>Altitude (m.a.s.)</w:t>
            </w:r>
          </w:p>
        </w:tc>
      </w:tr>
      <w:tr w:rsidR="00547B76" w:rsidRPr="00562704" w:rsidTr="00DA507A">
        <w:trPr>
          <w:jc w:val="center"/>
        </w:trPr>
        <w:tc>
          <w:tcPr>
            <w:tcW w:w="1195" w:type="dxa"/>
            <w:tcBorders>
              <w:top w:val="single" w:sz="4" w:space="0" w:color="auto"/>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BG12-3</w:t>
            </w:r>
          </w:p>
        </w:tc>
        <w:tc>
          <w:tcPr>
            <w:tcW w:w="666"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8.20</w:t>
            </w:r>
          </w:p>
        </w:tc>
        <w:tc>
          <w:tcPr>
            <w:tcW w:w="1030"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11</w:t>
            </w:r>
          </w:p>
        </w:tc>
        <w:tc>
          <w:tcPr>
            <w:tcW w:w="1618"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0.6</w:t>
            </w:r>
          </w:p>
        </w:tc>
        <w:tc>
          <w:tcPr>
            <w:tcW w:w="1095" w:type="dxa"/>
            <w:tcBorders>
              <w:top w:val="single" w:sz="4" w:space="0" w:color="auto"/>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61</w:t>
            </w:r>
          </w:p>
        </w:tc>
        <w:tc>
          <w:tcPr>
            <w:tcW w:w="1618"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2.16</w:t>
            </w:r>
          </w:p>
        </w:tc>
        <w:tc>
          <w:tcPr>
            <w:tcW w:w="1558"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0.89</w:t>
            </w:r>
          </w:p>
        </w:tc>
        <w:tc>
          <w:tcPr>
            <w:tcW w:w="645"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w:t>
            </w:r>
          </w:p>
        </w:tc>
        <w:tc>
          <w:tcPr>
            <w:tcW w:w="1600" w:type="dxa"/>
            <w:tcBorders>
              <w:top w:val="single" w:sz="4" w:space="0" w:color="auto"/>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1109</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MS2-2</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7.79</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12</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1.4</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26</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6.33</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1.41</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0.016</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497</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MS4-1</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7.74</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20</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0.37</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299</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6.43</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1.02</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0.021</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527</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MS3-5</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7.81</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9</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0.7</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35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6.04</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1.33</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0.017</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547</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TG1-5</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8.14</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18</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0.07</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83</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2.8</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1.62</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0.028</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1017</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MGM-3</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7.65</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0.34</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32</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1.0</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0.47</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0.032</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157</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MS6-5</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8.70</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22</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0.94</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116</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4.95</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0.91</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0.017</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488</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MS1-1</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7.58</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24</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1.92</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78</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12.78</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2.1</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0.15</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0.032</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556</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MG3-2</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7.53</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14</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0.13</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58</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1.29</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0.78</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189</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MtG22-5</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7.94</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17</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0.32</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56</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4.48</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1.37</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0.028</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963</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MS7-5</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7.94</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60</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0.53</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54</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7.97</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2.15</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0.13</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0.026</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440</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PT-2</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8.21</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0.07</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44</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1.09</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0.53</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0.008</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811</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MS5-1</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7.77</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23</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0.49</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87</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4.02</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0.98</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576</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TG5-1</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8.08</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0.28</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22</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2.97</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1.57</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0.019</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729</w:t>
            </w:r>
          </w:p>
        </w:tc>
      </w:tr>
      <w:tr w:rsidR="00547B76" w:rsidRPr="00562704" w:rsidTr="00DA507A">
        <w:trPr>
          <w:trHeight w:val="70"/>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CN-4</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7.95</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19</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0.07</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75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0.48</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0.32</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0.14</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0.016</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220</w:t>
            </w:r>
          </w:p>
        </w:tc>
      </w:tr>
      <w:tr w:rsidR="00547B76" w:rsidRPr="00562704" w:rsidTr="00DA507A">
        <w:trPr>
          <w:jc w:val="center"/>
        </w:trPr>
        <w:tc>
          <w:tcPr>
            <w:tcW w:w="1195" w:type="dxa"/>
            <w:tcBorders>
              <w:top w:val="nil"/>
              <w:bottom w:val="nil"/>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MtG-4</w:t>
            </w:r>
          </w:p>
        </w:tc>
        <w:tc>
          <w:tcPr>
            <w:tcW w:w="666"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8.17</w:t>
            </w:r>
          </w:p>
        </w:tc>
        <w:tc>
          <w:tcPr>
            <w:tcW w:w="103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4</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0.13</w:t>
            </w:r>
          </w:p>
        </w:tc>
        <w:tc>
          <w:tcPr>
            <w:tcW w:w="1095" w:type="dxa"/>
            <w:tcBorders>
              <w:top w:val="nil"/>
              <w:bottom w:val="nil"/>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15</w:t>
            </w:r>
          </w:p>
        </w:tc>
        <w:tc>
          <w:tcPr>
            <w:tcW w:w="161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3.7</w:t>
            </w:r>
          </w:p>
        </w:tc>
        <w:tc>
          <w:tcPr>
            <w:tcW w:w="1558"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0.44</w:t>
            </w:r>
          </w:p>
        </w:tc>
        <w:tc>
          <w:tcPr>
            <w:tcW w:w="645"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w:t>
            </w:r>
          </w:p>
        </w:tc>
        <w:tc>
          <w:tcPr>
            <w:tcW w:w="767"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0.024</w:t>
            </w:r>
          </w:p>
        </w:tc>
        <w:tc>
          <w:tcPr>
            <w:tcW w:w="1600" w:type="dxa"/>
            <w:tcBorders>
              <w:top w:val="nil"/>
              <w:bottom w:val="nil"/>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652</w:t>
            </w:r>
          </w:p>
        </w:tc>
      </w:tr>
      <w:tr w:rsidR="00547B76" w:rsidRPr="00562704" w:rsidTr="00DA507A">
        <w:trPr>
          <w:jc w:val="center"/>
        </w:trPr>
        <w:tc>
          <w:tcPr>
            <w:tcW w:w="1195" w:type="dxa"/>
            <w:tcBorders>
              <w:top w:val="nil"/>
              <w:bottom w:val="single" w:sz="4" w:space="0" w:color="auto"/>
            </w:tcBorders>
            <w:shd w:val="clear" w:color="auto" w:fill="auto"/>
          </w:tcPr>
          <w:p w:rsidR="00547B76" w:rsidRPr="00562704" w:rsidRDefault="00547B76" w:rsidP="00DA507A">
            <w:pPr>
              <w:spacing w:line="360" w:lineRule="auto"/>
              <w:jc w:val="center"/>
              <w:rPr>
                <w:rFonts w:ascii="Arial" w:hAnsi="Arial" w:cs="Arial"/>
                <w:sz w:val="18"/>
              </w:rPr>
            </w:pPr>
            <w:r w:rsidRPr="00562704">
              <w:rPr>
                <w:rFonts w:ascii="Arial" w:hAnsi="Arial" w:cs="Arial"/>
                <w:sz w:val="18"/>
              </w:rPr>
              <w:t>MG6-4</w:t>
            </w:r>
          </w:p>
        </w:tc>
        <w:tc>
          <w:tcPr>
            <w:tcW w:w="666"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7.86</w:t>
            </w:r>
          </w:p>
        </w:tc>
        <w:tc>
          <w:tcPr>
            <w:tcW w:w="1030"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12</w:t>
            </w:r>
          </w:p>
        </w:tc>
        <w:tc>
          <w:tcPr>
            <w:tcW w:w="1618"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0.33</w:t>
            </w:r>
          </w:p>
        </w:tc>
        <w:tc>
          <w:tcPr>
            <w:tcW w:w="1095" w:type="dxa"/>
            <w:tcBorders>
              <w:top w:val="nil"/>
              <w:bottom w:val="single" w:sz="4" w:space="0" w:color="auto"/>
            </w:tcBorders>
            <w:shd w:val="clear" w:color="auto" w:fill="auto"/>
          </w:tcPr>
          <w:p w:rsidR="00547B76" w:rsidRPr="005D0314" w:rsidRDefault="00547B76" w:rsidP="00DA507A">
            <w:pPr>
              <w:spacing w:after="0" w:line="360" w:lineRule="auto"/>
              <w:jc w:val="center"/>
              <w:rPr>
                <w:rFonts w:ascii="Arial" w:eastAsia="Times New Roman" w:hAnsi="Arial" w:cs="Arial"/>
                <w:color w:val="000000"/>
                <w:sz w:val="18"/>
                <w:szCs w:val="18"/>
                <w:lang w:eastAsia="en-ZA"/>
              </w:rPr>
            </w:pPr>
            <w:r w:rsidRPr="005D0314">
              <w:rPr>
                <w:rFonts w:ascii="Arial" w:eastAsia="Times New Roman" w:hAnsi="Arial" w:cs="Arial"/>
                <w:color w:val="000000"/>
                <w:sz w:val="18"/>
                <w:szCs w:val="18"/>
                <w:lang w:eastAsia="en-ZA"/>
              </w:rPr>
              <w:t>29</w:t>
            </w:r>
          </w:p>
        </w:tc>
        <w:tc>
          <w:tcPr>
            <w:tcW w:w="1618"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1.49</w:t>
            </w:r>
          </w:p>
        </w:tc>
        <w:tc>
          <w:tcPr>
            <w:tcW w:w="1558"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0.63</w:t>
            </w:r>
          </w:p>
        </w:tc>
        <w:tc>
          <w:tcPr>
            <w:tcW w:w="645"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0.12</w:t>
            </w:r>
          </w:p>
        </w:tc>
        <w:tc>
          <w:tcPr>
            <w:tcW w:w="767"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0.016</w:t>
            </w:r>
          </w:p>
        </w:tc>
        <w:tc>
          <w:tcPr>
            <w:tcW w:w="1600" w:type="dxa"/>
            <w:tcBorders>
              <w:top w:val="nil"/>
              <w:bottom w:val="single" w:sz="4" w:space="0" w:color="auto"/>
            </w:tcBorders>
            <w:shd w:val="clear" w:color="auto" w:fill="auto"/>
          </w:tcPr>
          <w:p w:rsidR="00547B76" w:rsidRPr="005D0314" w:rsidRDefault="00547B76" w:rsidP="00DA507A">
            <w:pPr>
              <w:spacing w:line="360" w:lineRule="auto"/>
              <w:jc w:val="center"/>
              <w:rPr>
                <w:rFonts w:ascii="Arial" w:hAnsi="Arial" w:cs="Arial"/>
                <w:sz w:val="18"/>
                <w:szCs w:val="18"/>
              </w:rPr>
            </w:pPr>
            <w:r w:rsidRPr="005D0314">
              <w:rPr>
                <w:rFonts w:ascii="Arial" w:hAnsi="Arial" w:cs="Arial"/>
                <w:sz w:val="18"/>
                <w:szCs w:val="18"/>
              </w:rPr>
              <w:t>763</w:t>
            </w:r>
          </w:p>
        </w:tc>
      </w:tr>
    </w:tbl>
    <w:p w:rsidR="00547B76" w:rsidRPr="005F04C1" w:rsidRDefault="00547B76" w:rsidP="00547B76">
      <w:pPr>
        <w:spacing w:line="360" w:lineRule="auto"/>
        <w:jc w:val="both"/>
        <w:rPr>
          <w:rFonts w:ascii="Arial" w:hAnsi="Arial" w:cs="Arial"/>
        </w:rPr>
      </w:pPr>
    </w:p>
    <w:p w:rsidR="00547B76" w:rsidRPr="005F04C1" w:rsidRDefault="00547B76" w:rsidP="00547B76">
      <w:pPr>
        <w:spacing w:line="360" w:lineRule="auto"/>
        <w:jc w:val="both"/>
        <w:rPr>
          <w:rFonts w:ascii="Arial" w:hAnsi="Arial" w:cs="Arial"/>
        </w:rPr>
      </w:pPr>
      <w:r w:rsidRPr="005F04C1">
        <w:rPr>
          <w:rFonts w:ascii="Arial" w:hAnsi="Arial" w:cs="Arial"/>
        </w:rPr>
        <w:br w:type="page"/>
      </w:r>
    </w:p>
    <w:p w:rsidR="00547B76" w:rsidRPr="005F04C1" w:rsidRDefault="00547B76" w:rsidP="00547B76">
      <w:pPr>
        <w:spacing w:line="360" w:lineRule="auto"/>
        <w:jc w:val="both"/>
        <w:rPr>
          <w:rFonts w:ascii="Arial" w:hAnsi="Arial" w:cs="Arial"/>
        </w:rPr>
      </w:pPr>
      <w:r w:rsidRPr="005F04C1">
        <w:rPr>
          <w:rFonts w:ascii="Arial" w:hAnsi="Arial" w:cs="Arial"/>
          <w:b/>
        </w:rPr>
        <w:lastRenderedPageBreak/>
        <w:t>Table S2.</w:t>
      </w:r>
      <w:r w:rsidRPr="005F04C1">
        <w:rPr>
          <w:rFonts w:ascii="Arial" w:hAnsi="Arial" w:cs="Arial"/>
        </w:rPr>
        <w:t xml:space="preserve"> The selected ARGs chosen from </w:t>
      </w:r>
      <w:r w:rsidRPr="005F04C1">
        <w:rPr>
          <w:rFonts w:ascii="Arial" w:hAnsi="Arial" w:cs="Arial"/>
          <w:i/>
        </w:rPr>
        <w:t>noradab</w:t>
      </w:r>
      <w:r w:rsidRPr="005F04C1">
        <w:rPr>
          <w:rFonts w:ascii="Arial" w:hAnsi="Arial" w:cs="Arial"/>
        </w:rPr>
        <w:t>, including the names, gene and ARG description, and ARG families.</w:t>
      </w:r>
    </w:p>
    <w:p w:rsidR="00547B76" w:rsidRPr="005F04C1" w:rsidRDefault="00547B76" w:rsidP="00547B76">
      <w:pPr>
        <w:spacing w:line="360" w:lineRule="auto"/>
        <w:jc w:val="both"/>
        <w:rPr>
          <w:rFonts w:ascii="Arial" w:hAnsi="Arial" w:cs="Arial"/>
        </w:rPr>
      </w:pPr>
    </w:p>
    <w:tbl>
      <w:tblPr>
        <w:tblStyle w:val="TableGrid"/>
        <w:tblW w:w="10314" w:type="dxa"/>
        <w:tblLook w:val="04A0" w:firstRow="1" w:lastRow="0" w:firstColumn="1" w:lastColumn="0" w:noHBand="0" w:noVBand="1"/>
      </w:tblPr>
      <w:tblGrid>
        <w:gridCol w:w="1578"/>
        <w:gridCol w:w="2792"/>
        <w:gridCol w:w="2684"/>
        <w:gridCol w:w="3260"/>
      </w:tblGrid>
      <w:tr w:rsidR="00547B76" w:rsidRPr="005F04C1" w:rsidTr="00DA507A">
        <w:tc>
          <w:tcPr>
            <w:tcW w:w="1577" w:type="dxa"/>
            <w:tcBorders>
              <w:left w:val="nil"/>
              <w:right w:val="nil"/>
            </w:tcBorders>
            <w:shd w:val="clear" w:color="auto" w:fill="auto"/>
          </w:tcPr>
          <w:p w:rsidR="00547B76" w:rsidRPr="005F04C1" w:rsidRDefault="00547B76" w:rsidP="00DA507A">
            <w:pPr>
              <w:spacing w:line="360" w:lineRule="auto"/>
              <w:jc w:val="both"/>
              <w:rPr>
                <w:rFonts w:ascii="Arial" w:hAnsi="Arial" w:cs="Arial"/>
                <w:b/>
              </w:rPr>
            </w:pPr>
            <w:r w:rsidRPr="005F04C1">
              <w:rPr>
                <w:rFonts w:ascii="Arial" w:hAnsi="Arial" w:cs="Arial"/>
                <w:b/>
              </w:rPr>
              <w:t xml:space="preserve">ARGs </w:t>
            </w:r>
          </w:p>
        </w:tc>
        <w:tc>
          <w:tcPr>
            <w:tcW w:w="2792" w:type="dxa"/>
            <w:tcBorders>
              <w:left w:val="nil"/>
              <w:right w:val="nil"/>
            </w:tcBorders>
            <w:shd w:val="clear" w:color="auto" w:fill="auto"/>
          </w:tcPr>
          <w:p w:rsidR="00547B76" w:rsidRPr="005F04C1" w:rsidRDefault="00547B76" w:rsidP="00DA507A">
            <w:pPr>
              <w:spacing w:line="360" w:lineRule="auto"/>
              <w:jc w:val="both"/>
              <w:rPr>
                <w:rFonts w:ascii="Arial" w:hAnsi="Arial" w:cs="Arial"/>
                <w:b/>
              </w:rPr>
            </w:pPr>
            <w:r w:rsidRPr="005F04C1">
              <w:rPr>
                <w:rFonts w:ascii="Arial" w:hAnsi="Arial" w:cs="Arial"/>
                <w:b/>
              </w:rPr>
              <w:t>Gene Description</w:t>
            </w:r>
          </w:p>
        </w:tc>
        <w:tc>
          <w:tcPr>
            <w:tcW w:w="2684" w:type="dxa"/>
            <w:tcBorders>
              <w:left w:val="nil"/>
              <w:right w:val="nil"/>
            </w:tcBorders>
            <w:shd w:val="clear" w:color="auto" w:fill="auto"/>
          </w:tcPr>
          <w:p w:rsidR="00547B76" w:rsidRPr="005F04C1" w:rsidRDefault="00547B76" w:rsidP="00DA507A">
            <w:pPr>
              <w:spacing w:line="360" w:lineRule="auto"/>
              <w:jc w:val="both"/>
              <w:rPr>
                <w:rFonts w:ascii="Arial" w:hAnsi="Arial" w:cs="Arial"/>
                <w:b/>
              </w:rPr>
            </w:pPr>
            <w:r w:rsidRPr="005F04C1">
              <w:rPr>
                <w:rFonts w:ascii="Arial" w:hAnsi="Arial" w:cs="Arial"/>
                <w:b/>
              </w:rPr>
              <w:t>ARG Description</w:t>
            </w:r>
          </w:p>
        </w:tc>
        <w:tc>
          <w:tcPr>
            <w:tcW w:w="3260" w:type="dxa"/>
            <w:tcBorders>
              <w:left w:val="nil"/>
              <w:right w:val="nil"/>
            </w:tcBorders>
            <w:shd w:val="clear" w:color="auto" w:fill="auto"/>
          </w:tcPr>
          <w:p w:rsidR="00547B76" w:rsidRPr="005F04C1" w:rsidRDefault="00547B76" w:rsidP="00DA507A">
            <w:pPr>
              <w:spacing w:line="360" w:lineRule="auto"/>
              <w:jc w:val="both"/>
              <w:rPr>
                <w:rFonts w:ascii="Arial" w:hAnsi="Arial" w:cs="Arial"/>
                <w:b/>
              </w:rPr>
            </w:pPr>
            <w:r w:rsidRPr="005F04C1">
              <w:rPr>
                <w:rFonts w:ascii="Arial" w:hAnsi="Arial" w:cs="Arial"/>
                <w:b/>
              </w:rPr>
              <w:t>ARG Family</w:t>
            </w:r>
          </w:p>
        </w:tc>
      </w:tr>
      <w:tr w:rsidR="00547B76" w:rsidRPr="005F04C1" w:rsidTr="00DA507A">
        <w:tc>
          <w:tcPr>
            <w:tcW w:w="1577" w:type="dxa"/>
            <w:tcBorders>
              <w:left w:val="nil"/>
              <w:bottom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noradab.113</w:t>
            </w:r>
          </w:p>
        </w:tc>
        <w:tc>
          <w:tcPr>
            <w:tcW w:w="2792" w:type="dxa"/>
            <w:tcBorders>
              <w:left w:val="nil"/>
              <w:bottom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Dihydrofolate reductase</w:t>
            </w:r>
          </w:p>
        </w:tc>
        <w:tc>
          <w:tcPr>
            <w:tcW w:w="2684" w:type="dxa"/>
            <w:tcBorders>
              <w:left w:val="nil"/>
              <w:bottom w:val="nil"/>
              <w:right w:val="nil"/>
            </w:tcBorders>
            <w:shd w:val="clear" w:color="auto" w:fill="auto"/>
          </w:tcPr>
          <w:p w:rsidR="00547B76" w:rsidRPr="005F04C1" w:rsidRDefault="00547B76" w:rsidP="00DA507A">
            <w:pPr>
              <w:spacing w:line="360" w:lineRule="auto"/>
              <w:jc w:val="both"/>
              <w:rPr>
                <w:rFonts w:ascii="Arial" w:hAnsi="Arial" w:cs="Arial"/>
              </w:rPr>
            </w:pPr>
            <w:proofErr w:type="spellStart"/>
            <w:r w:rsidRPr="005F04C1">
              <w:rPr>
                <w:rFonts w:ascii="Arial" w:hAnsi="Arial" w:cs="Arial"/>
              </w:rPr>
              <w:t>dfrE</w:t>
            </w:r>
            <w:proofErr w:type="spellEnd"/>
            <w:r w:rsidRPr="005F04C1">
              <w:rPr>
                <w:rFonts w:ascii="Arial" w:hAnsi="Arial" w:cs="Arial"/>
              </w:rPr>
              <w:t xml:space="preserve"> is a chromosome-encoded dihydrofolate reductase found in </w:t>
            </w:r>
            <w:r w:rsidRPr="005F04C1">
              <w:rPr>
                <w:rFonts w:ascii="Arial" w:hAnsi="Arial" w:cs="Arial"/>
                <w:i/>
                <w:iCs/>
              </w:rPr>
              <w:t>Enterococcus faecalis</w:t>
            </w:r>
          </w:p>
        </w:tc>
        <w:tc>
          <w:tcPr>
            <w:tcW w:w="3260" w:type="dxa"/>
            <w:tcBorders>
              <w:left w:val="nil"/>
              <w:bottom w:val="nil"/>
              <w:right w:val="nil"/>
            </w:tcBorders>
            <w:shd w:val="clear" w:color="auto" w:fill="auto"/>
          </w:tcPr>
          <w:p w:rsidR="00547B76" w:rsidRPr="005F04C1" w:rsidRDefault="00547B76" w:rsidP="00DA507A">
            <w:pPr>
              <w:pStyle w:val="NormalWeb"/>
              <w:shd w:val="clear" w:color="auto" w:fill="FFFFFF"/>
              <w:spacing w:beforeAutospacing="0" w:afterAutospacing="0" w:line="360" w:lineRule="auto"/>
              <w:jc w:val="both"/>
              <w:rPr>
                <w:rFonts w:ascii="Arial" w:hAnsi="Arial" w:cs="Arial"/>
                <w:sz w:val="22"/>
                <w:szCs w:val="22"/>
              </w:rPr>
            </w:pPr>
            <w:proofErr w:type="spellStart"/>
            <w:r w:rsidRPr="005F04C1">
              <w:rPr>
                <w:rFonts w:ascii="Arial" w:hAnsi="Arial" w:cs="Arial"/>
                <w:sz w:val="22"/>
                <w:szCs w:val="22"/>
              </w:rPr>
              <w:t>dfrE</w:t>
            </w:r>
            <w:proofErr w:type="spellEnd"/>
            <w:r w:rsidRPr="005F04C1">
              <w:rPr>
                <w:rFonts w:ascii="Arial" w:hAnsi="Arial" w:cs="Arial"/>
                <w:sz w:val="22"/>
                <w:szCs w:val="22"/>
              </w:rPr>
              <w:t xml:space="preserve"> is a chromosome-encoded dihydrofolate reductase found in </w:t>
            </w:r>
            <w:r w:rsidRPr="005F04C1">
              <w:rPr>
                <w:rFonts w:ascii="Arial" w:hAnsi="Arial" w:cs="Arial"/>
                <w:i/>
                <w:iCs/>
                <w:sz w:val="22"/>
                <w:szCs w:val="22"/>
              </w:rPr>
              <w:t>Enterococcus faecalis</w:t>
            </w:r>
            <w:r w:rsidRPr="005F04C1">
              <w:rPr>
                <w:rFonts w:ascii="Arial" w:hAnsi="Arial" w:cs="Arial"/>
                <w:iCs/>
                <w:sz w:val="22"/>
                <w:szCs w:val="22"/>
              </w:rPr>
              <w:t>.</w:t>
            </w:r>
          </w:p>
          <w:p w:rsidR="00547B76" w:rsidRPr="005F04C1" w:rsidRDefault="00547B76" w:rsidP="00DA507A">
            <w:pPr>
              <w:spacing w:line="360" w:lineRule="auto"/>
              <w:jc w:val="both"/>
              <w:rPr>
                <w:rFonts w:ascii="Arial" w:hAnsi="Arial" w:cs="Arial"/>
              </w:rPr>
            </w:pPr>
          </w:p>
        </w:tc>
      </w:tr>
      <w:tr w:rsidR="00547B76" w:rsidRPr="005F04C1" w:rsidTr="00DA507A">
        <w:tc>
          <w:tcPr>
            <w:tcW w:w="1577" w:type="dxa"/>
            <w:tcBorders>
              <w:top w:val="nil"/>
              <w:left w:val="nil"/>
              <w:bottom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noradab.1928</w:t>
            </w:r>
          </w:p>
        </w:tc>
        <w:tc>
          <w:tcPr>
            <w:tcW w:w="2792" w:type="dxa"/>
            <w:tcBorders>
              <w:top w:val="nil"/>
              <w:left w:val="nil"/>
              <w:bottom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Macrolide transporter ATP-binding/permease protein</w:t>
            </w:r>
          </w:p>
        </w:tc>
        <w:tc>
          <w:tcPr>
            <w:tcW w:w="2684" w:type="dxa"/>
            <w:tcBorders>
              <w:top w:val="nil"/>
              <w:left w:val="nil"/>
              <w:bottom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Resistance-nodulation-cell division transporter system.</w:t>
            </w:r>
          </w:p>
        </w:tc>
        <w:tc>
          <w:tcPr>
            <w:tcW w:w="3260" w:type="dxa"/>
            <w:tcBorders>
              <w:top w:val="nil"/>
              <w:left w:val="nil"/>
              <w:bottom w:val="nil"/>
              <w:right w:val="nil"/>
            </w:tcBorders>
            <w:shd w:val="clear" w:color="auto" w:fill="auto"/>
          </w:tcPr>
          <w:p w:rsidR="00547B76" w:rsidRPr="005F04C1" w:rsidRDefault="00547B76" w:rsidP="00DA507A">
            <w:pPr>
              <w:pStyle w:val="NormalWeb"/>
              <w:shd w:val="clear" w:color="auto" w:fill="FFFFFF"/>
              <w:spacing w:before="280" w:line="360" w:lineRule="auto"/>
              <w:jc w:val="both"/>
              <w:rPr>
                <w:rFonts w:ascii="Arial" w:hAnsi="Arial" w:cs="Arial"/>
                <w:sz w:val="22"/>
                <w:szCs w:val="22"/>
              </w:rPr>
            </w:pPr>
            <w:r w:rsidRPr="005F04C1">
              <w:rPr>
                <w:rFonts w:ascii="Arial" w:hAnsi="Arial" w:cs="Arial"/>
                <w:sz w:val="22"/>
                <w:szCs w:val="22"/>
              </w:rPr>
              <w:t>ABC efflux/transporter system.</w:t>
            </w:r>
          </w:p>
          <w:p w:rsidR="00547B76" w:rsidRPr="005F04C1" w:rsidRDefault="00547B76" w:rsidP="00DA507A">
            <w:pPr>
              <w:spacing w:line="360" w:lineRule="auto"/>
              <w:jc w:val="both"/>
              <w:rPr>
                <w:rFonts w:ascii="Arial" w:hAnsi="Arial" w:cs="Arial"/>
              </w:rPr>
            </w:pPr>
          </w:p>
        </w:tc>
      </w:tr>
      <w:tr w:rsidR="00547B76" w:rsidRPr="005F04C1" w:rsidTr="00DA507A">
        <w:tc>
          <w:tcPr>
            <w:tcW w:w="1577" w:type="dxa"/>
            <w:tcBorders>
              <w:top w:val="nil"/>
              <w:left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noradab.4221</w:t>
            </w:r>
          </w:p>
        </w:tc>
        <w:tc>
          <w:tcPr>
            <w:tcW w:w="2792" w:type="dxa"/>
            <w:tcBorders>
              <w:top w:val="nil"/>
              <w:left w:val="nil"/>
              <w:right w:val="nil"/>
            </w:tcBorders>
            <w:shd w:val="clear" w:color="auto" w:fill="auto"/>
          </w:tcPr>
          <w:p w:rsidR="00547B76" w:rsidRPr="005F04C1" w:rsidRDefault="00547B76" w:rsidP="00DA507A">
            <w:pPr>
              <w:spacing w:line="360" w:lineRule="auto"/>
              <w:jc w:val="both"/>
              <w:rPr>
                <w:rFonts w:ascii="Arial" w:hAnsi="Arial" w:cs="Arial"/>
              </w:rPr>
            </w:pPr>
            <w:proofErr w:type="spellStart"/>
            <w:r w:rsidRPr="005F04C1">
              <w:rPr>
                <w:rFonts w:ascii="Arial" w:hAnsi="Arial" w:cs="Arial"/>
              </w:rPr>
              <w:t>Fosmidomycin</w:t>
            </w:r>
            <w:proofErr w:type="spellEnd"/>
            <w:r w:rsidRPr="005F04C1">
              <w:rPr>
                <w:rFonts w:ascii="Arial" w:hAnsi="Arial" w:cs="Arial"/>
              </w:rPr>
              <w:t xml:space="preserve"> resistance protein</w:t>
            </w:r>
          </w:p>
        </w:tc>
        <w:tc>
          <w:tcPr>
            <w:tcW w:w="2684" w:type="dxa"/>
            <w:tcBorders>
              <w:top w:val="nil"/>
              <w:left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Efflux pump/potassium antiporter system</w:t>
            </w:r>
          </w:p>
        </w:tc>
        <w:tc>
          <w:tcPr>
            <w:tcW w:w="3260" w:type="dxa"/>
            <w:tcBorders>
              <w:top w:val="nil"/>
              <w:left w:val="nil"/>
              <w:right w:val="nil"/>
            </w:tcBorders>
            <w:shd w:val="clear" w:color="auto" w:fill="auto"/>
          </w:tcPr>
          <w:p w:rsidR="00547B76" w:rsidRPr="005F04C1" w:rsidRDefault="00547B76" w:rsidP="00DA507A">
            <w:pPr>
              <w:spacing w:line="360" w:lineRule="auto"/>
              <w:jc w:val="both"/>
              <w:rPr>
                <w:rFonts w:ascii="Arial" w:hAnsi="Arial" w:cs="Arial"/>
              </w:rPr>
            </w:pPr>
            <w:r w:rsidRPr="005F04C1">
              <w:rPr>
                <w:rFonts w:ascii="Arial" w:hAnsi="Arial" w:cs="Arial"/>
              </w:rPr>
              <w:t>Efflux pump/potassium antiporter system. RosA: Major facilitator superfamily transporter.</w:t>
            </w:r>
          </w:p>
        </w:tc>
      </w:tr>
    </w:tbl>
    <w:p w:rsidR="00547B76" w:rsidRPr="005F04C1" w:rsidRDefault="00547B76" w:rsidP="00547B76">
      <w:pPr>
        <w:spacing w:line="360" w:lineRule="auto"/>
        <w:jc w:val="both"/>
        <w:rPr>
          <w:rFonts w:ascii="Arial" w:hAnsi="Arial" w:cs="Arial"/>
        </w:rPr>
      </w:pPr>
    </w:p>
    <w:p w:rsidR="00547B76" w:rsidRPr="005F04C1" w:rsidRDefault="00547B76" w:rsidP="00547B76">
      <w:pPr>
        <w:spacing w:line="360" w:lineRule="auto"/>
        <w:jc w:val="both"/>
        <w:rPr>
          <w:rFonts w:ascii="Arial" w:hAnsi="Arial" w:cs="Arial"/>
          <w:b/>
        </w:rPr>
      </w:pPr>
      <w:r w:rsidRPr="005F04C1">
        <w:rPr>
          <w:rFonts w:ascii="Arial" w:hAnsi="Arial" w:cs="Arial"/>
        </w:rPr>
        <w:br w:type="page"/>
      </w:r>
    </w:p>
    <w:p w:rsidR="00547B76" w:rsidRPr="005F04C1" w:rsidRDefault="00547B76" w:rsidP="00547B76">
      <w:pPr>
        <w:spacing w:before="240" w:line="360" w:lineRule="auto"/>
        <w:jc w:val="both"/>
        <w:rPr>
          <w:rFonts w:ascii="Arial" w:hAnsi="Arial" w:cs="Arial"/>
          <w:b/>
        </w:rPr>
      </w:pPr>
      <w:r w:rsidRPr="005F04C1">
        <w:rPr>
          <w:rFonts w:ascii="Arial" w:hAnsi="Arial" w:cs="Arial"/>
          <w:b/>
        </w:rPr>
        <w:lastRenderedPageBreak/>
        <w:t xml:space="preserve">Figure S1. </w:t>
      </w:r>
      <w:r w:rsidRPr="005F04C1">
        <w:rPr>
          <w:rFonts w:ascii="Arial" w:hAnsi="Arial" w:cs="Arial"/>
        </w:rPr>
        <w:t>The number of unique ARGs and number of unique AR hosts per site. Linear model indicated in red and lowess in blue (Pearson’s correlation</w:t>
      </w:r>
      <w:r w:rsidRPr="005F04C1">
        <w:rPr>
          <w:rFonts w:ascii="Arial" w:hAnsi="Arial" w:cs="Arial"/>
          <w:i/>
        </w:rPr>
        <w:t xml:space="preserve"> r</w:t>
      </w:r>
      <w:r w:rsidRPr="005F04C1">
        <w:rPr>
          <w:rFonts w:ascii="Arial" w:hAnsi="Arial" w:cs="Arial"/>
        </w:rPr>
        <w:t xml:space="preserve"> = 0.89, </w:t>
      </w:r>
      <w:r w:rsidRPr="005F04C1">
        <w:rPr>
          <w:rFonts w:ascii="Arial" w:hAnsi="Arial" w:cs="Arial"/>
          <w:i/>
        </w:rPr>
        <w:t>P</w:t>
      </w:r>
      <w:r w:rsidRPr="005F04C1">
        <w:rPr>
          <w:rFonts w:ascii="Arial" w:hAnsi="Arial" w:cs="Arial"/>
        </w:rPr>
        <w:t xml:space="preserve"> = 1.62e-06).</w:t>
      </w:r>
    </w:p>
    <w:p w:rsidR="00547B76" w:rsidRPr="005F04C1" w:rsidRDefault="00547B76" w:rsidP="00547B76">
      <w:pPr>
        <w:spacing w:line="360" w:lineRule="auto"/>
        <w:jc w:val="both"/>
        <w:rPr>
          <w:rFonts w:ascii="Arial" w:hAnsi="Arial" w:cs="Arial"/>
        </w:rPr>
      </w:pPr>
      <w:r w:rsidRPr="005F04C1">
        <w:rPr>
          <w:rFonts w:ascii="Arial" w:hAnsi="Arial" w:cs="Arial"/>
          <w:noProof/>
          <w:lang w:val="en-US"/>
        </w:rPr>
        <w:drawing>
          <wp:anchor distT="0" distB="0" distL="114300" distR="114300" simplePos="0" relativeHeight="251660288" behindDoc="0" locked="0" layoutInCell="1" allowOverlap="1" wp14:anchorId="1830546B" wp14:editId="11234E49">
            <wp:simplePos x="0" y="0"/>
            <wp:positionH relativeFrom="margin">
              <wp:align>center</wp:align>
            </wp:positionH>
            <wp:positionV relativeFrom="paragraph">
              <wp:posOffset>66040</wp:posOffset>
            </wp:positionV>
            <wp:extent cx="4572000" cy="4572000"/>
            <wp:effectExtent l="0" t="0" r="0" b="0"/>
            <wp:wrapSquare wrapText="bothSides"/>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7"/>
                    <a:stretch>
                      <a:fillRect/>
                    </a:stretch>
                  </pic:blipFill>
                  <pic:spPr bwMode="auto">
                    <a:xfrm>
                      <a:off x="0" y="0"/>
                      <a:ext cx="4572000" cy="4572000"/>
                    </a:xfrm>
                    <a:prstGeom prst="rect">
                      <a:avLst/>
                    </a:prstGeom>
                  </pic:spPr>
                </pic:pic>
              </a:graphicData>
            </a:graphic>
          </wp:anchor>
        </w:drawing>
      </w:r>
      <w:r w:rsidRPr="005F04C1">
        <w:rPr>
          <w:rFonts w:ascii="Arial" w:hAnsi="Arial" w:cs="Arial"/>
        </w:rPr>
        <w:br w:type="page"/>
      </w:r>
    </w:p>
    <w:p w:rsidR="00547B76" w:rsidRPr="005F04C1" w:rsidRDefault="00547B76" w:rsidP="00547B76">
      <w:pPr>
        <w:spacing w:before="240" w:line="360" w:lineRule="auto"/>
        <w:jc w:val="both"/>
        <w:rPr>
          <w:rFonts w:ascii="Arial" w:hAnsi="Arial" w:cs="Arial"/>
          <w:b/>
        </w:rPr>
      </w:pPr>
      <w:r w:rsidRPr="005F04C1">
        <w:rPr>
          <w:rFonts w:ascii="Arial" w:hAnsi="Arial" w:cs="Arial"/>
          <w:b/>
        </w:rPr>
        <w:lastRenderedPageBreak/>
        <w:t xml:space="preserve">Figure S2. </w:t>
      </w:r>
      <w:r w:rsidRPr="005F04C1">
        <w:rPr>
          <w:rFonts w:ascii="Arial" w:hAnsi="Arial" w:cs="Arial"/>
        </w:rPr>
        <w:t>ARG host frequencies across sampled sites. The number of different ARG hosts is indicated in green with the number of unique ARG hosts displayed in red, axis on the left. The black line represents the relative abundance, axis on the right.</w:t>
      </w:r>
    </w:p>
    <w:p w:rsidR="00547B76" w:rsidRPr="005F04C1" w:rsidRDefault="00547B76" w:rsidP="00547B76">
      <w:pPr>
        <w:spacing w:line="360" w:lineRule="auto"/>
        <w:jc w:val="both"/>
        <w:rPr>
          <w:rFonts w:ascii="Arial" w:hAnsi="Arial" w:cs="Arial"/>
        </w:rPr>
      </w:pPr>
      <w:r w:rsidRPr="005F04C1">
        <w:rPr>
          <w:rFonts w:ascii="Arial" w:hAnsi="Arial" w:cs="Arial"/>
          <w:noProof/>
          <w:lang w:val="en-US"/>
        </w:rPr>
        <w:drawing>
          <wp:anchor distT="0" distB="0" distL="114300" distR="114300" simplePos="0" relativeHeight="251659264" behindDoc="0" locked="0" layoutInCell="1" allowOverlap="1" wp14:anchorId="127F0FF4" wp14:editId="2F93B76B">
            <wp:simplePos x="0" y="0"/>
            <wp:positionH relativeFrom="margin">
              <wp:align>center</wp:align>
            </wp:positionH>
            <wp:positionV relativeFrom="paragraph">
              <wp:posOffset>13335</wp:posOffset>
            </wp:positionV>
            <wp:extent cx="4572000" cy="4572000"/>
            <wp:effectExtent l="0" t="0" r="0" b="0"/>
            <wp:wrapSquare wrapText="bothSides"/>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noChangeArrowheads="1"/>
                    </pic:cNvPicPr>
                  </pic:nvPicPr>
                  <pic:blipFill>
                    <a:blip r:embed="rId8"/>
                    <a:stretch>
                      <a:fillRect/>
                    </a:stretch>
                  </pic:blipFill>
                  <pic:spPr bwMode="auto">
                    <a:xfrm>
                      <a:off x="0" y="0"/>
                      <a:ext cx="4572000" cy="4572000"/>
                    </a:xfrm>
                    <a:prstGeom prst="rect">
                      <a:avLst/>
                    </a:prstGeom>
                  </pic:spPr>
                </pic:pic>
              </a:graphicData>
            </a:graphic>
          </wp:anchor>
        </w:drawing>
      </w:r>
      <w:r w:rsidRPr="005F04C1">
        <w:rPr>
          <w:rFonts w:ascii="Arial" w:hAnsi="Arial" w:cs="Arial"/>
        </w:rPr>
        <w:br w:type="page"/>
      </w:r>
    </w:p>
    <w:p w:rsidR="00547B76" w:rsidRPr="005F04C1" w:rsidRDefault="00547B76" w:rsidP="00547B76">
      <w:pPr>
        <w:spacing w:line="360" w:lineRule="auto"/>
        <w:jc w:val="both"/>
        <w:rPr>
          <w:rFonts w:ascii="Arial" w:hAnsi="Arial" w:cs="Arial"/>
        </w:rPr>
      </w:pPr>
      <w:r w:rsidRPr="005F04C1">
        <w:rPr>
          <w:rFonts w:ascii="Arial" w:hAnsi="Arial" w:cs="Arial"/>
          <w:b/>
        </w:rPr>
        <w:lastRenderedPageBreak/>
        <w:t>Figure S3.</w:t>
      </w:r>
      <w:r w:rsidRPr="005F04C1">
        <w:rPr>
          <w:rFonts w:ascii="Arial" w:hAnsi="Arial" w:cs="Arial"/>
        </w:rPr>
        <w:t xml:space="preserve"> ARG redundancy analysis. The only environmental factor to display a significant impact was percentage N (</w:t>
      </w:r>
      <w:r w:rsidRPr="005F04C1">
        <w:rPr>
          <w:rFonts w:ascii="Arial" w:hAnsi="Arial" w:cs="Arial"/>
          <w:i/>
        </w:rPr>
        <w:t>P</w:t>
      </w:r>
      <w:r w:rsidRPr="005F04C1">
        <w:rPr>
          <w:rFonts w:ascii="Arial" w:hAnsi="Arial" w:cs="Arial"/>
        </w:rPr>
        <w:t xml:space="preserve"> = 0.024).</w:t>
      </w:r>
    </w:p>
    <w:p w:rsidR="00547B76" w:rsidRPr="005F04C1" w:rsidRDefault="00547B76" w:rsidP="00547B76">
      <w:pPr>
        <w:spacing w:line="360" w:lineRule="auto"/>
        <w:jc w:val="both"/>
        <w:rPr>
          <w:rFonts w:ascii="Arial" w:hAnsi="Arial" w:cs="Arial"/>
        </w:rPr>
      </w:pPr>
      <w:bookmarkStart w:id="2" w:name="__Fieldmark__8047_846564437"/>
      <w:r w:rsidRPr="005F04C1">
        <w:rPr>
          <w:rFonts w:ascii="Arial" w:hAnsi="Arial" w:cs="Arial"/>
          <w:noProof/>
          <w:lang w:val="en-US"/>
        </w:rPr>
        <w:drawing>
          <wp:anchor distT="0" distB="0" distL="114300" distR="114300" simplePos="0" relativeHeight="251661312" behindDoc="0" locked="0" layoutInCell="1" allowOverlap="1" wp14:anchorId="50F04B0D" wp14:editId="2D7C20FE">
            <wp:simplePos x="0" y="0"/>
            <wp:positionH relativeFrom="margin">
              <wp:posOffset>756812</wp:posOffset>
            </wp:positionH>
            <wp:positionV relativeFrom="paragraph">
              <wp:posOffset>7608</wp:posOffset>
            </wp:positionV>
            <wp:extent cx="4572000" cy="4572000"/>
            <wp:effectExtent l="0" t="0" r="0" b="0"/>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9"/>
                    <a:stretch>
                      <a:fillRect/>
                    </a:stretch>
                  </pic:blipFill>
                  <pic:spPr bwMode="auto">
                    <a:xfrm>
                      <a:off x="0" y="0"/>
                      <a:ext cx="4572000" cy="4572000"/>
                    </a:xfrm>
                    <a:prstGeom prst="rect">
                      <a:avLst/>
                    </a:prstGeom>
                  </pic:spPr>
                </pic:pic>
              </a:graphicData>
            </a:graphic>
          </wp:anchor>
        </w:drawing>
      </w:r>
      <w:bookmarkEnd w:id="2"/>
      <w:r w:rsidRPr="005F04C1">
        <w:rPr>
          <w:rFonts w:ascii="Arial" w:hAnsi="Arial" w:cs="Arial"/>
        </w:rPr>
        <w:fldChar w:fldCharType="begin"/>
      </w:r>
      <w:r w:rsidRPr="005F04C1">
        <w:rPr>
          <w:rFonts w:ascii="Arial" w:hAnsi="Arial" w:cs="Arial"/>
        </w:rPr>
        <w:instrText>ADDIN</w:instrText>
      </w:r>
      <w:r w:rsidRPr="005F04C1">
        <w:rPr>
          <w:rFonts w:ascii="Arial" w:hAnsi="Arial" w:cs="Arial"/>
        </w:rPr>
        <w:fldChar w:fldCharType="end"/>
      </w:r>
    </w:p>
    <w:p w:rsidR="00547B76" w:rsidRPr="005F04C1" w:rsidRDefault="00547B76" w:rsidP="00547B76">
      <w:pPr>
        <w:spacing w:line="360" w:lineRule="auto"/>
        <w:jc w:val="both"/>
        <w:rPr>
          <w:rFonts w:ascii="Arial" w:hAnsi="Arial" w:cs="Arial"/>
        </w:rPr>
      </w:pPr>
    </w:p>
    <w:p w:rsidR="00547B76" w:rsidRPr="005F04C1" w:rsidRDefault="00547B76" w:rsidP="00547B76">
      <w:pPr>
        <w:spacing w:line="360" w:lineRule="auto"/>
        <w:jc w:val="both"/>
        <w:rPr>
          <w:rFonts w:ascii="Arial" w:hAnsi="Arial" w:cs="Arial"/>
        </w:rPr>
      </w:pPr>
    </w:p>
    <w:p w:rsidR="00547B76" w:rsidRDefault="00547B76" w:rsidP="00547B76"/>
    <w:p w:rsidR="00547B76" w:rsidRDefault="00547B76" w:rsidP="00547B76"/>
    <w:p w:rsidR="00547B76" w:rsidRPr="00D80E0A" w:rsidRDefault="00547B76" w:rsidP="00547B76">
      <w:pPr>
        <w:rPr>
          <w:rFonts w:ascii="Calibri" w:hAnsi="Calibri" w:cs="Calibri"/>
          <w:lang w:val="en-US"/>
        </w:rPr>
      </w:pPr>
    </w:p>
    <w:p w:rsidR="005B30C5" w:rsidRDefault="00E666B3"/>
    <w:sectPr w:rsidR="005B30C5">
      <w:footerReference w:type="default" r:id="rId10"/>
      <w:pgSz w:w="11906" w:h="16838"/>
      <w:pgMar w:top="1134" w:right="1134" w:bottom="1134" w:left="1134" w:header="0" w:footer="709"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6B3" w:rsidRDefault="00E666B3">
      <w:pPr>
        <w:spacing w:after="0" w:line="240" w:lineRule="auto"/>
      </w:pPr>
      <w:r>
        <w:separator/>
      </w:r>
    </w:p>
  </w:endnote>
  <w:endnote w:type="continuationSeparator" w:id="0">
    <w:p w:rsidR="00E666B3" w:rsidRDefault="00E6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995905"/>
      <w:docPartObj>
        <w:docPartGallery w:val="Page Numbers (Bottom of Page)"/>
        <w:docPartUnique/>
      </w:docPartObj>
    </w:sdtPr>
    <w:sdtEndPr/>
    <w:sdtContent>
      <w:p w:rsidR="00CE0980" w:rsidRDefault="005C40F7">
        <w:pPr>
          <w:pStyle w:val="Footer"/>
          <w:jc w:val="right"/>
        </w:pPr>
        <w:r>
          <w:fldChar w:fldCharType="begin"/>
        </w:r>
        <w:r>
          <w:instrText>PAGE</w:instrText>
        </w:r>
        <w:r>
          <w:fldChar w:fldCharType="separate"/>
        </w:r>
        <w:r w:rsidR="00111CA2">
          <w:rPr>
            <w:noProof/>
          </w:rPr>
          <w:t>2</w:t>
        </w:r>
        <w:r>
          <w:fldChar w:fldCharType="end"/>
        </w:r>
      </w:p>
    </w:sdtContent>
  </w:sdt>
  <w:p w:rsidR="00CE0980" w:rsidRDefault="00E666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6B3" w:rsidRDefault="00E666B3">
      <w:pPr>
        <w:spacing w:after="0" w:line="240" w:lineRule="auto"/>
      </w:pPr>
      <w:r>
        <w:separator/>
      </w:r>
    </w:p>
  </w:footnote>
  <w:footnote w:type="continuationSeparator" w:id="0">
    <w:p w:rsidR="00E666B3" w:rsidRDefault="00E666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47B76"/>
    <w:rsid w:val="00111CA2"/>
    <w:rsid w:val="00146D0E"/>
    <w:rsid w:val="00547B76"/>
    <w:rsid w:val="005C40F7"/>
    <w:rsid w:val="00937910"/>
    <w:rsid w:val="00AA690D"/>
    <w:rsid w:val="00B27F74"/>
    <w:rsid w:val="00E666B3"/>
    <w:rsid w:val="00F848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547B76"/>
  </w:style>
  <w:style w:type="paragraph" w:styleId="Footer">
    <w:name w:val="footer"/>
    <w:basedOn w:val="Normal"/>
    <w:link w:val="FooterChar"/>
    <w:uiPriority w:val="99"/>
    <w:unhideWhenUsed/>
    <w:rsid w:val="00547B76"/>
    <w:pPr>
      <w:suppressLineNumbers/>
      <w:tabs>
        <w:tab w:val="center" w:pos="4513"/>
        <w:tab w:val="right" w:pos="9026"/>
      </w:tabs>
      <w:spacing w:after="0" w:line="240" w:lineRule="auto"/>
    </w:pPr>
  </w:style>
  <w:style w:type="character" w:customStyle="1" w:styleId="FooterChar1">
    <w:name w:val="Footer Char1"/>
    <w:basedOn w:val="DefaultParagraphFont"/>
    <w:uiPriority w:val="99"/>
    <w:semiHidden/>
    <w:rsid w:val="00547B76"/>
  </w:style>
  <w:style w:type="paragraph" w:styleId="NormalWeb">
    <w:name w:val="Normal (Web)"/>
    <w:basedOn w:val="Normal"/>
    <w:uiPriority w:val="99"/>
    <w:unhideWhenUsed/>
    <w:qFormat/>
    <w:rsid w:val="00547B76"/>
    <w:pPr>
      <w:spacing w:beforeAutospacing="1" w:afterAutospacing="1" w:line="240" w:lineRule="auto"/>
    </w:pPr>
    <w:rPr>
      <w:rFonts w:ascii="Times" w:eastAsiaTheme="minorEastAsia" w:hAnsi="Times" w:cs="Times New Roman"/>
      <w:sz w:val="20"/>
      <w:szCs w:val="20"/>
    </w:rPr>
  </w:style>
  <w:style w:type="table" w:styleId="TableGrid">
    <w:name w:val="Table Grid"/>
    <w:basedOn w:val="TableNormal"/>
    <w:uiPriority w:val="39"/>
    <w:rsid w:val="00547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47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547B76"/>
  </w:style>
  <w:style w:type="paragraph" w:styleId="Footer">
    <w:name w:val="footer"/>
    <w:basedOn w:val="Normal"/>
    <w:link w:val="FooterChar"/>
    <w:uiPriority w:val="99"/>
    <w:unhideWhenUsed/>
    <w:rsid w:val="00547B76"/>
    <w:pPr>
      <w:suppressLineNumbers/>
      <w:tabs>
        <w:tab w:val="center" w:pos="4513"/>
        <w:tab w:val="right" w:pos="9026"/>
      </w:tabs>
      <w:spacing w:after="0" w:line="240" w:lineRule="auto"/>
    </w:pPr>
  </w:style>
  <w:style w:type="character" w:customStyle="1" w:styleId="FooterChar1">
    <w:name w:val="Footer Char1"/>
    <w:basedOn w:val="DefaultParagraphFont"/>
    <w:uiPriority w:val="99"/>
    <w:semiHidden/>
    <w:rsid w:val="00547B76"/>
  </w:style>
  <w:style w:type="paragraph" w:styleId="NormalWeb">
    <w:name w:val="Normal (Web)"/>
    <w:basedOn w:val="Normal"/>
    <w:uiPriority w:val="99"/>
    <w:unhideWhenUsed/>
    <w:qFormat/>
    <w:rsid w:val="00547B76"/>
    <w:pPr>
      <w:spacing w:beforeAutospacing="1" w:afterAutospacing="1" w:line="240" w:lineRule="auto"/>
    </w:pPr>
    <w:rPr>
      <w:rFonts w:ascii="Times" w:eastAsiaTheme="minorEastAsia" w:hAnsi="Times" w:cs="Times New Roman"/>
      <w:sz w:val="20"/>
      <w:szCs w:val="20"/>
    </w:rPr>
  </w:style>
  <w:style w:type="table" w:styleId="TableGrid">
    <w:name w:val="Table Grid"/>
    <w:basedOn w:val="TableNormal"/>
    <w:uiPriority w:val="39"/>
    <w:rsid w:val="00547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47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535</Words>
  <Characters>2666</Characters>
  <Application>Microsoft Office Word</Application>
  <DocSecurity>0</DocSecurity>
  <Lines>266</Lines>
  <Paragraphs>246</Paragraphs>
  <ScaleCrop>false</ScaleCrop>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 Goethem</dc:creator>
  <cp:keywords/>
  <dc:description/>
  <cp:lastModifiedBy>S3G_Apply_Fixed_Case</cp:lastModifiedBy>
  <cp:revision>4</cp:revision>
  <dcterms:created xsi:type="dcterms:W3CDTF">2017-11-16T18:22:00Z</dcterms:created>
  <dcterms:modified xsi:type="dcterms:W3CDTF">2018-02-12T21:58:00Z</dcterms:modified>
</cp:coreProperties>
</file>