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F7E" w:rsidRPr="00167F7E" w:rsidRDefault="00167F7E" w:rsidP="00167F7E">
      <w:pPr>
        <w:spacing w:line="360" w:lineRule="auto"/>
        <w:rPr>
          <w:rFonts w:ascii="Times New Roman" w:hAnsi="Times New Roman" w:cs="Times New Roman"/>
          <w:b/>
          <w:sz w:val="28"/>
          <w:szCs w:val="28"/>
        </w:rPr>
      </w:pPr>
      <w:r w:rsidRPr="00167F7E">
        <w:rPr>
          <w:rFonts w:ascii="Times New Roman" w:hAnsi="Times New Roman" w:cs="Times New Roman"/>
          <w:b/>
          <w:sz w:val="28"/>
          <w:szCs w:val="28"/>
        </w:rPr>
        <w:t>Supplementary Figures</w:t>
      </w:r>
    </w:p>
    <w:p w:rsidR="00167F7E" w:rsidRPr="00167F7E" w:rsidRDefault="00167F7E" w:rsidP="005A2D91">
      <w:pPr>
        <w:spacing w:line="480" w:lineRule="auto"/>
        <w:rPr>
          <w:rFonts w:ascii="Times New Roman" w:hAnsi="Times New Roman" w:cs="Times New Roman"/>
          <w:sz w:val="24"/>
          <w:szCs w:val="24"/>
        </w:rPr>
      </w:pPr>
    </w:p>
    <w:p w:rsidR="00167F7E" w:rsidRPr="005A2D91" w:rsidRDefault="00167F7E" w:rsidP="005A2D91">
      <w:pPr>
        <w:spacing w:line="480" w:lineRule="auto"/>
        <w:rPr>
          <w:rFonts w:ascii="Times New Roman" w:hAnsi="Times New Roman" w:cs="Times New Roman"/>
          <w:b/>
          <w:sz w:val="24"/>
          <w:szCs w:val="24"/>
        </w:rPr>
      </w:pPr>
      <w:r w:rsidRPr="005A2D91">
        <w:rPr>
          <w:rFonts w:ascii="Times New Roman" w:hAnsi="Times New Roman" w:cs="Times New Roman"/>
          <w:b/>
          <w:sz w:val="24"/>
          <w:szCs w:val="24"/>
        </w:rPr>
        <w:t>Genomic and metatranscriptomic analyses of carbon remineralization in an Antarctic polynya</w:t>
      </w:r>
    </w:p>
    <w:p w:rsidR="00167F7E" w:rsidRPr="00167F7E" w:rsidRDefault="00167F7E" w:rsidP="005A2D91">
      <w:pPr>
        <w:spacing w:line="480" w:lineRule="auto"/>
        <w:rPr>
          <w:rFonts w:ascii="Times New Roman" w:hAnsi="Times New Roman" w:cs="Times New Roman"/>
          <w:sz w:val="24"/>
          <w:szCs w:val="24"/>
        </w:rPr>
      </w:pPr>
    </w:p>
    <w:p w:rsidR="00167F7E" w:rsidRPr="00167F7E" w:rsidRDefault="00167F7E" w:rsidP="005A2D91">
      <w:pPr>
        <w:spacing w:line="480" w:lineRule="auto"/>
        <w:rPr>
          <w:rFonts w:ascii="Times New Roman" w:hAnsi="Times New Roman" w:cs="Times New Roman"/>
          <w:sz w:val="24"/>
          <w:szCs w:val="24"/>
        </w:rPr>
      </w:pPr>
      <w:r w:rsidRPr="00167F7E">
        <w:rPr>
          <w:rFonts w:ascii="Times New Roman" w:hAnsi="Times New Roman" w:cs="Times New Roman"/>
          <w:sz w:val="24"/>
          <w:szCs w:val="24"/>
        </w:rPr>
        <w:t>So-Jeong Kim, Jong-Geol Kim, Sang-Hoon Lee, Soo-Je Park, Joo-Han Gwak, Man-Young Jung, Won-Hyung Chung, Eun-Jin Yang, Jisoo Park, Jinyoung Jung, Yoonsoo Hahn, Jang-Cheon Cho, Eugene L. Madsen, Francisco Rodriguez-Valera, Jung-Ho Hyun and Sung-Keun Rhee</w:t>
      </w:r>
    </w:p>
    <w:p w:rsidR="00167F7E" w:rsidRPr="00167F7E" w:rsidRDefault="00167F7E" w:rsidP="00167F7E">
      <w:pPr>
        <w:spacing w:line="360" w:lineRule="auto"/>
        <w:rPr>
          <w:rFonts w:ascii="Times New Roman" w:hAnsi="Times New Roman" w:cs="Times New Roman"/>
          <w:sz w:val="24"/>
          <w:szCs w:val="24"/>
        </w:rPr>
      </w:pPr>
    </w:p>
    <w:p w:rsidR="005A2D91" w:rsidRDefault="005A2D91">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rsidR="005A2D91" w:rsidRDefault="005A2D91" w:rsidP="00167F7E">
      <w:pPr>
        <w:spacing w:line="360" w:lineRule="auto"/>
        <w:rPr>
          <w:rFonts w:ascii="Times New Roman" w:hAnsi="Times New Roman" w:cs="Times New Roman"/>
          <w:sz w:val="24"/>
          <w:szCs w:val="24"/>
        </w:rPr>
        <w:sectPr w:rsidR="005A2D91" w:rsidSect="00167F7E">
          <w:pgSz w:w="11906" w:h="16838"/>
          <w:pgMar w:top="720" w:right="720" w:bottom="720" w:left="720" w:header="851" w:footer="992" w:gutter="0"/>
          <w:cols w:space="425"/>
          <w:docGrid w:linePitch="360"/>
        </w:sectPr>
      </w:pPr>
    </w:p>
    <w:p w:rsidR="00167F7E" w:rsidRDefault="00167F7E" w:rsidP="00167F7E">
      <w:pPr>
        <w:spacing w:line="360" w:lineRule="auto"/>
        <w:rPr>
          <w:rFonts w:ascii="Times New Roman" w:hAnsi="Times New Roman" w:cs="Times New Roman"/>
          <w:sz w:val="24"/>
          <w:szCs w:val="24"/>
        </w:rPr>
      </w:pPr>
    </w:p>
    <w:p w:rsidR="00167F7E" w:rsidRDefault="00167F7E" w:rsidP="005A2D91">
      <w:pPr>
        <w:spacing w:line="360" w:lineRule="auto"/>
        <w:jc w:val="center"/>
        <w:rPr>
          <w:rFonts w:ascii="Times New Roman" w:hAnsi="Times New Roman" w:cs="Times New Roman"/>
          <w:sz w:val="24"/>
          <w:szCs w:val="24"/>
        </w:rPr>
      </w:pPr>
      <w:r w:rsidRPr="00167F7E">
        <w:drawing>
          <wp:inline distT="0" distB="0" distL="0" distR="0">
            <wp:extent cx="9724476" cy="3571875"/>
            <wp:effectExtent l="0" t="0" r="0" b="0"/>
            <wp:docPr id="436" name="그림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33587" cy="3575222"/>
                    </a:xfrm>
                    <a:prstGeom prst="rect">
                      <a:avLst/>
                    </a:prstGeom>
                    <a:noFill/>
                    <a:ln>
                      <a:noFill/>
                    </a:ln>
                  </pic:spPr>
                </pic:pic>
              </a:graphicData>
            </a:graphic>
          </wp:inline>
        </w:drawing>
      </w:r>
    </w:p>
    <w:p w:rsidR="00167F7E" w:rsidRPr="00167F7E" w:rsidRDefault="00167F7E" w:rsidP="00167F7E">
      <w:pPr>
        <w:spacing w:line="360" w:lineRule="auto"/>
        <w:rPr>
          <w:rFonts w:ascii="Times New Roman" w:hAnsi="Times New Roman" w:cs="Times New Roman"/>
          <w:sz w:val="24"/>
          <w:szCs w:val="24"/>
        </w:rPr>
      </w:pPr>
      <w:r w:rsidRPr="00167F7E">
        <w:rPr>
          <w:rFonts w:ascii="Times New Roman" w:hAnsi="Times New Roman" w:cs="Times New Roman"/>
          <w:sz w:val="24"/>
          <w:szCs w:val="24"/>
        </w:rPr>
        <w:t xml:space="preserve">Supplementary Fig. S1. </w:t>
      </w:r>
      <w:r w:rsidR="009E63A8">
        <w:rPr>
          <w:rFonts w:ascii="Times New Roman" w:hAnsi="Times New Roman" w:cs="Times New Roman"/>
          <w:sz w:val="24"/>
          <w:szCs w:val="24"/>
        </w:rPr>
        <w:t>a</w:t>
      </w:r>
      <w:r w:rsidRPr="00167F7E">
        <w:rPr>
          <w:rFonts w:ascii="Times New Roman" w:hAnsi="Times New Roman" w:cs="Times New Roman"/>
          <w:sz w:val="24"/>
          <w:szCs w:val="24"/>
        </w:rPr>
        <w:t>) Satellite-based surface chlorophyll-a concentrations (mg/m</w:t>
      </w:r>
      <w:r w:rsidRPr="009E63A8">
        <w:rPr>
          <w:rFonts w:ascii="Times New Roman" w:hAnsi="Times New Roman" w:cs="Times New Roman"/>
          <w:sz w:val="24"/>
          <w:szCs w:val="24"/>
          <w:vertAlign w:val="superscript"/>
        </w:rPr>
        <w:t>3</w:t>
      </w:r>
      <w:r w:rsidRPr="00167F7E">
        <w:rPr>
          <w:rFonts w:ascii="Times New Roman" w:hAnsi="Times New Roman" w:cs="Times New Roman"/>
          <w:sz w:val="24"/>
          <w:szCs w:val="24"/>
        </w:rPr>
        <w:t>) and photosynthetically available radiance (PAR) in the polynya of the Amundsen Se</w:t>
      </w:r>
      <w:r w:rsidR="009E63A8">
        <w:rPr>
          <w:rFonts w:ascii="Times New Roman" w:hAnsi="Times New Roman" w:cs="Times New Roman"/>
          <w:sz w:val="24"/>
          <w:szCs w:val="24"/>
        </w:rPr>
        <w:t>a during the sampling cruises. b</w:t>
      </w:r>
      <w:r w:rsidRPr="00167F7E">
        <w:rPr>
          <w:rFonts w:ascii="Times New Roman" w:hAnsi="Times New Roman" w:cs="Times New Roman"/>
          <w:sz w:val="24"/>
          <w:szCs w:val="24"/>
        </w:rPr>
        <w:t>) Detailed satellite-based surface chlorophyll-a concentrations (mg/m</w:t>
      </w:r>
      <w:r w:rsidRPr="009E63A8">
        <w:rPr>
          <w:rFonts w:ascii="Times New Roman" w:hAnsi="Times New Roman" w:cs="Times New Roman"/>
          <w:sz w:val="24"/>
          <w:szCs w:val="24"/>
          <w:vertAlign w:val="superscript"/>
        </w:rPr>
        <w:t>3</w:t>
      </w:r>
      <w:r w:rsidRPr="00167F7E">
        <w:rPr>
          <w:rFonts w:ascii="Times New Roman" w:hAnsi="Times New Roman" w:cs="Times New Roman"/>
          <w:sz w:val="24"/>
          <w:szCs w:val="24"/>
        </w:rPr>
        <w:t>) and sampling day of this study. GPS position: polynya center station, 73.25–73.75S, 114.25–113.75W. The data constructed from multi ocean color sensors were obtained from the Globcolour webpage (http://hermes.acri.fr/).</w:t>
      </w:r>
    </w:p>
    <w:p w:rsidR="00167F7E" w:rsidRDefault="00167F7E">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rsidR="005A2D91" w:rsidRDefault="005A2D91" w:rsidP="00167F7E">
      <w:pPr>
        <w:spacing w:line="360" w:lineRule="auto"/>
        <w:jc w:val="center"/>
        <w:rPr>
          <w:rFonts w:ascii="Times New Roman" w:hAnsi="Times New Roman" w:cs="Times New Roman"/>
          <w:sz w:val="24"/>
          <w:szCs w:val="24"/>
        </w:rPr>
        <w:sectPr w:rsidR="005A2D91" w:rsidSect="005A2D91">
          <w:pgSz w:w="16838" w:h="11906" w:orient="landscape"/>
          <w:pgMar w:top="720" w:right="720" w:bottom="720" w:left="720" w:header="851" w:footer="992" w:gutter="0"/>
          <w:cols w:space="425"/>
          <w:docGrid w:linePitch="360"/>
        </w:sectPr>
      </w:pPr>
    </w:p>
    <w:p w:rsidR="00167F7E" w:rsidRDefault="009E63A8" w:rsidP="009E63A8">
      <w:pPr>
        <w:spacing w:line="360" w:lineRule="auto"/>
        <w:jc w:val="center"/>
        <w:rPr>
          <w:rFonts w:ascii="Times New Roman" w:hAnsi="Times New Roman" w:cs="Times New Roman"/>
          <w:sz w:val="24"/>
          <w:szCs w:val="24"/>
        </w:rPr>
      </w:pPr>
      <w:r w:rsidRPr="009E63A8">
        <w:drawing>
          <wp:inline distT="0" distB="0" distL="0" distR="0">
            <wp:extent cx="6301102" cy="7791450"/>
            <wp:effectExtent l="0" t="0" r="0" b="0"/>
            <wp:docPr id="1066" name="그림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08465" cy="7800554"/>
                    </a:xfrm>
                    <a:prstGeom prst="rect">
                      <a:avLst/>
                    </a:prstGeom>
                    <a:noFill/>
                    <a:ln>
                      <a:noFill/>
                    </a:ln>
                  </pic:spPr>
                </pic:pic>
              </a:graphicData>
            </a:graphic>
          </wp:inline>
        </w:drawing>
      </w:r>
    </w:p>
    <w:p w:rsidR="00167F7E" w:rsidRDefault="00167F7E" w:rsidP="00167F7E">
      <w:pPr>
        <w:spacing w:line="360" w:lineRule="auto"/>
        <w:rPr>
          <w:rFonts w:ascii="Times New Roman" w:hAnsi="Times New Roman" w:cs="Times New Roman"/>
          <w:sz w:val="24"/>
          <w:szCs w:val="24"/>
        </w:rPr>
      </w:pPr>
    </w:p>
    <w:p w:rsidR="00AC2BDD" w:rsidRDefault="00AC2BDD">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rsidR="00167F7E" w:rsidRDefault="00AC2BDD" w:rsidP="005A2D91">
      <w:pPr>
        <w:spacing w:line="360" w:lineRule="auto"/>
        <w:jc w:val="center"/>
        <w:rPr>
          <w:rFonts w:ascii="Times New Roman" w:hAnsi="Times New Roman" w:cs="Times New Roman"/>
          <w:sz w:val="24"/>
          <w:szCs w:val="24"/>
        </w:rPr>
      </w:pPr>
      <w:r w:rsidRPr="00AC2BDD">
        <w:drawing>
          <wp:inline distT="0" distB="0" distL="0" distR="0">
            <wp:extent cx="6593394" cy="6124575"/>
            <wp:effectExtent l="0" t="0" r="0" b="0"/>
            <wp:docPr id="1014" name="그림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97907" cy="6128767"/>
                    </a:xfrm>
                    <a:prstGeom prst="rect">
                      <a:avLst/>
                    </a:prstGeom>
                    <a:noFill/>
                    <a:ln>
                      <a:noFill/>
                    </a:ln>
                  </pic:spPr>
                </pic:pic>
              </a:graphicData>
            </a:graphic>
          </wp:inline>
        </w:drawing>
      </w:r>
    </w:p>
    <w:p w:rsidR="00AC2BDD" w:rsidRDefault="00AC2BDD" w:rsidP="00167F7E">
      <w:pPr>
        <w:spacing w:line="360" w:lineRule="auto"/>
        <w:rPr>
          <w:rFonts w:ascii="Times New Roman" w:hAnsi="Times New Roman" w:cs="Times New Roman" w:hint="eastAsia"/>
          <w:sz w:val="24"/>
          <w:szCs w:val="24"/>
        </w:rPr>
      </w:pPr>
    </w:p>
    <w:p w:rsidR="00AC2BDD" w:rsidRDefault="00AC2BDD" w:rsidP="00167F7E">
      <w:pPr>
        <w:spacing w:line="360" w:lineRule="auto"/>
        <w:rPr>
          <w:rFonts w:ascii="Times New Roman" w:hAnsi="Times New Roman" w:cs="Times New Roman"/>
          <w:sz w:val="24"/>
          <w:szCs w:val="24"/>
        </w:rPr>
      </w:pPr>
    </w:p>
    <w:p w:rsidR="00AC2BDD" w:rsidRDefault="00AC2BDD">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rsidR="00AC2BDD" w:rsidRDefault="00AC2BDD" w:rsidP="005A2D91">
      <w:pPr>
        <w:spacing w:line="360" w:lineRule="auto"/>
        <w:jc w:val="center"/>
        <w:rPr>
          <w:rFonts w:ascii="Times New Roman" w:hAnsi="Times New Roman" w:cs="Times New Roman"/>
          <w:sz w:val="24"/>
          <w:szCs w:val="24"/>
        </w:rPr>
      </w:pPr>
      <w:r w:rsidRPr="00AC2BDD">
        <w:rPr>
          <w:rFonts w:hint="eastAsia"/>
        </w:rPr>
        <w:drawing>
          <wp:inline distT="0" distB="0" distL="0" distR="0">
            <wp:extent cx="6543675" cy="4296956"/>
            <wp:effectExtent l="0" t="0" r="0" b="0"/>
            <wp:docPr id="1015" name="그림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48888" cy="4300379"/>
                    </a:xfrm>
                    <a:prstGeom prst="rect">
                      <a:avLst/>
                    </a:prstGeom>
                    <a:noFill/>
                    <a:ln>
                      <a:noFill/>
                    </a:ln>
                  </pic:spPr>
                </pic:pic>
              </a:graphicData>
            </a:graphic>
          </wp:inline>
        </w:drawing>
      </w:r>
    </w:p>
    <w:p w:rsidR="00AC2BDD" w:rsidRDefault="00AC2BDD" w:rsidP="00167F7E">
      <w:pPr>
        <w:spacing w:line="360" w:lineRule="auto"/>
        <w:rPr>
          <w:rFonts w:ascii="Times New Roman" w:hAnsi="Times New Roman" w:cs="Times New Roman"/>
          <w:sz w:val="24"/>
          <w:szCs w:val="24"/>
        </w:rPr>
      </w:pPr>
    </w:p>
    <w:p w:rsidR="00AC2BDD" w:rsidRDefault="00AC2BDD">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rsidR="00AC2BDD" w:rsidRPr="00167F7E" w:rsidRDefault="00AC2BDD" w:rsidP="005A2D91">
      <w:pPr>
        <w:spacing w:line="360" w:lineRule="auto"/>
        <w:jc w:val="center"/>
        <w:rPr>
          <w:rFonts w:ascii="Times New Roman" w:hAnsi="Times New Roman" w:cs="Times New Roman" w:hint="eastAsia"/>
          <w:sz w:val="24"/>
          <w:szCs w:val="24"/>
        </w:rPr>
      </w:pPr>
      <w:r w:rsidRPr="00AC2BDD">
        <w:rPr>
          <w:rFonts w:hint="eastAsia"/>
        </w:rPr>
        <w:drawing>
          <wp:inline distT="0" distB="0" distL="0" distR="0">
            <wp:extent cx="6123180" cy="6686550"/>
            <wp:effectExtent l="0" t="0" r="0" b="0"/>
            <wp:docPr id="1016" name="그림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5978" cy="6689606"/>
                    </a:xfrm>
                    <a:prstGeom prst="rect">
                      <a:avLst/>
                    </a:prstGeom>
                    <a:noFill/>
                    <a:ln>
                      <a:noFill/>
                    </a:ln>
                  </pic:spPr>
                </pic:pic>
              </a:graphicData>
            </a:graphic>
          </wp:inline>
        </w:drawing>
      </w:r>
    </w:p>
    <w:p w:rsidR="00167F7E" w:rsidRPr="00167F7E" w:rsidRDefault="00167F7E" w:rsidP="00167F7E">
      <w:pPr>
        <w:spacing w:line="360" w:lineRule="auto"/>
        <w:rPr>
          <w:rFonts w:ascii="Times New Roman" w:hAnsi="Times New Roman" w:cs="Times New Roman"/>
          <w:sz w:val="24"/>
          <w:szCs w:val="24"/>
        </w:rPr>
      </w:pPr>
      <w:r w:rsidRPr="00167F7E">
        <w:rPr>
          <w:rFonts w:ascii="Times New Roman" w:hAnsi="Times New Roman" w:cs="Times New Roman"/>
          <w:sz w:val="24"/>
          <w:szCs w:val="24"/>
        </w:rPr>
        <w:t xml:space="preserve">Supplementary Fig. S2. Neighbor-joining tree of the most abundant OTUs in a) Polaribacter, b) Oceanospirillaceae, c) SAR92, and d) SAR11 from PK, DC, and SI. The representative sequences of each OTU selected by QIIME are highlighted in bold and coded as follows: OTU N (=OTU number), site (PK, DC, or SI), percentage of the total read number. Bootstrap values of ≥50% are shown.    </w:t>
      </w:r>
    </w:p>
    <w:p w:rsidR="00AC2BDD" w:rsidRDefault="00AC2BDD">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rsidR="00167F7E" w:rsidRPr="00167F7E" w:rsidRDefault="00AC2BDD" w:rsidP="00167F7E">
      <w:pPr>
        <w:spacing w:line="360" w:lineRule="auto"/>
        <w:rPr>
          <w:rFonts w:ascii="Times New Roman" w:hAnsi="Times New Roman" w:cs="Times New Roman"/>
          <w:sz w:val="24"/>
          <w:szCs w:val="24"/>
        </w:rPr>
      </w:pPr>
      <w:r w:rsidRPr="00AC2BDD">
        <w:drawing>
          <wp:inline distT="0" distB="0" distL="0" distR="0">
            <wp:extent cx="6645910" cy="4466173"/>
            <wp:effectExtent l="0" t="0" r="0" b="0"/>
            <wp:docPr id="1017" name="그림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5910" cy="4466173"/>
                    </a:xfrm>
                    <a:prstGeom prst="rect">
                      <a:avLst/>
                    </a:prstGeom>
                    <a:noFill/>
                    <a:ln>
                      <a:noFill/>
                    </a:ln>
                  </pic:spPr>
                </pic:pic>
              </a:graphicData>
            </a:graphic>
          </wp:inline>
        </w:drawing>
      </w:r>
    </w:p>
    <w:p w:rsidR="00167F7E" w:rsidRPr="00167F7E" w:rsidRDefault="00167F7E" w:rsidP="00167F7E">
      <w:pPr>
        <w:spacing w:line="360" w:lineRule="auto"/>
        <w:rPr>
          <w:rFonts w:ascii="Times New Roman" w:hAnsi="Times New Roman" w:cs="Times New Roman"/>
          <w:sz w:val="24"/>
          <w:szCs w:val="24"/>
        </w:rPr>
      </w:pPr>
      <w:r w:rsidRPr="00167F7E">
        <w:rPr>
          <w:rFonts w:ascii="Times New Roman" w:hAnsi="Times New Roman" w:cs="Times New Roman"/>
          <w:sz w:val="24"/>
          <w:szCs w:val="24"/>
        </w:rPr>
        <w:t>Supplementary Fig. S3. NMDS plot showing relationships between bacterial compositions and environmental variables. Bray–Curtis, stress 0.117. *indicates p &lt; 0.05 for the environmental parameter. Samples from Station 1 to Station 26 from Kim et al. [</w:t>
      </w:r>
      <w:r w:rsidR="009E63A8">
        <w:rPr>
          <w:rFonts w:ascii="Times New Roman" w:hAnsi="Times New Roman" w:cs="Times New Roman"/>
          <w:sz w:val="24"/>
          <w:szCs w:val="24"/>
        </w:rPr>
        <w:t>1</w:t>
      </w:r>
      <w:r w:rsidRPr="00167F7E">
        <w:rPr>
          <w:rFonts w:ascii="Times New Roman" w:hAnsi="Times New Roman" w:cs="Times New Roman"/>
          <w:sz w:val="24"/>
          <w:szCs w:val="24"/>
        </w:rPr>
        <w:t>] were re-analyzed. Samples from the polynya center in this study are represented as filled squares; green indicates the peak phase of the bloom and red indicates the declining phase of the bloom. Filled triangles represent samples obtained under sea ice. Samples from the previous study are represented as empty squares for the polynya center (station 13); empty diamonds for the polynya margin (station 8); empty pentagons for the polynya ice shelf (station 11); empty circles for the open ocean (station 1), and empty triangles for water under sea ice (station 26).</w:t>
      </w:r>
    </w:p>
    <w:p w:rsidR="00AC2BDD" w:rsidRDefault="00AC2BDD">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rsidR="005A2D91" w:rsidRDefault="005A2D91" w:rsidP="00167F7E">
      <w:pPr>
        <w:spacing w:line="360" w:lineRule="auto"/>
        <w:rPr>
          <w:rFonts w:ascii="Times New Roman" w:hAnsi="Times New Roman" w:cs="Times New Roman"/>
          <w:sz w:val="24"/>
          <w:szCs w:val="24"/>
        </w:rPr>
        <w:sectPr w:rsidR="005A2D91" w:rsidSect="00167F7E">
          <w:pgSz w:w="11906" w:h="16838"/>
          <w:pgMar w:top="720" w:right="720" w:bottom="720" w:left="720" w:header="851" w:footer="992" w:gutter="0"/>
          <w:cols w:space="425"/>
          <w:docGrid w:linePitch="360"/>
        </w:sectPr>
      </w:pPr>
    </w:p>
    <w:p w:rsidR="005A2D91" w:rsidRDefault="00AC2BDD" w:rsidP="005A2D91">
      <w:pPr>
        <w:spacing w:line="360" w:lineRule="auto"/>
        <w:jc w:val="center"/>
        <w:rPr>
          <w:rFonts w:ascii="Times New Roman" w:hAnsi="Times New Roman" w:cs="Times New Roman"/>
          <w:sz w:val="24"/>
          <w:szCs w:val="24"/>
        </w:rPr>
      </w:pPr>
      <w:r w:rsidRPr="00AC2BDD">
        <w:drawing>
          <wp:inline distT="0" distB="0" distL="0" distR="0">
            <wp:extent cx="9770312" cy="4610100"/>
            <wp:effectExtent l="0" t="0" r="0" b="0"/>
            <wp:docPr id="1018" name="그림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75661" cy="4612624"/>
                    </a:xfrm>
                    <a:prstGeom prst="rect">
                      <a:avLst/>
                    </a:prstGeom>
                    <a:noFill/>
                    <a:ln>
                      <a:noFill/>
                    </a:ln>
                  </pic:spPr>
                </pic:pic>
              </a:graphicData>
            </a:graphic>
          </wp:inline>
        </w:drawing>
      </w:r>
    </w:p>
    <w:p w:rsidR="005A2D91" w:rsidRDefault="005A2D91">
      <w:pPr>
        <w:widowControl/>
        <w:wordWrap/>
        <w:autoSpaceDE/>
        <w:autoSpaceDN/>
        <w:rPr>
          <w:rFonts w:ascii="Times New Roman" w:hAnsi="Times New Roman" w:cs="Times New Roman"/>
          <w:sz w:val="24"/>
          <w:szCs w:val="24"/>
        </w:rPr>
        <w:sectPr w:rsidR="005A2D91" w:rsidSect="005A2D91">
          <w:pgSz w:w="16838" w:h="11906" w:orient="landscape"/>
          <w:pgMar w:top="720" w:right="720" w:bottom="720" w:left="720" w:header="851" w:footer="992" w:gutter="0"/>
          <w:cols w:space="425"/>
          <w:docGrid w:linePitch="360"/>
        </w:sectPr>
      </w:pPr>
    </w:p>
    <w:p w:rsidR="00AC2BDD" w:rsidRDefault="00AC2BDD" w:rsidP="005A2D91">
      <w:pPr>
        <w:spacing w:line="360" w:lineRule="auto"/>
        <w:jc w:val="center"/>
        <w:rPr>
          <w:rFonts w:ascii="Times New Roman" w:hAnsi="Times New Roman" w:cs="Times New Roman"/>
          <w:sz w:val="24"/>
          <w:szCs w:val="24"/>
        </w:rPr>
      </w:pPr>
      <w:r w:rsidRPr="00AC2BDD">
        <w:drawing>
          <wp:inline distT="0" distB="0" distL="0" distR="0">
            <wp:extent cx="4352925" cy="5025801"/>
            <wp:effectExtent l="0" t="0" r="0" b="0"/>
            <wp:docPr id="1019" name="그림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58879" cy="5032676"/>
                    </a:xfrm>
                    <a:prstGeom prst="rect">
                      <a:avLst/>
                    </a:prstGeom>
                    <a:noFill/>
                    <a:ln>
                      <a:noFill/>
                    </a:ln>
                  </pic:spPr>
                </pic:pic>
              </a:graphicData>
            </a:graphic>
          </wp:inline>
        </w:drawing>
      </w:r>
    </w:p>
    <w:p w:rsidR="005A2D91" w:rsidRDefault="005A2D91">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rsidR="005A2D91" w:rsidRDefault="005A2D91" w:rsidP="00167F7E">
      <w:pPr>
        <w:spacing w:line="360" w:lineRule="auto"/>
        <w:rPr>
          <w:rFonts w:ascii="Times New Roman" w:hAnsi="Times New Roman" w:cs="Times New Roman"/>
          <w:sz w:val="24"/>
          <w:szCs w:val="24"/>
        </w:rPr>
        <w:sectPr w:rsidR="005A2D91" w:rsidSect="00167F7E">
          <w:pgSz w:w="11906" w:h="16838"/>
          <w:pgMar w:top="720" w:right="720" w:bottom="720" w:left="720" w:header="851" w:footer="992" w:gutter="0"/>
          <w:cols w:space="425"/>
          <w:docGrid w:linePitch="360"/>
        </w:sectPr>
      </w:pPr>
    </w:p>
    <w:p w:rsidR="00AC2BDD" w:rsidRDefault="005A2D91" w:rsidP="00167F7E">
      <w:pPr>
        <w:spacing w:line="360" w:lineRule="auto"/>
        <w:rPr>
          <w:rFonts w:ascii="Times New Roman" w:hAnsi="Times New Roman" w:cs="Times New Roman"/>
          <w:sz w:val="24"/>
          <w:szCs w:val="24"/>
        </w:rPr>
      </w:pPr>
      <w:r w:rsidRPr="005A2D91">
        <w:rPr>
          <w:rFonts w:hint="eastAsia"/>
        </w:rPr>
        <w:drawing>
          <wp:inline distT="0" distB="0" distL="0" distR="0">
            <wp:extent cx="9810450" cy="6010275"/>
            <wp:effectExtent l="0" t="0" r="635" b="0"/>
            <wp:docPr id="1020" name="그림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10450" cy="6010275"/>
                    </a:xfrm>
                    <a:prstGeom prst="rect">
                      <a:avLst/>
                    </a:prstGeom>
                    <a:noFill/>
                    <a:ln>
                      <a:noFill/>
                    </a:ln>
                  </pic:spPr>
                </pic:pic>
              </a:graphicData>
            </a:graphic>
          </wp:inline>
        </w:drawing>
      </w:r>
    </w:p>
    <w:p w:rsidR="005A2D91" w:rsidRDefault="005A2D91" w:rsidP="00167F7E">
      <w:pPr>
        <w:spacing w:line="360" w:lineRule="auto"/>
        <w:rPr>
          <w:rFonts w:ascii="Times New Roman" w:hAnsi="Times New Roman" w:cs="Times New Roman"/>
          <w:sz w:val="24"/>
          <w:szCs w:val="24"/>
        </w:rPr>
      </w:pPr>
    </w:p>
    <w:p w:rsidR="005A2D91" w:rsidRDefault="005A2D91">
      <w:pPr>
        <w:widowControl/>
        <w:wordWrap/>
        <w:autoSpaceDE/>
        <w:autoSpaceDN/>
        <w:rPr>
          <w:rFonts w:ascii="Times New Roman" w:hAnsi="Times New Roman" w:cs="Times New Roman"/>
          <w:sz w:val="24"/>
          <w:szCs w:val="24"/>
        </w:rPr>
        <w:sectPr w:rsidR="005A2D91" w:rsidSect="005A2D91">
          <w:pgSz w:w="16838" w:h="11906" w:orient="landscape"/>
          <w:pgMar w:top="720" w:right="720" w:bottom="720" w:left="720" w:header="851" w:footer="992" w:gutter="0"/>
          <w:cols w:space="425"/>
          <w:docGrid w:linePitch="360"/>
        </w:sectPr>
      </w:pPr>
    </w:p>
    <w:p w:rsidR="005A2D91" w:rsidRDefault="005A2D91">
      <w:pPr>
        <w:widowControl/>
        <w:wordWrap/>
        <w:autoSpaceDE/>
        <w:autoSpaceDN/>
        <w:rPr>
          <w:rFonts w:ascii="Times New Roman" w:hAnsi="Times New Roman" w:cs="Times New Roman"/>
          <w:sz w:val="24"/>
          <w:szCs w:val="24"/>
        </w:rPr>
      </w:pPr>
      <w:r w:rsidRPr="005A2D91">
        <w:drawing>
          <wp:inline distT="0" distB="0" distL="0" distR="0">
            <wp:extent cx="7276725" cy="3067050"/>
            <wp:effectExtent l="0" t="0" r="635" b="0"/>
            <wp:docPr id="1021" name="그림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82956" cy="3069676"/>
                    </a:xfrm>
                    <a:prstGeom prst="rect">
                      <a:avLst/>
                    </a:prstGeom>
                    <a:noFill/>
                    <a:ln>
                      <a:noFill/>
                    </a:ln>
                  </pic:spPr>
                </pic:pic>
              </a:graphicData>
            </a:graphic>
          </wp:inline>
        </w:drawing>
      </w:r>
    </w:p>
    <w:p w:rsidR="005A2D91" w:rsidRDefault="005A2D91">
      <w:pPr>
        <w:widowControl/>
        <w:wordWrap/>
        <w:autoSpaceDE/>
        <w:autoSpaceDN/>
        <w:rPr>
          <w:rFonts w:ascii="Times New Roman" w:hAnsi="Times New Roman" w:cs="Times New Roman"/>
          <w:sz w:val="24"/>
          <w:szCs w:val="24"/>
        </w:rPr>
      </w:pPr>
    </w:p>
    <w:p w:rsidR="009E63A8" w:rsidRDefault="00167F7E" w:rsidP="009E63A8">
      <w:pPr>
        <w:spacing w:line="360" w:lineRule="auto"/>
        <w:rPr>
          <w:rFonts w:ascii="Times New Roman" w:hAnsi="Times New Roman" w:cs="Times New Roman" w:hint="eastAsia"/>
          <w:sz w:val="24"/>
          <w:szCs w:val="24"/>
        </w:rPr>
        <w:sectPr w:rsidR="009E63A8" w:rsidSect="009E63A8">
          <w:pgSz w:w="16838" w:h="11906" w:orient="landscape"/>
          <w:pgMar w:top="720" w:right="720" w:bottom="720" w:left="720" w:header="851" w:footer="992" w:gutter="0"/>
          <w:cols w:space="425"/>
          <w:docGrid w:linePitch="360"/>
        </w:sectPr>
      </w:pPr>
      <w:r w:rsidRPr="00167F7E">
        <w:rPr>
          <w:rFonts w:ascii="Times New Roman" w:hAnsi="Times New Roman" w:cs="Times New Roman"/>
          <w:sz w:val="24"/>
          <w:szCs w:val="24"/>
        </w:rPr>
        <w:t>Supplementary Fig. S4. Differential coverage plot of scaffolds for DNA reads obtained from a) PK, b) DC, and c, d) SI. Samples used for coverage calculation are marked on the X-axis (decline phase of the bloom) and Y-axis (peak phase of the bloom). Summary of a principal component analysis of the tetranucleotide frequencies of scaffolds selected from differential coverage plot: e) BC1_Pol, f) BC2, g) BC3 and BC4, h) BC5_Pol, i) GM1_Ant, j) GM2_Ant, k) GM3, l) GM4_SAR92, m) GM5, n) GM6_SUP05, and o) AL1_Pel. Colored circles indicate taxonomic information for each scaffold obtained using phylogenetic marker genes of the scaffold; Bacteroidetes (red), Alphaproteobacteria (blue), Gammaproteobacteria (green), Betaproteobacteria (purple), unclassified Proteobacteria (orange), Cyanobacteria (yellow), Firmicutes (brown), and others (pink). Putative target bin</w:t>
      </w:r>
      <w:r w:rsidR="009E63A8">
        <w:rPr>
          <w:rFonts w:ascii="Times New Roman" w:hAnsi="Times New Roman" w:cs="Times New Roman"/>
          <w:sz w:val="24"/>
          <w:szCs w:val="24"/>
        </w:rPr>
        <w:t>s are indicated using arrows.</w:t>
      </w:r>
    </w:p>
    <w:p w:rsidR="00625090" w:rsidRPr="00167F7E" w:rsidRDefault="00625090" w:rsidP="00625090">
      <w:pPr>
        <w:spacing w:line="360" w:lineRule="auto"/>
        <w:jc w:val="center"/>
        <w:rPr>
          <w:rFonts w:ascii="Times New Roman" w:hAnsi="Times New Roman" w:cs="Times New Roman"/>
          <w:sz w:val="24"/>
          <w:szCs w:val="24"/>
        </w:rPr>
      </w:pPr>
      <w:r w:rsidRPr="00625090">
        <w:drawing>
          <wp:inline distT="0" distB="0" distL="0" distR="0" wp14:anchorId="05406703" wp14:editId="4052C31A">
            <wp:extent cx="6219825" cy="4656846"/>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231200" cy="4665363"/>
                    </a:xfrm>
                    <a:prstGeom prst="rect">
                      <a:avLst/>
                    </a:prstGeom>
                  </pic:spPr>
                </pic:pic>
              </a:graphicData>
            </a:graphic>
          </wp:inline>
        </w:drawing>
      </w:r>
    </w:p>
    <w:p w:rsidR="00167F7E" w:rsidRPr="00167F7E" w:rsidRDefault="00167F7E" w:rsidP="00167F7E">
      <w:pPr>
        <w:spacing w:line="360" w:lineRule="auto"/>
        <w:rPr>
          <w:rFonts w:ascii="Times New Roman" w:hAnsi="Times New Roman" w:cs="Times New Roman"/>
          <w:sz w:val="24"/>
          <w:szCs w:val="24"/>
        </w:rPr>
      </w:pPr>
    </w:p>
    <w:p w:rsidR="00167F7E" w:rsidRPr="00167F7E" w:rsidRDefault="00167F7E" w:rsidP="00167F7E">
      <w:pPr>
        <w:spacing w:line="360" w:lineRule="auto"/>
        <w:rPr>
          <w:rFonts w:ascii="Times New Roman" w:hAnsi="Times New Roman" w:cs="Times New Roman"/>
          <w:sz w:val="24"/>
          <w:szCs w:val="24"/>
        </w:rPr>
      </w:pPr>
      <w:r w:rsidRPr="00167F7E">
        <w:rPr>
          <w:rFonts w:ascii="Times New Roman" w:hAnsi="Times New Roman" w:cs="Times New Roman"/>
          <w:sz w:val="24"/>
          <w:szCs w:val="24"/>
        </w:rPr>
        <w:t>Supplementary Fig. S5. Correlation of gene expression between PK and DC (PK-mRNA-TPM and DC-mRNA-TPM) for selected bins.</w:t>
      </w:r>
    </w:p>
    <w:p w:rsidR="00625090" w:rsidRDefault="00625090">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rsidR="00167F7E" w:rsidRDefault="00625090" w:rsidP="00167F7E">
      <w:pPr>
        <w:spacing w:line="360" w:lineRule="auto"/>
        <w:rPr>
          <w:rFonts w:ascii="Times New Roman" w:hAnsi="Times New Roman" w:cs="Times New Roman"/>
          <w:sz w:val="24"/>
          <w:szCs w:val="24"/>
        </w:rPr>
      </w:pPr>
      <w:r w:rsidRPr="00625090">
        <w:drawing>
          <wp:inline distT="0" distB="0" distL="0" distR="0">
            <wp:extent cx="6599812" cy="4838700"/>
            <wp:effectExtent l="0" t="0" r="0" b="0"/>
            <wp:docPr id="1022" name="그림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01647" cy="4840045"/>
                    </a:xfrm>
                    <a:prstGeom prst="rect">
                      <a:avLst/>
                    </a:prstGeom>
                    <a:noFill/>
                    <a:ln>
                      <a:noFill/>
                    </a:ln>
                  </pic:spPr>
                </pic:pic>
              </a:graphicData>
            </a:graphic>
          </wp:inline>
        </w:drawing>
      </w:r>
    </w:p>
    <w:p w:rsidR="00060EFE" w:rsidRDefault="00060EFE">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rsidR="00060EFE" w:rsidRDefault="00060EFE" w:rsidP="00167F7E">
      <w:pPr>
        <w:spacing w:line="360" w:lineRule="auto"/>
        <w:rPr>
          <w:rFonts w:ascii="Times New Roman" w:hAnsi="Times New Roman" w:cs="Times New Roman"/>
          <w:sz w:val="24"/>
          <w:szCs w:val="24"/>
        </w:rPr>
      </w:pPr>
      <w:r w:rsidRPr="00060EFE">
        <w:rPr>
          <w:rFonts w:hint="eastAsia"/>
        </w:rPr>
        <w:drawing>
          <wp:inline distT="0" distB="0" distL="0" distR="0">
            <wp:extent cx="5095875" cy="4060776"/>
            <wp:effectExtent l="0" t="0" r="0" b="0"/>
            <wp:docPr id="1023" name="그림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14269" cy="4075434"/>
                    </a:xfrm>
                    <a:prstGeom prst="rect">
                      <a:avLst/>
                    </a:prstGeom>
                    <a:noFill/>
                    <a:ln>
                      <a:noFill/>
                    </a:ln>
                  </pic:spPr>
                </pic:pic>
              </a:graphicData>
            </a:graphic>
          </wp:inline>
        </w:drawing>
      </w:r>
      <w:r w:rsidR="009E63A8" w:rsidRPr="00060EFE">
        <w:rPr>
          <w:rFonts w:hint="eastAsia"/>
        </w:rPr>
        <w:drawing>
          <wp:inline distT="0" distB="0" distL="0" distR="0" wp14:anchorId="6239DB2A" wp14:editId="6099CCBF">
            <wp:extent cx="6025285" cy="4048125"/>
            <wp:effectExtent l="0" t="0" r="0" b="0"/>
            <wp:docPr id="1024" name="그림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48421" cy="4063669"/>
                    </a:xfrm>
                    <a:prstGeom prst="rect">
                      <a:avLst/>
                    </a:prstGeom>
                    <a:noFill/>
                    <a:ln>
                      <a:noFill/>
                    </a:ln>
                  </pic:spPr>
                </pic:pic>
              </a:graphicData>
            </a:graphic>
          </wp:inline>
        </w:drawing>
      </w:r>
    </w:p>
    <w:p w:rsidR="00060EFE" w:rsidRDefault="00060EFE" w:rsidP="00060EFE">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rsidR="00060EFE" w:rsidRPr="00167F7E" w:rsidRDefault="00060EFE" w:rsidP="00167F7E">
      <w:pPr>
        <w:spacing w:line="360" w:lineRule="auto"/>
        <w:rPr>
          <w:rFonts w:ascii="Times New Roman" w:hAnsi="Times New Roman" w:cs="Times New Roman" w:hint="eastAsia"/>
          <w:sz w:val="24"/>
          <w:szCs w:val="24"/>
        </w:rPr>
      </w:pPr>
      <w:r w:rsidRPr="00060EFE">
        <w:drawing>
          <wp:inline distT="0" distB="0" distL="0" distR="0" wp14:anchorId="18B1B372" wp14:editId="743DCACB">
            <wp:extent cx="6553200" cy="4049885"/>
            <wp:effectExtent l="0" t="0" r="0" b="0"/>
            <wp:docPr id="1025" name="그림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55742" cy="4051456"/>
                    </a:xfrm>
                    <a:prstGeom prst="rect">
                      <a:avLst/>
                    </a:prstGeom>
                    <a:noFill/>
                    <a:ln>
                      <a:noFill/>
                    </a:ln>
                  </pic:spPr>
                </pic:pic>
              </a:graphicData>
            </a:graphic>
          </wp:inline>
        </w:drawing>
      </w:r>
    </w:p>
    <w:p w:rsidR="00060EFE" w:rsidRDefault="00060EFE" w:rsidP="00167F7E">
      <w:pPr>
        <w:spacing w:line="360" w:lineRule="auto"/>
        <w:rPr>
          <w:rFonts w:ascii="Times New Roman" w:hAnsi="Times New Roman" w:cs="Times New Roman"/>
          <w:sz w:val="24"/>
          <w:szCs w:val="24"/>
        </w:rPr>
      </w:pPr>
      <w:r w:rsidRPr="00060EFE">
        <w:rPr>
          <w:rFonts w:hint="eastAsia"/>
        </w:rPr>
        <w:drawing>
          <wp:inline distT="0" distB="0" distL="0" distR="0" wp14:anchorId="00CB4943" wp14:editId="11C64CA2">
            <wp:extent cx="5210175" cy="4072487"/>
            <wp:effectExtent l="0" t="0" r="0" b="0"/>
            <wp:docPr id="1026" name="그림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58403" cy="4110184"/>
                    </a:xfrm>
                    <a:prstGeom prst="rect">
                      <a:avLst/>
                    </a:prstGeom>
                    <a:noFill/>
                    <a:ln>
                      <a:noFill/>
                    </a:ln>
                  </pic:spPr>
                </pic:pic>
              </a:graphicData>
            </a:graphic>
          </wp:inline>
        </w:drawing>
      </w:r>
    </w:p>
    <w:p w:rsidR="00060EFE" w:rsidRPr="009E63A8" w:rsidRDefault="00167F7E" w:rsidP="009E63A8">
      <w:pPr>
        <w:spacing w:line="360" w:lineRule="auto"/>
        <w:rPr>
          <w:rFonts w:ascii="Times New Roman" w:hAnsi="Times New Roman" w:cs="Times New Roman" w:hint="eastAsia"/>
          <w:sz w:val="24"/>
          <w:szCs w:val="24"/>
        </w:rPr>
      </w:pPr>
      <w:r w:rsidRPr="00167F7E">
        <w:rPr>
          <w:rFonts w:ascii="Times New Roman" w:hAnsi="Times New Roman" w:cs="Times New Roman"/>
          <w:sz w:val="24"/>
          <w:szCs w:val="24"/>
        </w:rPr>
        <w:t>Supplementary Fig. S6. COG-based transcriptome analysis of 12 genomes using a scatter plot of mRNA-TPM. Each point represents the relative abundance of a transcript assigned to a COG category. (A) total COGs, (B) transporter-related COGs, (C) GH-related COGs, (D) DMSP-, GB-, and glyoxylate shunt-related COGs, and E) proteorhodopsin-related COGs.</w:t>
      </w:r>
    </w:p>
    <w:p w:rsidR="00167F7E" w:rsidRPr="00167F7E" w:rsidRDefault="00060EFE" w:rsidP="00060EFE">
      <w:pPr>
        <w:spacing w:line="360" w:lineRule="auto"/>
        <w:jc w:val="center"/>
        <w:rPr>
          <w:rFonts w:ascii="Times New Roman" w:hAnsi="Times New Roman" w:cs="Times New Roman"/>
          <w:sz w:val="24"/>
          <w:szCs w:val="24"/>
        </w:rPr>
      </w:pPr>
      <w:r w:rsidRPr="00060EFE">
        <w:drawing>
          <wp:inline distT="0" distB="0" distL="0" distR="0">
            <wp:extent cx="5289797" cy="3857625"/>
            <wp:effectExtent l="0" t="0" r="0" b="0"/>
            <wp:docPr id="1027" name="그림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04956" cy="3868680"/>
                    </a:xfrm>
                    <a:prstGeom prst="rect">
                      <a:avLst/>
                    </a:prstGeom>
                    <a:noFill/>
                    <a:ln>
                      <a:noFill/>
                    </a:ln>
                  </pic:spPr>
                </pic:pic>
              </a:graphicData>
            </a:graphic>
          </wp:inline>
        </w:drawing>
      </w:r>
    </w:p>
    <w:p w:rsidR="00167F7E" w:rsidRPr="00167F7E" w:rsidRDefault="00167F7E" w:rsidP="00167F7E">
      <w:pPr>
        <w:spacing w:line="360" w:lineRule="auto"/>
        <w:rPr>
          <w:rFonts w:ascii="Times New Roman" w:hAnsi="Times New Roman" w:cs="Times New Roman"/>
          <w:sz w:val="24"/>
          <w:szCs w:val="24"/>
        </w:rPr>
      </w:pPr>
      <w:r w:rsidRPr="00167F7E">
        <w:rPr>
          <w:rFonts w:ascii="Times New Roman" w:hAnsi="Times New Roman" w:cs="Times New Roman"/>
          <w:sz w:val="24"/>
          <w:szCs w:val="24"/>
        </w:rPr>
        <w:t>Supplementary Fig. S7. Gene expression levels of representative glycoside hydrolase genes from GM4_SAR92. GH3, glycoside hydrolase 3; GH16, glycoside hydrolase 16; GH42, glycoside hydrolase 42.</w:t>
      </w:r>
    </w:p>
    <w:p w:rsidR="00060EFE" w:rsidRDefault="00060EFE">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rsidR="00060EFE" w:rsidRDefault="00060EFE" w:rsidP="00167F7E">
      <w:pPr>
        <w:spacing w:line="360" w:lineRule="auto"/>
        <w:rPr>
          <w:rFonts w:ascii="Times New Roman" w:hAnsi="Times New Roman" w:cs="Times New Roman"/>
          <w:sz w:val="24"/>
          <w:szCs w:val="24"/>
        </w:rPr>
        <w:sectPr w:rsidR="00060EFE" w:rsidSect="00167F7E">
          <w:pgSz w:w="11906" w:h="16838"/>
          <w:pgMar w:top="720" w:right="720" w:bottom="720" w:left="720" w:header="851" w:footer="992" w:gutter="0"/>
          <w:cols w:space="425"/>
          <w:docGrid w:linePitch="360"/>
        </w:sectPr>
      </w:pPr>
    </w:p>
    <w:p w:rsidR="00167F7E" w:rsidRPr="00167F7E" w:rsidRDefault="00060EFE" w:rsidP="00167F7E">
      <w:pPr>
        <w:spacing w:line="360" w:lineRule="auto"/>
        <w:rPr>
          <w:rFonts w:ascii="Times New Roman" w:hAnsi="Times New Roman" w:cs="Times New Roman"/>
          <w:sz w:val="24"/>
          <w:szCs w:val="24"/>
        </w:rPr>
      </w:pPr>
      <w:r w:rsidRPr="00060EFE">
        <w:drawing>
          <wp:inline distT="0" distB="0" distL="0" distR="0">
            <wp:extent cx="9769129" cy="4695825"/>
            <wp:effectExtent l="0" t="0" r="0" b="0"/>
            <wp:docPr id="1028" name="그림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781319" cy="4701685"/>
                    </a:xfrm>
                    <a:prstGeom prst="rect">
                      <a:avLst/>
                    </a:prstGeom>
                    <a:noFill/>
                    <a:ln>
                      <a:noFill/>
                    </a:ln>
                  </pic:spPr>
                </pic:pic>
              </a:graphicData>
            </a:graphic>
          </wp:inline>
        </w:drawing>
      </w:r>
    </w:p>
    <w:p w:rsidR="00167F7E" w:rsidRPr="00167F7E" w:rsidRDefault="00167F7E" w:rsidP="00167F7E">
      <w:pPr>
        <w:spacing w:line="360" w:lineRule="auto"/>
        <w:rPr>
          <w:rFonts w:ascii="Times New Roman" w:hAnsi="Times New Roman" w:cs="Times New Roman"/>
          <w:sz w:val="24"/>
          <w:szCs w:val="24"/>
        </w:rPr>
      </w:pPr>
      <w:r w:rsidRPr="00167F7E">
        <w:rPr>
          <w:rFonts w:ascii="Times New Roman" w:hAnsi="Times New Roman" w:cs="Times New Roman"/>
          <w:sz w:val="24"/>
          <w:szCs w:val="24"/>
        </w:rPr>
        <w:t>Supplementary Fig. S8. Metabolism of dimethylsulfoniopropionate (DMSP), gene expression levels, and gene clusters across the reconstructed genomes. a) relative abundance of dmdA transcripts from each bin, b) organization of the clusters of genes involved in DMSP utilization and c) Pathway for the utilization of DMSP.</w:t>
      </w:r>
    </w:p>
    <w:p w:rsidR="00167F7E" w:rsidRPr="00167F7E" w:rsidRDefault="00167F7E" w:rsidP="00167F7E">
      <w:pPr>
        <w:spacing w:line="360" w:lineRule="auto"/>
        <w:rPr>
          <w:rFonts w:ascii="Times New Roman" w:hAnsi="Times New Roman" w:cs="Times New Roman"/>
          <w:sz w:val="24"/>
          <w:szCs w:val="24"/>
        </w:rPr>
      </w:pPr>
      <w:r w:rsidRPr="00167F7E">
        <w:rPr>
          <w:rFonts w:ascii="Times New Roman" w:hAnsi="Times New Roman" w:cs="Times New Roman"/>
          <w:sz w:val="24"/>
          <w:szCs w:val="24"/>
        </w:rPr>
        <w:t>1, DMSP demethylase (dmdA); 2, O-acetylhomoserine aminocarboxypropyltransferase; 3, alpha/beta hydrolase fold protein; 4; 3-hydroxyacyl-CoA dehydrogenase (dmdC); 5, acyl-CoA synthetase (dmdB); MMPA, methylmercaptopropionate; MMPA-CoA, 3-methylmercaptopropionyl-CoA, MTA-CoA, methylthioacryloyl-CoA.</w:t>
      </w:r>
    </w:p>
    <w:p w:rsidR="00060EFE" w:rsidRDefault="00060EFE" w:rsidP="00167F7E">
      <w:pPr>
        <w:spacing w:line="360" w:lineRule="auto"/>
        <w:rPr>
          <w:rFonts w:ascii="Times New Roman" w:hAnsi="Times New Roman" w:cs="Times New Roman"/>
          <w:sz w:val="24"/>
          <w:szCs w:val="24"/>
        </w:rPr>
        <w:sectPr w:rsidR="00060EFE" w:rsidSect="00060EFE">
          <w:pgSz w:w="16838" w:h="11906" w:orient="landscape"/>
          <w:pgMar w:top="720" w:right="720" w:bottom="720" w:left="720" w:header="851" w:footer="992" w:gutter="0"/>
          <w:cols w:space="425"/>
          <w:docGrid w:linePitch="360"/>
        </w:sectPr>
      </w:pPr>
    </w:p>
    <w:p w:rsidR="00167F7E" w:rsidRDefault="00060EFE" w:rsidP="00060EFE">
      <w:pPr>
        <w:spacing w:line="360" w:lineRule="auto"/>
        <w:jc w:val="center"/>
        <w:rPr>
          <w:rFonts w:ascii="Times New Roman" w:hAnsi="Times New Roman" w:cs="Times New Roman"/>
          <w:sz w:val="24"/>
          <w:szCs w:val="24"/>
        </w:rPr>
      </w:pPr>
      <w:r w:rsidRPr="00060EFE">
        <w:drawing>
          <wp:inline distT="0" distB="0" distL="0" distR="0">
            <wp:extent cx="8637312" cy="4810125"/>
            <wp:effectExtent l="0" t="0" r="0" b="0"/>
            <wp:docPr id="1029" name="그림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644658" cy="4814216"/>
                    </a:xfrm>
                    <a:prstGeom prst="rect">
                      <a:avLst/>
                    </a:prstGeom>
                    <a:noFill/>
                    <a:ln>
                      <a:noFill/>
                    </a:ln>
                  </pic:spPr>
                </pic:pic>
              </a:graphicData>
            </a:graphic>
          </wp:inline>
        </w:drawing>
      </w:r>
    </w:p>
    <w:p w:rsidR="00621C2F" w:rsidRDefault="00167F7E" w:rsidP="00167F7E">
      <w:pPr>
        <w:spacing w:line="360" w:lineRule="auto"/>
        <w:rPr>
          <w:rFonts w:ascii="Times New Roman" w:hAnsi="Times New Roman" w:cs="Times New Roman"/>
          <w:sz w:val="24"/>
          <w:szCs w:val="24"/>
        </w:rPr>
      </w:pPr>
      <w:r w:rsidRPr="00167F7E">
        <w:rPr>
          <w:rFonts w:ascii="Times New Roman" w:hAnsi="Times New Roman" w:cs="Times New Roman"/>
          <w:sz w:val="24"/>
          <w:szCs w:val="24"/>
        </w:rPr>
        <w:t>Supplementary Figure S9. Synteny of GM1_Ant, GM2_Ant and fosmic clone Ant4D3. Colors are assigned based on the COG classification.</w:t>
      </w:r>
    </w:p>
    <w:p w:rsidR="009E63A8" w:rsidRDefault="009E63A8" w:rsidP="00167F7E">
      <w:pPr>
        <w:spacing w:line="360" w:lineRule="auto"/>
        <w:rPr>
          <w:rFonts w:ascii="Times New Roman" w:hAnsi="Times New Roman" w:cs="Times New Roman"/>
          <w:sz w:val="24"/>
          <w:szCs w:val="24"/>
        </w:rPr>
      </w:pPr>
    </w:p>
    <w:p w:rsidR="009E63A8" w:rsidRDefault="009E63A8">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rsidR="009E63A8" w:rsidRDefault="009E63A8" w:rsidP="00167F7E">
      <w:pPr>
        <w:spacing w:line="360" w:lineRule="auto"/>
        <w:rPr>
          <w:rFonts w:ascii="Times New Roman" w:hAnsi="Times New Roman" w:cs="Times New Roman"/>
          <w:sz w:val="24"/>
          <w:szCs w:val="24"/>
        </w:rPr>
        <w:sectPr w:rsidR="009E63A8" w:rsidSect="00060EFE">
          <w:pgSz w:w="16838" w:h="11906" w:orient="landscape"/>
          <w:pgMar w:top="720" w:right="720" w:bottom="720" w:left="720" w:header="851" w:footer="992" w:gutter="0"/>
          <w:cols w:space="425"/>
          <w:docGrid w:linePitch="360"/>
        </w:sectPr>
      </w:pPr>
    </w:p>
    <w:p w:rsidR="009E63A8" w:rsidRDefault="009E63A8" w:rsidP="00167F7E">
      <w:pPr>
        <w:spacing w:line="360" w:lineRule="auto"/>
        <w:rPr>
          <w:rFonts w:ascii="Times New Roman" w:hAnsi="Times New Roman" w:cs="Times New Roman"/>
          <w:b/>
          <w:sz w:val="24"/>
          <w:szCs w:val="24"/>
        </w:rPr>
      </w:pPr>
      <w:r w:rsidRPr="009E63A8">
        <w:rPr>
          <w:rFonts w:ascii="Times New Roman" w:hAnsi="Times New Roman" w:cs="Times New Roman" w:hint="eastAsia"/>
          <w:b/>
          <w:sz w:val="24"/>
          <w:szCs w:val="24"/>
        </w:rPr>
        <w:t>Reference</w:t>
      </w:r>
    </w:p>
    <w:p w:rsidR="009E63A8" w:rsidRPr="0094239E" w:rsidRDefault="009E63A8" w:rsidP="009E63A8">
      <w:pPr>
        <w:pStyle w:val="EndNoteBibliography"/>
        <w:ind w:left="720" w:hanging="720"/>
      </w:pPr>
      <w:r>
        <w:t>1</w:t>
      </w:r>
      <w:r w:rsidRPr="0094239E">
        <w:t>.</w:t>
      </w:r>
      <w:r w:rsidRPr="0094239E">
        <w:tab/>
        <w:t>Kim JG, Park SJ, Quan ZX, Jung MY, Cha IT, Kim SJ, Kim KH, Yang EJ, Kim YN, Lee SH</w:t>
      </w:r>
      <w:r w:rsidRPr="0094239E">
        <w:rPr>
          <w:i/>
        </w:rPr>
        <w:t xml:space="preserve"> et al</w:t>
      </w:r>
      <w:r w:rsidRPr="0094239E">
        <w:t xml:space="preserve">: </w:t>
      </w:r>
      <w:r w:rsidRPr="0094239E">
        <w:rPr>
          <w:b/>
        </w:rPr>
        <w:t xml:space="preserve">Unveiling abundance and distribution of planktonic </w:t>
      </w:r>
      <w:r w:rsidRPr="0094239E">
        <w:rPr>
          <w:b/>
          <w:i/>
        </w:rPr>
        <w:t>Bacteria</w:t>
      </w:r>
      <w:r w:rsidRPr="0094239E">
        <w:rPr>
          <w:b/>
        </w:rPr>
        <w:t xml:space="preserve"> and </w:t>
      </w:r>
      <w:r w:rsidRPr="0094239E">
        <w:rPr>
          <w:b/>
          <w:i/>
        </w:rPr>
        <w:t>Archaea</w:t>
      </w:r>
      <w:r w:rsidRPr="0094239E">
        <w:rPr>
          <w:b/>
        </w:rPr>
        <w:t xml:space="preserve"> in a polynya in Amundsen Sea, Antarctica</w:t>
      </w:r>
      <w:r w:rsidRPr="0094239E">
        <w:t xml:space="preserve">. </w:t>
      </w:r>
      <w:r w:rsidRPr="0094239E">
        <w:rPr>
          <w:i/>
        </w:rPr>
        <w:t xml:space="preserve">Environ Microbiol </w:t>
      </w:r>
      <w:r w:rsidRPr="0094239E">
        <w:t xml:space="preserve">2014, </w:t>
      </w:r>
      <w:r w:rsidRPr="0094239E">
        <w:rPr>
          <w:b/>
        </w:rPr>
        <w:t>16</w:t>
      </w:r>
      <w:r w:rsidRPr="0094239E">
        <w:t>(6):1566-1578.</w:t>
      </w:r>
    </w:p>
    <w:p w:rsidR="009E63A8" w:rsidRPr="009E63A8" w:rsidRDefault="009E63A8" w:rsidP="009E63A8">
      <w:pPr>
        <w:spacing w:line="360" w:lineRule="auto"/>
        <w:rPr>
          <w:rFonts w:ascii="Times New Roman" w:hAnsi="Times New Roman" w:cs="Times New Roman"/>
          <w:b/>
          <w:sz w:val="24"/>
          <w:szCs w:val="24"/>
        </w:rPr>
      </w:pPr>
      <w:bookmarkStart w:id="0" w:name="_GoBack"/>
      <w:bookmarkEnd w:id="0"/>
    </w:p>
    <w:sectPr w:rsidR="009E63A8" w:rsidRPr="009E63A8" w:rsidSect="009E63A8">
      <w:pgSz w:w="11906" w:h="16838"/>
      <w:pgMar w:top="720" w:right="720" w:bottom="720" w:left="72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A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F7E"/>
    <w:rsid w:val="00060EFE"/>
    <w:rsid w:val="00122B10"/>
    <w:rsid w:val="00167F7E"/>
    <w:rsid w:val="005A2D91"/>
    <w:rsid w:val="00625090"/>
    <w:rsid w:val="009E63A8"/>
    <w:rsid w:val="00AC2BDD"/>
    <w:rsid w:val="00FD0B3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146BE"/>
  <w15:chartTrackingRefBased/>
  <w15:docId w15:val="{80A4E4A1-8AC2-4625-96BB-5E2F8572E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2BDD"/>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EndNoteBibliography">
    <w:name w:val="EndNote Bibliography"/>
    <w:basedOn w:val="a"/>
    <w:link w:val="EndNoteBibliographyChar"/>
    <w:rsid w:val="009E63A8"/>
    <w:pPr>
      <w:spacing w:after="200" w:line="360" w:lineRule="auto"/>
    </w:pPr>
    <w:rPr>
      <w:rFonts w:ascii="Times New Roman" w:eastAsia="맑은 고딕" w:hAnsi="Times New Roman" w:cs="Times New Roman"/>
      <w:noProof/>
      <w:sz w:val="24"/>
    </w:rPr>
  </w:style>
  <w:style w:type="character" w:customStyle="1" w:styleId="EndNoteBibliographyChar">
    <w:name w:val="EndNote Bibliography Char"/>
    <w:basedOn w:val="a0"/>
    <w:link w:val="EndNoteBibliography"/>
    <w:rsid w:val="009E63A8"/>
    <w:rPr>
      <w:rFonts w:ascii="Times New Roman" w:eastAsia="맑은 고딕" w:hAnsi="Times New Roman" w:cs="Times New Roman"/>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18" Type="http://schemas.openxmlformats.org/officeDocument/2006/relationships/image" Target="media/image15.emf"/><Relationship Id="rId3" Type="http://schemas.openxmlformats.org/officeDocument/2006/relationships/webSettings" Target="webSettings.xml"/><Relationship Id="rId21" Type="http://schemas.openxmlformats.org/officeDocument/2006/relationships/image" Target="media/image18.emf"/><Relationship Id="rId7" Type="http://schemas.openxmlformats.org/officeDocument/2006/relationships/image" Target="media/image4.emf"/><Relationship Id="rId12" Type="http://schemas.openxmlformats.org/officeDocument/2006/relationships/image" Target="media/image9.emf"/><Relationship Id="rId17" Type="http://schemas.openxmlformats.org/officeDocument/2006/relationships/image" Target="media/image14.emf"/><Relationship Id="rId2" Type="http://schemas.openxmlformats.org/officeDocument/2006/relationships/settings" Target="settings.xml"/><Relationship Id="rId16" Type="http://schemas.openxmlformats.org/officeDocument/2006/relationships/image" Target="media/image13.emf"/><Relationship Id="rId20" Type="http://schemas.openxmlformats.org/officeDocument/2006/relationships/image" Target="media/image17.emf"/><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24" Type="http://schemas.openxmlformats.org/officeDocument/2006/relationships/theme" Target="theme/theme1.xml"/><Relationship Id="rId5" Type="http://schemas.openxmlformats.org/officeDocument/2006/relationships/image" Target="media/image2.emf"/><Relationship Id="rId15" Type="http://schemas.openxmlformats.org/officeDocument/2006/relationships/image" Target="media/image12.emf"/><Relationship Id="rId23" Type="http://schemas.openxmlformats.org/officeDocument/2006/relationships/fontTable" Target="fontTable.xml"/><Relationship Id="rId10" Type="http://schemas.openxmlformats.org/officeDocument/2006/relationships/image" Target="media/image7.emf"/><Relationship Id="rId19" Type="http://schemas.openxmlformats.org/officeDocument/2006/relationships/image" Target="media/image16.emf"/><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image" Target="media/image11.png"/><Relationship Id="rId22" Type="http://schemas.openxmlformats.org/officeDocument/2006/relationships/image" Target="media/image19.em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702</Words>
  <Characters>4006</Characters>
  <Application>Microsoft Office Word</Application>
  <DocSecurity>0</DocSecurity>
  <Lines>33</Lines>
  <Paragraphs>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Windows 사용자</cp:lastModifiedBy>
  <cp:revision>1</cp:revision>
  <dcterms:created xsi:type="dcterms:W3CDTF">2019-02-07T03:33:00Z</dcterms:created>
  <dcterms:modified xsi:type="dcterms:W3CDTF">2019-02-07T04:40:00Z</dcterms:modified>
</cp:coreProperties>
</file>