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F2253" w14:textId="77777777" w:rsidR="00414F04" w:rsidRDefault="00414F04" w:rsidP="00414F04"/>
    <w:p w14:paraId="32947683" w14:textId="60ECAC00" w:rsidR="00414F04" w:rsidRDefault="00414F04" w:rsidP="00414F04">
      <w:r>
        <w:t>Table S</w:t>
      </w:r>
      <w:r w:rsidR="003A6211">
        <w:t>6</w:t>
      </w:r>
      <w:bookmarkStart w:id="0" w:name="_GoBack"/>
      <w:bookmarkEnd w:id="0"/>
      <w:r>
        <w:t>: Genes quantified using qPCR</w:t>
      </w:r>
    </w:p>
    <w:tbl>
      <w:tblPr>
        <w:tblStyle w:val="TableGrid"/>
        <w:tblW w:w="0" w:type="auto"/>
        <w:tblLook w:val="04A0" w:firstRow="1" w:lastRow="0" w:firstColumn="1" w:lastColumn="0" w:noHBand="0" w:noVBand="1"/>
      </w:tblPr>
      <w:tblGrid>
        <w:gridCol w:w="1152"/>
        <w:gridCol w:w="1941"/>
        <w:gridCol w:w="1589"/>
        <w:gridCol w:w="1829"/>
        <w:gridCol w:w="1709"/>
      </w:tblGrid>
      <w:tr w:rsidR="00414F04" w14:paraId="2657CE4C" w14:textId="77777777" w:rsidTr="00021AF3">
        <w:tc>
          <w:tcPr>
            <w:tcW w:w="1152" w:type="dxa"/>
          </w:tcPr>
          <w:p w14:paraId="04934773" w14:textId="77777777" w:rsidR="00414F04" w:rsidRDefault="00414F04" w:rsidP="00021AF3">
            <w:r>
              <w:t>Gene</w:t>
            </w:r>
          </w:p>
        </w:tc>
        <w:tc>
          <w:tcPr>
            <w:tcW w:w="1941" w:type="dxa"/>
          </w:tcPr>
          <w:p w14:paraId="2128C1AC" w14:textId="77777777" w:rsidR="00414F04" w:rsidRDefault="00414F04" w:rsidP="00021AF3">
            <w:r>
              <w:t>N-cycling step</w:t>
            </w:r>
          </w:p>
        </w:tc>
        <w:tc>
          <w:tcPr>
            <w:tcW w:w="1469" w:type="dxa"/>
          </w:tcPr>
          <w:p w14:paraId="339AB47C" w14:textId="77777777" w:rsidR="00414F04" w:rsidRDefault="00414F04" w:rsidP="00021AF3">
            <w:r>
              <w:t>F primer</w:t>
            </w:r>
          </w:p>
        </w:tc>
        <w:tc>
          <w:tcPr>
            <w:tcW w:w="1709" w:type="dxa"/>
          </w:tcPr>
          <w:p w14:paraId="510ABA15" w14:textId="77777777" w:rsidR="00414F04" w:rsidRDefault="00414F04" w:rsidP="00021AF3">
            <w:r>
              <w:t>R primer</w:t>
            </w:r>
          </w:p>
        </w:tc>
        <w:tc>
          <w:tcPr>
            <w:tcW w:w="1709" w:type="dxa"/>
          </w:tcPr>
          <w:p w14:paraId="2391AAF2" w14:textId="77777777" w:rsidR="00414F04" w:rsidRDefault="00414F04" w:rsidP="00021AF3">
            <w:r>
              <w:t>Reference</w:t>
            </w:r>
          </w:p>
        </w:tc>
      </w:tr>
      <w:tr w:rsidR="00414F04" w14:paraId="5596CE1B" w14:textId="77777777" w:rsidTr="00021AF3">
        <w:tc>
          <w:tcPr>
            <w:tcW w:w="1152" w:type="dxa"/>
          </w:tcPr>
          <w:p w14:paraId="1191FEEC" w14:textId="77777777" w:rsidR="00414F04" w:rsidRPr="001717B2" w:rsidRDefault="00414F04" w:rsidP="00021AF3">
            <w:pPr>
              <w:rPr>
                <w:i/>
              </w:rPr>
            </w:pPr>
            <w:r>
              <w:rPr>
                <w:i/>
              </w:rPr>
              <w:t>nifH</w:t>
            </w:r>
          </w:p>
        </w:tc>
        <w:tc>
          <w:tcPr>
            <w:tcW w:w="1941" w:type="dxa"/>
          </w:tcPr>
          <w:p w14:paraId="28ED57E3" w14:textId="77777777" w:rsidR="00414F04" w:rsidRDefault="00414F04" w:rsidP="00021AF3">
            <w:r>
              <w:t>N fixation</w:t>
            </w:r>
          </w:p>
        </w:tc>
        <w:tc>
          <w:tcPr>
            <w:tcW w:w="1469" w:type="dxa"/>
          </w:tcPr>
          <w:p w14:paraId="34516320" w14:textId="77777777" w:rsidR="00414F04" w:rsidRDefault="00414F04" w:rsidP="00021AF3">
            <w:r>
              <w:t>PolF</w:t>
            </w:r>
          </w:p>
        </w:tc>
        <w:tc>
          <w:tcPr>
            <w:tcW w:w="1709" w:type="dxa"/>
          </w:tcPr>
          <w:p w14:paraId="31549D4A" w14:textId="77777777" w:rsidR="00414F04" w:rsidRDefault="00414F04" w:rsidP="00021AF3">
            <w:r>
              <w:t>PolR</w:t>
            </w:r>
          </w:p>
        </w:tc>
        <w:tc>
          <w:tcPr>
            <w:tcW w:w="1709" w:type="dxa"/>
          </w:tcPr>
          <w:p w14:paraId="1622F17C" w14:textId="69A95880" w:rsidR="00414F04" w:rsidRDefault="00414F04" w:rsidP="00021AF3">
            <w:r>
              <w:fldChar w:fldCharType="begin"/>
            </w:r>
            <w:r w:rsidR="00421897">
              <w:instrText xml:space="preserve"> ADDIN ZOTERO_ITEM CSL_CITATION {"citationID":"XUDjSFGt","properties":{"formattedCitation":"[1]","plainCitation":"[1]","noteIndex":0},"citationItems":[{"id":2942,"uris":["http://zotero.org/users/2910701/items/QC7E94IJ"],"uri":["http://zotero.org/users/2910701/items/QC7E94IJ"],"itemData":{"id":2942,"type":"article-journal","title":"Comparison of nifH Gene Pools in Soils and Soil Microenvironments with Contrasting Properties","container-title":"Appl. Environ. Microbiol.","page":"2255-2262","volume":"67","issue":"5","source":"aem.asm.org","abstract":"The similarities and differences in the structures of thenifH gene pools of six different soils (Montrond, LCSA-p, Vernon, Dombes, LCSA-c, and Thysse Kaymor) and five soil fractions extracted from LCSA-c were studied. Bacterial DNA was directly extracted from the soils, and a region of thenifH gene was amplified by PCR and analyzed by restriction. Soils were selected on the basis of differences in soil management, plant cover, and major physicochemical properties. Microenvironments differed on the basis of the sizes of the constituent particles and the organic carbon and clay contents. Restriction profiles were subjected to principal-component analysis. We showed that the composition of the diazotrophic communities varied both on a large scale (among soils) and on a microscale (among microenvironments in LCSA-c soil). Soil management seemed to be the major parameter influencing differences in the nifH gene pool structure among soils by controlling inorganic nitrogen content and its variation. However, physicochemical parameters (texture and total C and N contents) were found to correlate with differences amongnifH gene pools on a microscale. We hypothesize that the observed nifH genetic structures resulted from the adaptation to fluctuating conditions (cultivated soil, forest soil, coarse fractions) or constant conditions (permanent pasture soil, fine fractions). We attempted to identify a specific band within the profile of the clay fraction by cloning and sequencing it and comparing it with the gene databases. Unexpectedly, the nifH sequences of the dominant bacteria were most similar to sequences of unidentified marine eubacteria.","DOI":"10.1128/AEM.67.5.2255-2262.2001","ISSN":"0099-2240, 1098-5336","note":"PMID: 11319109","journalAbbreviation":"Appl. Environ. Microbiol.","language":"en","author":[{"family":"Poly","given":"Franck"},{"family":"Ranjard","given":"Lionel"},{"family":"Nazaret","given":"Sylvie"},{"family":"Gourbière","given":"François"},{"family":"Monrozier","given":"Lucile Jocteur"}],"issued":{"date-parts":[["2001",5,1]]}}}],"schema":"https://github.com/citation-style-language/schema/raw/master/csl-citation.json"} </w:instrText>
            </w:r>
            <w:r>
              <w:fldChar w:fldCharType="separate"/>
            </w:r>
            <w:r w:rsidR="00421897" w:rsidRPr="00421897">
              <w:t>[1]</w:t>
            </w:r>
            <w:r>
              <w:fldChar w:fldCharType="end"/>
            </w:r>
          </w:p>
        </w:tc>
      </w:tr>
      <w:tr w:rsidR="00414F04" w14:paraId="32A2730B" w14:textId="77777777" w:rsidTr="00021AF3">
        <w:tc>
          <w:tcPr>
            <w:tcW w:w="1152" w:type="dxa"/>
          </w:tcPr>
          <w:p w14:paraId="156DB428" w14:textId="77777777" w:rsidR="00414F04" w:rsidRPr="00340A59" w:rsidRDefault="00414F04" w:rsidP="00021AF3">
            <w:r w:rsidRPr="001717B2">
              <w:rPr>
                <w:i/>
              </w:rPr>
              <w:t>amoA</w:t>
            </w:r>
          </w:p>
        </w:tc>
        <w:tc>
          <w:tcPr>
            <w:tcW w:w="1941" w:type="dxa"/>
          </w:tcPr>
          <w:p w14:paraId="2CA52DE9" w14:textId="77777777" w:rsidR="00414F04" w:rsidRDefault="00414F04" w:rsidP="00021AF3">
            <w:r>
              <w:t>Archaeal nitrification</w:t>
            </w:r>
          </w:p>
        </w:tc>
        <w:tc>
          <w:tcPr>
            <w:tcW w:w="1469" w:type="dxa"/>
          </w:tcPr>
          <w:p w14:paraId="57DF1324" w14:textId="438AC431" w:rsidR="00414F04" w:rsidRDefault="00414F04" w:rsidP="00021AF3">
            <w:r>
              <w:t>Cre</w:t>
            </w:r>
            <w:r w:rsidR="00421897">
              <w:t>n</w:t>
            </w:r>
            <w:r>
              <w:t>amoA23f</w:t>
            </w:r>
          </w:p>
        </w:tc>
        <w:tc>
          <w:tcPr>
            <w:tcW w:w="1709" w:type="dxa"/>
          </w:tcPr>
          <w:p w14:paraId="23EE4191" w14:textId="3D956651" w:rsidR="00414F04" w:rsidRDefault="00414F04" w:rsidP="00021AF3">
            <w:r>
              <w:t>Cre</w:t>
            </w:r>
            <w:r w:rsidR="00421897">
              <w:t>n</w:t>
            </w:r>
            <w:r>
              <w:t>amoA6161r</w:t>
            </w:r>
          </w:p>
        </w:tc>
        <w:tc>
          <w:tcPr>
            <w:tcW w:w="1709" w:type="dxa"/>
          </w:tcPr>
          <w:p w14:paraId="06562A53" w14:textId="15E07AAF" w:rsidR="00414F04" w:rsidRDefault="00421897" w:rsidP="00021AF3">
            <w:r>
              <w:fldChar w:fldCharType="begin"/>
            </w:r>
            <w:r>
              <w:instrText xml:space="preserve"> ADDIN ZOTERO_ITEM CSL_CITATION {"citationID":"5FpW0C2u","properties":{"formattedCitation":"[2]","plainCitation":"[2]","noteIndex":0},"citationItems":[{"id":3385,"uris":["http://zotero.org/users/2910701/items/X5H8MKQ8"],"uri":["http://zotero.org/users/2910701/items/X5H8MKQ8"],"itemData":{"id":3385,"type":"article-journal","title":"Growth, activity and temperature responses of ammonia-oxidizing archaea and bacteria in soil microcosms","container-title":"Environmental Microbiology","page":"1357-1364","volume":"10","issue":"5","source":"PubMed","abstract":"Ammonia oxidation, as the first step in the nitrification process, plays a central role in the global cycling of nitrogen. Although bacteria are traditionally considered to be responsible for ammonia oxidation, a role for archaea has been suggested by data from metagenomic studies and by the isolation of a marine, autotrophic, ammonia-oxidizing, non-thermophilic crenarchaeon. Evidence for ammonia oxidation by non-thermophilic crenarchaea in marine and terrestrial environments is largely based on abundance of bacterial and archaeal ammonia monooxygenase (amo) genes, rather than activity. In this study, we have determined the influence of temperature on the response of ammonia-oxidizing bacteria and archaea in nitrifying soil microcosms using two approaches, involving analysis of transcriptional activity of 16S rRNA genes and of a key functional gene, amoA, which encodes ammonia monooxygenase subunit A. There was little evidence of changes in relative abundance or transcriptional activity of ammonia-oxidizing bacteria during nitrification. In contrast, denaturing gradient gel electrophoresis analysis of crenarchaeal 16S rRNA and crenarchaeal amoA genes provided strong evidence of changes in community structure of active archaeal ammonia oxidizers. Community structure changes were similar during incubation at different temperatures and much of the activity was due to a group of non-thermophilic crenarchaea associated with subsurface and marine environments, rather than soil. The findings suggest a role for crenarchaea in soil nitrification and that further information is required on their biogeography.","DOI":"10.1111/j.1462-2920.2007.01563.x","ISSN":"1462-2920","note":"PMID: 18325029","journalAbbreviation":"Environ. Microbiol.","language":"eng","author":[{"family":"Tourna","given":"Maria"},{"family":"Freitag","given":"Thomas E."},{"family":"Nicol","given":"Graeme W."},{"family":"Prosser","given":"James I."}],"issued":{"date-parts":[["2008",5]]}}}],"schema":"https://github.com/citation-style-language/schema/raw/master/csl-citation.json"} </w:instrText>
            </w:r>
            <w:r>
              <w:fldChar w:fldCharType="separate"/>
            </w:r>
            <w:r w:rsidRPr="00421897">
              <w:t>[2]</w:t>
            </w:r>
            <w:r>
              <w:fldChar w:fldCharType="end"/>
            </w:r>
          </w:p>
        </w:tc>
      </w:tr>
      <w:tr w:rsidR="00414F04" w14:paraId="3869209E" w14:textId="77777777" w:rsidTr="00021AF3">
        <w:tc>
          <w:tcPr>
            <w:tcW w:w="1152" w:type="dxa"/>
          </w:tcPr>
          <w:p w14:paraId="1D242C03" w14:textId="77777777" w:rsidR="00414F04" w:rsidRPr="001717B2" w:rsidRDefault="00414F04" w:rsidP="00021AF3">
            <w:pPr>
              <w:rPr>
                <w:i/>
              </w:rPr>
            </w:pPr>
            <w:r w:rsidRPr="001717B2">
              <w:rPr>
                <w:i/>
              </w:rPr>
              <w:t>amoA</w:t>
            </w:r>
          </w:p>
        </w:tc>
        <w:tc>
          <w:tcPr>
            <w:tcW w:w="1941" w:type="dxa"/>
          </w:tcPr>
          <w:p w14:paraId="0FB93FB7" w14:textId="77777777" w:rsidR="00414F04" w:rsidRDefault="00414F04" w:rsidP="00021AF3">
            <w:r>
              <w:t>Bacterial nitrification</w:t>
            </w:r>
          </w:p>
        </w:tc>
        <w:tc>
          <w:tcPr>
            <w:tcW w:w="1469" w:type="dxa"/>
          </w:tcPr>
          <w:p w14:paraId="50CE140A" w14:textId="77777777" w:rsidR="00414F04" w:rsidRDefault="00414F04" w:rsidP="00021AF3">
            <w:r>
              <w:t>amoA-1F</w:t>
            </w:r>
          </w:p>
        </w:tc>
        <w:tc>
          <w:tcPr>
            <w:tcW w:w="1709" w:type="dxa"/>
          </w:tcPr>
          <w:p w14:paraId="0CE3A531" w14:textId="77777777" w:rsidR="00414F04" w:rsidRDefault="00414F04" w:rsidP="00021AF3">
            <w:r>
              <w:t>amoA-2R</w:t>
            </w:r>
          </w:p>
        </w:tc>
        <w:tc>
          <w:tcPr>
            <w:tcW w:w="1709" w:type="dxa"/>
          </w:tcPr>
          <w:p w14:paraId="14450F50" w14:textId="10F66639" w:rsidR="00414F04" w:rsidRDefault="00414F04" w:rsidP="00021AF3">
            <w:r>
              <w:fldChar w:fldCharType="begin"/>
            </w:r>
            <w:r w:rsidR="00421897">
              <w:instrText xml:space="preserve"> ADDIN ZOTERO_ITEM CSL_CITATION {"citationID":"HjDria4k","properties":{"formattedCitation":"[3]","plainCitation":"[3]","noteIndex":0},"citationItems":[{"id":3353,"uris":["http://zotero.org/users/2910701/items/NM8Q59H8"],"uri":["http://zotero.org/users/2910701/items/NM8Q59H8"],"itemData":{"id":3353,"type":"article-journal","title":"The ammonia monooxygenase structural gene amoA as a functional marker: molecular fine-scale analysis of natural ammonia-oxidizing populations","container-title":"Applied and Environmental Microbiology","page":"4704-4712","volume":"63","issue":"12","source":"PubMed","abstract":"The naturally occurring genetic heterogeneity of autotrophic ammonia-oxidizing populations belonging to the beta subclass of the Proteobacteria was studied by using a newly developed PCR-based assay targeting a partial stretch of the gene which encodes the active-site polypeptide of ammonia monooxygenase (amoA). The PCR yielded a specific 491-bp fragment with all of the nitrifiers tested, but not with the homologous stretch of the particulate methane monooxygenase, a key enzyme of methane-oxidizing bacteria. The assay also specifically detected amoA in DNA extracted from various aquatic and terrestrial environments. The resulting PCR products retrieved from rice roots, activated sludge, a freshwater sample, and an enrichment culture were used for the generation of amoA gene libraries. No false positives were detected in a set of 47 randomly selected clone sequences that were analyzed further. The majority of the environmental sequences retrieved from rice roots and activated sludge grouped within the phylogenetic radiation defined by cultured strains of the genera Nitrosomonas and Nitrosospira. The comparative analysis identified members of both of these genera in activated sludge; however, only Nitrosospira-like sequences with very similar amino acid patterns were found on rice roots. Further differentiation of these molecular isolates was clearly possible on the nucleic acid level due to the accumulation of synonymous mutations, suggesting that several closely related but distinct Nitrosospira-like populations are the main colonizers of the rhizosphere of rice. Each of the amoA gene libraries obtained from the freshwater sample and the enrichment culture was dominated by a novel lineage that shared a branch with the Nitrosospira cluster but could not be assigned to any of the known pure cultures. Our data suggest that amoA represents a very powerful molecular tool for analyzing indigenous ammonia-oxidizing communities due to (i) its specificity, (ii) its fine-scale resolution of closely related populations, and (iii) the fact that a functional trait rather than a phylogenetic trait is detected.","ISSN":"0099-2240","note":"PMID: 9406389\nPMCID: PMC168793","title-short":"The ammonia monooxygenase structural gene amoA as a functional marker","journalAbbreviation":"Appl. Environ. Microbiol.","language":"eng","author":[{"family":"Rotthauwe","given":"J. H."},{"family":"Witzel","given":"K. P."},{"family":"Liesack","given":"W."}],"issued":{"date-parts":[["1997",12]]}}}],"schema":"https://github.com/citation-style-language/schema/raw/master/csl-citation.json"} </w:instrText>
            </w:r>
            <w:r>
              <w:fldChar w:fldCharType="separate"/>
            </w:r>
            <w:r w:rsidR="00421897" w:rsidRPr="00421897">
              <w:t>[3]</w:t>
            </w:r>
            <w:r>
              <w:fldChar w:fldCharType="end"/>
            </w:r>
          </w:p>
        </w:tc>
      </w:tr>
      <w:tr w:rsidR="00414F04" w14:paraId="49805AB3" w14:textId="77777777" w:rsidTr="00021AF3">
        <w:tc>
          <w:tcPr>
            <w:tcW w:w="1152" w:type="dxa"/>
          </w:tcPr>
          <w:p w14:paraId="34151BD9" w14:textId="77777777" w:rsidR="00414F04" w:rsidRPr="001717B2" w:rsidRDefault="00414F04" w:rsidP="00021AF3">
            <w:pPr>
              <w:rPr>
                <w:i/>
              </w:rPr>
            </w:pPr>
            <w:r w:rsidRPr="001717B2">
              <w:rPr>
                <w:i/>
              </w:rPr>
              <w:t>nirK</w:t>
            </w:r>
          </w:p>
        </w:tc>
        <w:tc>
          <w:tcPr>
            <w:tcW w:w="1941" w:type="dxa"/>
          </w:tcPr>
          <w:p w14:paraId="28DA347E" w14:textId="77777777" w:rsidR="00414F04" w:rsidRDefault="00414F04" w:rsidP="00021AF3">
            <w:r>
              <w:t>Denitrification</w:t>
            </w:r>
          </w:p>
        </w:tc>
        <w:tc>
          <w:tcPr>
            <w:tcW w:w="1469" w:type="dxa"/>
          </w:tcPr>
          <w:p w14:paraId="561C8563" w14:textId="77777777" w:rsidR="00414F04" w:rsidRDefault="00414F04" w:rsidP="00021AF3">
            <w:r>
              <w:t>nirK876</w:t>
            </w:r>
          </w:p>
        </w:tc>
        <w:tc>
          <w:tcPr>
            <w:tcW w:w="1709" w:type="dxa"/>
          </w:tcPr>
          <w:p w14:paraId="1F3608F9" w14:textId="77777777" w:rsidR="00414F04" w:rsidRDefault="00414F04" w:rsidP="00021AF3">
            <w:r>
              <w:t>nirK1040</w:t>
            </w:r>
          </w:p>
        </w:tc>
        <w:tc>
          <w:tcPr>
            <w:tcW w:w="1709" w:type="dxa"/>
          </w:tcPr>
          <w:p w14:paraId="77030269" w14:textId="55954776" w:rsidR="00414F04" w:rsidRDefault="00414F04" w:rsidP="00021AF3">
            <w:r>
              <w:fldChar w:fldCharType="begin"/>
            </w:r>
            <w:r w:rsidR="00421897">
              <w:instrText xml:space="preserve"> ADDIN ZOTERO_ITEM CSL_CITATION {"citationID":"bKrOrxEp","properties":{"formattedCitation":"[4]","plainCitation":"[4]","noteIndex":0},"citationItems":[{"id":3355,"uris":["http://zotero.org/users/2910701/items/8NS6AQC9"],"uri":["http://zotero.org/users/2910701/items/8NS6AQC9"],"itemData":{"id":3355,"type":"article-journal","title":"Quantification of denitrifying bacteria in soils by nirK gene targeted real-time PCR","container-title":"Journal of Microbiological Methods","page":"327-335","volume":"59","issue":"3","source":"PubMed","abstract":"Denitrification, the reduction of nitrate to nitrous oxide or dinitrogen, is the major biological mechanism by which fixed nitrogen returns to the atmosphere from soil and water. Microorganisms capable of denitrification are widely distributed in the environment but little is known about their abundance since quantification is performed using fastidious and time-consuming MPN-based approaches. We used real-time PCR to quantify the denitrifying nitrite reductase gene (nirK), a key enzyme of the denitrifying pathway catalyzing the reduction of soluble nitrogen oxide to gaseous form. The real-time PCR assay was linear over 7 orders of magnitude and sensitive down to 10(2) copies by assay. Real-time PCR analysis of different soil samples showed nirK densities of 9.7x10(4) to 3.9x10(6) copies per gram of soil. Soil real-time PCR products were cloned and sequenced. Analysis of 56 clone sequences revealed that all cloned real-time PCR products exhibited high similarities to previously described nirK. However, phylogenetic analysis showed that most of environmental sequences are not related to nirK from cultivated denitrifiers.","DOI":"10.1016/j.mimet.2004.07.002","ISSN":"0167-7012","note":"PMID: 15488276","journalAbbreviation":"J. Microbiol. Methods","language":"eng","author":[{"family":"Henry","given":"Sonia"},{"family":"Baudoin","given":"Ezékiel"},{"family":"López-Gutiérrez","given":"Juan C."},{"family":"Martin-Laurent","given":"Fabrice"},{"family":"Brauman","given":"Alain"},{"family":"Philippot","given":"Laurent"}],"issued":{"date-parts":[["2004",12]]}}}],"schema":"https://github.com/citation-style-language/schema/raw/master/csl-citation.json"} </w:instrText>
            </w:r>
            <w:r>
              <w:fldChar w:fldCharType="separate"/>
            </w:r>
            <w:r w:rsidR="00421897" w:rsidRPr="00421897">
              <w:t>[4]</w:t>
            </w:r>
            <w:r>
              <w:fldChar w:fldCharType="end"/>
            </w:r>
          </w:p>
        </w:tc>
      </w:tr>
      <w:tr w:rsidR="00414F04" w14:paraId="37F0BD84" w14:textId="77777777" w:rsidTr="00021AF3">
        <w:tc>
          <w:tcPr>
            <w:tcW w:w="1152" w:type="dxa"/>
          </w:tcPr>
          <w:p w14:paraId="5C2455E0" w14:textId="77777777" w:rsidR="00414F04" w:rsidRPr="001717B2" w:rsidRDefault="00414F04" w:rsidP="00021AF3">
            <w:pPr>
              <w:rPr>
                <w:i/>
              </w:rPr>
            </w:pPr>
            <w:r>
              <w:rPr>
                <w:i/>
              </w:rPr>
              <w:t>nirS</w:t>
            </w:r>
          </w:p>
        </w:tc>
        <w:tc>
          <w:tcPr>
            <w:tcW w:w="1941" w:type="dxa"/>
          </w:tcPr>
          <w:p w14:paraId="78FF4BD6" w14:textId="77777777" w:rsidR="00414F04" w:rsidRDefault="00414F04" w:rsidP="00021AF3">
            <w:r>
              <w:t>Denitrification</w:t>
            </w:r>
          </w:p>
        </w:tc>
        <w:tc>
          <w:tcPr>
            <w:tcW w:w="1469" w:type="dxa"/>
          </w:tcPr>
          <w:p w14:paraId="750D4C4C" w14:textId="77777777" w:rsidR="00414F04" w:rsidRDefault="00414F04" w:rsidP="00021AF3">
            <w:r w:rsidRPr="00E44E8D">
              <w:t>nirSCd3aF</w:t>
            </w:r>
          </w:p>
        </w:tc>
        <w:tc>
          <w:tcPr>
            <w:tcW w:w="1709" w:type="dxa"/>
          </w:tcPr>
          <w:p w14:paraId="1A34EDAF" w14:textId="77777777" w:rsidR="00414F04" w:rsidRDefault="00414F04" w:rsidP="00021AF3">
            <w:r w:rsidRPr="00E44E8D">
              <w:t>nirSR3cd</w:t>
            </w:r>
          </w:p>
        </w:tc>
        <w:tc>
          <w:tcPr>
            <w:tcW w:w="1709" w:type="dxa"/>
          </w:tcPr>
          <w:p w14:paraId="7B8EFF9A" w14:textId="61F1121C" w:rsidR="00414F04" w:rsidRPr="00E44E8D" w:rsidRDefault="00414F04" w:rsidP="00021AF3">
            <w:r>
              <w:fldChar w:fldCharType="begin"/>
            </w:r>
            <w:r w:rsidR="00421897">
              <w:instrText xml:space="preserve"> ADDIN ZOTERO_ITEM CSL_CITATION {"citationID":"IUP2q8BG","properties":{"formattedCitation":"[5]","plainCitation":"[5]","noteIndex":0},"citationItems":[{"id":3357,"uris":["http://zotero.org/users/2910701/items/CD29MG6B"],"uri":["http://zotero.org/users/2910701/items/CD29MG6B"],"itemData":{"id":3357,"type":"article-journal","title":"Abundance of narG, nirS, nirK, and nosZ Genes of Denitrifying Bacteria during Primary Successions of a Glacier Foreland","container-title":"Applied and Environmental Microbiology","page":"5957-5962","volume":"72","issue":"9","source":"PubMed Central","abstract":"Quantitative PCR of denitrification genes encoding the nitrate, nitrite, and nitrous oxide reductases was used to study denitrifiers across a glacier foreland. Environmental samples collected at different distances from a receding glacier contained amounts of 16S rRNA target molecules ranging from 4.9 × 105 to 8.9 × 105 copies per nanogram of DNA but smaller amounts of narG, nirK, and nosZ target molecules. Thus, numbers of narG, nirK, nirS, and nosZ copies per nanogram of DNA ranged from 2.1 × 103 to 2.6 × 104, 7.4 × 102 to 1.4 × 103, 2.5 × 102 to 6.4 × 103, and 1.2 × 103 to 5.5 × 103, respectively. The densities of 16S rRNA genes per gram of soil increased with progressing soil development. The densities as well as relative abundances of different denitrification genes provide evidence that different denitrifier communities develop under primary succession: higher percentages of narG and nirS versus 16S rRNA genes were observed in the early stage of primary succession, while the percentages of nirK and nosZ genes showed no significant increase or decrease with soil age. Statistical analyses revealed that the amount of organic substances was the most important factor in the abundance of eubacteria as well as of nirK and nosZ communities, and copy numbers of these two genes were the most important drivers changing the denitrifying community along the chronosequence. This study yields an initial insight into the ecology of bacteria carrying genes for the denitrification pathway in a newly developing alpine environment.","DOI":"10.1128/AEM.00439-06","ISSN":"0099-2240","note":"PMID: 16957216\nPMCID: PMC1563666","journalAbbreviation":"Appl Environ Microbiol","author":[{"family":"Kandeler","given":"Ellen"},{"family":"Deiglmayr","given":"Kathrin"},{"family":"Tscherko","given":"Dagmar"},{"family":"Bru","given":"David"},{"family":"Philippot","given":"Laurent"}],"issued":{"date-parts":[["2006",9]]}}}],"schema":"https://github.com/citation-style-language/schema/raw/master/csl-citation.json"} </w:instrText>
            </w:r>
            <w:r>
              <w:fldChar w:fldCharType="separate"/>
            </w:r>
            <w:r w:rsidR="00421897" w:rsidRPr="00421897">
              <w:t>[5]</w:t>
            </w:r>
            <w:r>
              <w:fldChar w:fldCharType="end"/>
            </w:r>
          </w:p>
        </w:tc>
      </w:tr>
      <w:tr w:rsidR="00414F04" w14:paraId="720C01F9" w14:textId="77777777" w:rsidTr="00021AF3">
        <w:tc>
          <w:tcPr>
            <w:tcW w:w="1152" w:type="dxa"/>
          </w:tcPr>
          <w:p w14:paraId="29A3537C" w14:textId="77777777" w:rsidR="00414F04" w:rsidRPr="001717B2" w:rsidRDefault="00414F04" w:rsidP="00021AF3">
            <w:pPr>
              <w:rPr>
                <w:i/>
              </w:rPr>
            </w:pPr>
            <w:r w:rsidRPr="001717B2">
              <w:rPr>
                <w:i/>
              </w:rPr>
              <w:t>nosZ</w:t>
            </w:r>
          </w:p>
        </w:tc>
        <w:tc>
          <w:tcPr>
            <w:tcW w:w="1941" w:type="dxa"/>
          </w:tcPr>
          <w:p w14:paraId="79C6906A" w14:textId="77777777" w:rsidR="00414F04" w:rsidRDefault="00414F04" w:rsidP="00021AF3">
            <w:r>
              <w:t>Denitrification</w:t>
            </w:r>
          </w:p>
        </w:tc>
        <w:tc>
          <w:tcPr>
            <w:tcW w:w="1469" w:type="dxa"/>
          </w:tcPr>
          <w:p w14:paraId="519F2094" w14:textId="77777777" w:rsidR="00414F04" w:rsidRDefault="00414F04" w:rsidP="00021AF3">
            <w:r>
              <w:t>nosZ1F</w:t>
            </w:r>
          </w:p>
        </w:tc>
        <w:tc>
          <w:tcPr>
            <w:tcW w:w="1709" w:type="dxa"/>
          </w:tcPr>
          <w:p w14:paraId="60B1A129" w14:textId="77777777" w:rsidR="00414F04" w:rsidRDefault="00414F04" w:rsidP="00021AF3">
            <w:r>
              <w:t>nosZ1R</w:t>
            </w:r>
          </w:p>
        </w:tc>
        <w:tc>
          <w:tcPr>
            <w:tcW w:w="1709" w:type="dxa"/>
          </w:tcPr>
          <w:p w14:paraId="1980821B" w14:textId="6989928D" w:rsidR="00414F04" w:rsidRDefault="00414F04" w:rsidP="00021AF3">
            <w:r>
              <w:fldChar w:fldCharType="begin"/>
            </w:r>
            <w:r w:rsidR="00421897">
              <w:instrText xml:space="preserve"> ADDIN ZOTERO_ITEM CSL_CITATION {"citationID":"kjiAt9dG","properties":{"formattedCitation":"[6]","plainCitation":"[6]","noteIndex":0},"citationItems":[{"id":3359,"uris":["http://zotero.org/users/2910701/items/VR8ZLCBW"],"uri":["http://zotero.org/users/2910701/items/VR8ZLCBW"],"itemData":{"id":3359,"type":"article-journal","title":"Quantitative Detection of the nosZ Gene, Encoding Nitrous Oxide Reductase, and Comparison of the Abundances of 16S rRNA, narG, nirK, and nosZ Genes in Soils","container-title":"Applied and Environmental Microbiology","page":"5181-5189","volume":"72","issue":"8","source":"PubMed Central","abstract":"Nitrous oxide (N2O) is an important greenhouse gas in the troposphere controlling ozone concentration in the stratosphere through nitric oxide production. In order to quantify bacteria capable of N2O reduction, we developed a SYBR green quantitative real-time PCR assay targeting the nosZ gene encoding the catalytic subunit of the nitrous oxide reductase. Two independent sets of nosZ primers flanking the nosZ fragment previously used in diversity studies were designed and tested (K. Kloos, A. Mergel, C. Rösch, and H. Bothe, Aust. J. Plant Physiol. 28:991-998, 2001). The utility of these real-time PCR assays was demonstrated by quantifying the nosZ gene present in six different soils. Detection limits were between 101 and 102 target molecules per reaction for all assays. Sequence analysis of 128 cloned quantitative PCR products confirmed the specificity of the designed primers. The abundance of nosZ genes ranged from 105 to 107 target copies g−1 of dry soil, whereas genes for 16S rRNA were found at 108 to 109 target copies g−1 of dry soil. The abundance of narG and nirK genes was within the upper and lower limits of the 16S rRNA and nosZ gene copy numbers. The two sets of nosZ primers gave similar gene copy numbers for all tested soils. The maximum abundance of nosZ and nirK relative to 16S rRNA was 5 to 6%, confirming the low proportion of denitrifiers to total bacteria in soils.","DOI":"10.1128/AEM.00231-06","ISSN":"0099-2240","note":"PMID: 16885263\nPMCID: PMC1538733","journalAbbreviation":"Appl Environ Microbiol","author":[{"family":"Henry","given":"S."},{"family":"Bru","given":"D."},{"family":"Stres","given":"B."},{"family":"Hallet","given":"S."},{"family":"Philippot","given":"L."}],"issued":{"date-parts":[["2006",8]]}}}],"schema":"https://github.com/citation-style-language/schema/raw/master/csl-citation.json"} </w:instrText>
            </w:r>
            <w:r>
              <w:fldChar w:fldCharType="separate"/>
            </w:r>
            <w:r w:rsidR="00421897" w:rsidRPr="00421897">
              <w:t>[6]</w:t>
            </w:r>
            <w:r>
              <w:fldChar w:fldCharType="end"/>
            </w:r>
          </w:p>
        </w:tc>
      </w:tr>
    </w:tbl>
    <w:p w14:paraId="51B4A830" w14:textId="77777777" w:rsidR="00414F04" w:rsidRDefault="00414F04" w:rsidP="00414F04"/>
    <w:p w14:paraId="1AA527A9" w14:textId="77777777" w:rsidR="00414F04" w:rsidRDefault="00414F04" w:rsidP="00414F04"/>
    <w:p w14:paraId="19B9C8AC" w14:textId="77777777" w:rsidR="00A258E9" w:rsidRPr="00A258E9" w:rsidRDefault="00A258E9" w:rsidP="00A258E9">
      <w:pPr>
        <w:pStyle w:val="Bibliography"/>
      </w:pPr>
      <w:r>
        <w:fldChar w:fldCharType="begin"/>
      </w:r>
      <w:r>
        <w:instrText xml:space="preserve"> ADDIN ZOTERO_BIBL {"uncited":[],"omitted":[],"custom":[]} CSL_BIBLIOGRAPHY </w:instrText>
      </w:r>
      <w:r>
        <w:fldChar w:fldCharType="separate"/>
      </w:r>
      <w:r w:rsidRPr="00A258E9">
        <w:t xml:space="preserve">1. Poly F, Ranjard L, Nazaret S, Gourbière F, Monrozier LJ. Comparison of nifH Gene Pools in Soils and Soil Microenvironments with Contrasting Properties. Appl Environ Microbiol. 2001;67:2255–62. </w:t>
      </w:r>
    </w:p>
    <w:p w14:paraId="07542A35" w14:textId="77777777" w:rsidR="00A258E9" w:rsidRPr="00A258E9" w:rsidRDefault="00A258E9" w:rsidP="00A258E9">
      <w:pPr>
        <w:pStyle w:val="Bibliography"/>
      </w:pPr>
      <w:r w:rsidRPr="00A258E9">
        <w:t xml:space="preserve">2. Tourna M, Freitag TE, Nicol GW, Prosser JI. Growth, activity and temperature responses of ammonia-oxidizing archaea and bacteria in soil microcosms. Environ Microbiol. 2008;10:1357–64. </w:t>
      </w:r>
    </w:p>
    <w:p w14:paraId="42E3DDD0" w14:textId="77777777" w:rsidR="00A258E9" w:rsidRPr="00A258E9" w:rsidRDefault="00A258E9" w:rsidP="00A258E9">
      <w:pPr>
        <w:pStyle w:val="Bibliography"/>
      </w:pPr>
      <w:r w:rsidRPr="00A258E9">
        <w:t xml:space="preserve">3. Rotthauwe JH, Witzel KP, Liesack W. The ammonia monooxygenase structural gene amoA as a functional marker: molecular fine-scale analysis of natural ammonia-oxidizing populations. Appl Environ Microbiol. 1997;63:4704–12. </w:t>
      </w:r>
    </w:p>
    <w:p w14:paraId="3AC154FF" w14:textId="77777777" w:rsidR="00A258E9" w:rsidRPr="00A258E9" w:rsidRDefault="00A258E9" w:rsidP="00A258E9">
      <w:pPr>
        <w:pStyle w:val="Bibliography"/>
      </w:pPr>
      <w:r w:rsidRPr="00A258E9">
        <w:t xml:space="preserve">4. Henry S, Baudoin E, López-Gutiérrez JC, Martin-Laurent F, Brauman A, Philippot L. Quantification of denitrifying bacteria in soils by nirK gene targeted real-time PCR. J Microbiol Methods. 2004;59:327–35. </w:t>
      </w:r>
    </w:p>
    <w:p w14:paraId="25E68BB6" w14:textId="77777777" w:rsidR="00A258E9" w:rsidRPr="00A258E9" w:rsidRDefault="00A258E9" w:rsidP="00A258E9">
      <w:pPr>
        <w:pStyle w:val="Bibliography"/>
      </w:pPr>
      <w:r w:rsidRPr="00A258E9">
        <w:t xml:space="preserve">5. Kandeler E, Deiglmayr K, Tscherko D, Bru D, Philippot L. Abundance of narG, nirS, nirK, and nosZ Genes of Denitrifying Bacteria during Primary Successions of a Glacier Foreland. Appl Environ Microbiol. 2006;72:5957–62. </w:t>
      </w:r>
    </w:p>
    <w:p w14:paraId="188A8D20" w14:textId="77777777" w:rsidR="00A258E9" w:rsidRPr="00A258E9" w:rsidRDefault="00A258E9" w:rsidP="00A258E9">
      <w:pPr>
        <w:pStyle w:val="Bibliography"/>
      </w:pPr>
      <w:r w:rsidRPr="00A258E9">
        <w:t xml:space="preserve">6. Henry S, Bru D, Stres B, Hallet S, Philippot L. Quantitative Detection of the nosZ Gene, Encoding Nitrous Oxide Reductase, and Comparison of the Abundances of 16S rRNA, narG, nirK, and nosZ Genes in Soils. Appl Environ Microbiol. 2006;72:5181–9. </w:t>
      </w:r>
    </w:p>
    <w:p w14:paraId="4CEF394A" w14:textId="4E5ACA42" w:rsidR="00FD0B29" w:rsidRDefault="00A258E9">
      <w:r>
        <w:fldChar w:fldCharType="end"/>
      </w:r>
    </w:p>
    <w:sectPr w:rsidR="00FD0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04"/>
    <w:rsid w:val="00116E60"/>
    <w:rsid w:val="003A6211"/>
    <w:rsid w:val="00414F04"/>
    <w:rsid w:val="00421897"/>
    <w:rsid w:val="0085458D"/>
    <w:rsid w:val="00975900"/>
    <w:rsid w:val="00A258E9"/>
    <w:rsid w:val="00BE2940"/>
    <w:rsid w:val="00E20FF5"/>
    <w:rsid w:val="00F042B1"/>
    <w:rsid w:val="00FD0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04B25"/>
  <w15:chartTrackingRefBased/>
  <w15:docId w15:val="{A4D4E38C-DF62-4272-8BC9-73D88ECA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4F0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4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258E9"/>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Schmidt</dc:creator>
  <cp:keywords/>
  <dc:description/>
  <cp:lastModifiedBy>Jennifer Schmidt</cp:lastModifiedBy>
  <cp:revision>4</cp:revision>
  <dcterms:created xsi:type="dcterms:W3CDTF">2019-04-29T17:01:00Z</dcterms:created>
  <dcterms:modified xsi:type="dcterms:W3CDTF">2019-09-19T14:01:00Z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id="NqRzMd5f"/&gt;&lt;style id="http://www.zotero.org/styles/microbiome" hasBibliography="1" bibliographyStyleHasBeenSet="1"/&gt;&lt;prefs&gt;&lt;pref name="fieldType" value="Field"/&gt;&lt;/prefs&gt;&lt;/data&gt;</vt:lpwstr>
  </property>
</Properties>
</file>