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44A" w:rsidRDefault="004F744A" w:rsidP="004F744A">
      <w:pPr>
        <w:pStyle w:val="LO-normal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W w:w="8300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766"/>
        <w:gridCol w:w="2767"/>
        <w:gridCol w:w="2767"/>
      </w:tblGrid>
      <w:tr w:rsidR="004F744A" w:rsidTr="00AF11C2"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Site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Bacteria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Fungi</w:t>
            </w:r>
          </w:p>
        </w:tc>
      </w:tr>
      <w:tr w:rsidR="004F744A" w:rsidTr="00AF11C2"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PT01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0.216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-0.410</w:t>
            </w:r>
          </w:p>
        </w:tc>
      </w:tr>
      <w:tr w:rsidR="004F744A" w:rsidTr="00AF11C2"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PT03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0.0326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-0.237</w:t>
            </w:r>
          </w:p>
        </w:tc>
      </w:tr>
      <w:tr w:rsidR="004F744A" w:rsidTr="00AF11C2"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PT05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-0.472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-0.495</w:t>
            </w:r>
          </w:p>
        </w:tc>
      </w:tr>
      <w:tr w:rsidR="004F744A" w:rsidTr="00AF11C2"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PT09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0.077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0.138</w:t>
            </w:r>
          </w:p>
        </w:tc>
      </w:tr>
      <w:tr w:rsidR="004F744A" w:rsidTr="00AF11C2"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PT11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-0.075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0.125</w:t>
            </w:r>
          </w:p>
        </w:tc>
      </w:tr>
      <w:tr w:rsidR="004F744A" w:rsidTr="00AF11C2"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PT12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0.385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0.231</w:t>
            </w:r>
          </w:p>
        </w:tc>
      </w:tr>
      <w:tr w:rsidR="004F744A" w:rsidTr="00AF11C2"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PT13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0.293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-0.361</w:t>
            </w:r>
          </w:p>
        </w:tc>
      </w:tr>
      <w:tr w:rsidR="004F744A" w:rsidTr="00AF11C2"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PT15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0.094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0.322</w:t>
            </w:r>
          </w:p>
        </w:tc>
      </w:tr>
      <w:tr w:rsidR="004F744A" w:rsidTr="00AF11C2"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PT16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0.112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0.082</w:t>
            </w:r>
          </w:p>
        </w:tc>
      </w:tr>
      <w:tr w:rsidR="004F744A" w:rsidTr="00AF11C2"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PT17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0.033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44A" w:rsidRDefault="004F744A" w:rsidP="00AF11C2">
            <w:pPr>
              <w:pStyle w:val="LO-normal"/>
              <w:widowControl w:val="0"/>
            </w:pPr>
            <w:r>
              <w:t>-0.0012</w:t>
            </w:r>
          </w:p>
        </w:tc>
      </w:tr>
    </w:tbl>
    <w:p w:rsidR="004F744A" w:rsidRDefault="00A46342" w:rsidP="004F744A">
      <w:pPr>
        <w:pStyle w:val="LO-normal"/>
        <w:spacing w:line="480" w:lineRule="auto"/>
      </w:pPr>
      <w:r>
        <w:rPr>
          <w:b/>
          <w:color w:val="333333"/>
          <w:highlight w:val="white"/>
        </w:rPr>
        <w:t>Additional file 20:</w:t>
      </w:r>
      <w:r w:rsidR="004F744A">
        <w:rPr>
          <w:b/>
          <w:color w:val="333333"/>
          <w:highlight w:val="white"/>
        </w:rPr>
        <w:t xml:space="preserve"> </w:t>
      </w:r>
      <w:r>
        <w:rPr>
          <w:b/>
          <w:color w:val="333333"/>
          <w:highlight w:val="white"/>
        </w:rPr>
        <w:t>T</w:t>
      </w:r>
      <w:r w:rsidR="004F744A">
        <w:rPr>
          <w:b/>
          <w:color w:val="333333"/>
          <w:highlight w:val="white"/>
        </w:rPr>
        <w:t xml:space="preserve">able  </w:t>
      </w:r>
      <w:r>
        <w:rPr>
          <w:b/>
          <w:color w:val="333333"/>
          <w:highlight w:val="white"/>
        </w:rPr>
        <w:t>S</w:t>
      </w:r>
      <w:bookmarkStart w:id="0" w:name="_GoBack"/>
      <w:bookmarkEnd w:id="0"/>
      <w:r w:rsidR="004F744A">
        <w:rPr>
          <w:b/>
          <w:color w:val="333333"/>
          <w:highlight w:val="white"/>
        </w:rPr>
        <w:t>7.</w:t>
      </w:r>
      <w:r w:rsidR="004F744A">
        <w:rPr>
          <w:color w:val="333333"/>
          <w:highlight w:val="white"/>
        </w:rPr>
        <w:t xml:space="preserve">  Average differences of the </w:t>
      </w:r>
      <w:r w:rsidR="004F744A">
        <w:rPr>
          <w:rFonts w:ascii="Noto Sans Symbols" w:eastAsia="Noto Sans Symbols" w:hAnsi="Noto Sans Symbols" w:cs="Noto Sans Symbols"/>
        </w:rPr>
        <w:t>α</w:t>
      </w:r>
      <w:r w:rsidR="004F744A">
        <w:t xml:space="preserve">-diversity of bacterial and fungal communities measured by the </w:t>
      </w:r>
      <w:r w:rsidR="004F744A">
        <w:rPr>
          <w:color w:val="333333"/>
          <w:highlight w:val="white"/>
        </w:rPr>
        <w:t>Shannon entropy between</w:t>
      </w:r>
      <w:r w:rsidR="004F744A">
        <w:t xml:space="preserve"> the Vineyards and P1 samples for each site</w:t>
      </w:r>
      <w:r w:rsidR="004F744A">
        <w:rPr>
          <w:color w:val="333333"/>
          <w:highlight w:val="white"/>
        </w:rPr>
        <w:t xml:space="preserve">. Statistically significant contrasts are highlighted in bold. While for bacteria in no </w:t>
      </w:r>
      <w:r w:rsidR="004F744A">
        <w:t xml:space="preserve"> case the P1 and P2 samples have significantly different richness, for fungi, in two cases the </w:t>
      </w:r>
      <w:r w:rsidR="004F744A">
        <w:rPr>
          <w:rFonts w:ascii="Noto Sans Symbols" w:eastAsia="Noto Sans Symbols" w:hAnsi="Noto Sans Symbols" w:cs="Noto Sans Symbols"/>
        </w:rPr>
        <w:t>α</w:t>
      </w:r>
      <w:r w:rsidR="004F744A">
        <w:t>-diversity of the P2 samples are significantly different from the P1 samples (higher in PT16 and lower in PT17, p-values 0.00116 and 0.040, respectively)</w:t>
      </w:r>
    </w:p>
    <w:p w:rsidR="009E2212" w:rsidRDefault="009E2212"/>
    <w:sectPr w:rsidR="009E2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F744A"/>
    <w:rsid w:val="004F744A"/>
    <w:rsid w:val="00871EDA"/>
    <w:rsid w:val="009E2212"/>
    <w:rsid w:val="00A46342"/>
    <w:rsid w:val="00AD1396"/>
    <w:rsid w:val="00B8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4F744A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4F744A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44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2019-10-17T18:27:00Z</dcterms:created>
  <dcterms:modified xsi:type="dcterms:W3CDTF">2019-10-17T18:44:00Z</dcterms:modified>
</cp:coreProperties>
</file>