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4F00EC" w14:textId="4B7E2215" w:rsidR="00171877" w:rsidRPr="00377CF2" w:rsidRDefault="00171877" w:rsidP="00955D65">
      <w:pPr>
        <w:spacing w:before="100" w:beforeAutospacing="1" w:after="360" w:line="480" w:lineRule="auto"/>
        <w:rPr>
          <w:rFonts w:eastAsia="Times New Roman"/>
          <w:color w:val="000000"/>
          <w:sz w:val="24"/>
          <w:szCs w:val="24"/>
        </w:rPr>
      </w:pPr>
      <w:r w:rsidRPr="00377CF2">
        <w:rPr>
          <w:rFonts w:eastAsia="Times New Roman"/>
          <w:b/>
          <w:sz w:val="24"/>
          <w:szCs w:val="24"/>
        </w:rPr>
        <w:t xml:space="preserve">Additional File </w:t>
      </w:r>
      <w:r w:rsidR="003F7A29" w:rsidRPr="00377CF2">
        <w:rPr>
          <w:rFonts w:eastAsia="Times New Roman"/>
          <w:b/>
          <w:sz w:val="24"/>
          <w:szCs w:val="24"/>
        </w:rPr>
        <w:t>4</w:t>
      </w:r>
      <w:r w:rsidRPr="00377CF2">
        <w:rPr>
          <w:rFonts w:eastAsia="Times New Roman"/>
          <w:b/>
          <w:sz w:val="24"/>
          <w:szCs w:val="24"/>
        </w:rPr>
        <w:t xml:space="preserve">: </w:t>
      </w:r>
      <w:r w:rsidR="00955D65" w:rsidRPr="00377CF2">
        <w:rPr>
          <w:rFonts w:eastAsia="Times New Roman"/>
          <w:b/>
          <w:sz w:val="24"/>
          <w:szCs w:val="24"/>
        </w:rPr>
        <w:t>A method for achieving highly informative 16S rRNA gene V1-V3 region sequencing data using Illumina MiSeq.</w:t>
      </w:r>
      <w:r w:rsidR="00955D65" w:rsidRPr="00377CF2">
        <w:rPr>
          <w:rFonts w:eastAsia="Times New Roman"/>
          <w:color w:val="000000"/>
          <w:sz w:val="24"/>
          <w:szCs w:val="24"/>
        </w:rPr>
        <w:t xml:space="preserve"> </w:t>
      </w:r>
    </w:p>
    <w:p w14:paraId="4CDC098A" w14:textId="791CE356" w:rsidR="00955D65" w:rsidRPr="00377CF2" w:rsidRDefault="00955D65" w:rsidP="00955D65">
      <w:pPr>
        <w:spacing w:before="100" w:beforeAutospacing="1" w:after="360" w:line="480" w:lineRule="auto"/>
        <w:rPr>
          <w:rFonts w:eastAsia="Times New Roman"/>
          <w:color w:val="000000"/>
          <w:sz w:val="24"/>
          <w:szCs w:val="24"/>
        </w:rPr>
      </w:pPr>
      <w:r w:rsidRPr="00377CF2">
        <w:rPr>
          <w:rFonts w:eastAsia="Times New Roman"/>
          <w:color w:val="000000"/>
          <w:sz w:val="24"/>
          <w:szCs w:val="24"/>
        </w:rPr>
        <w:t xml:space="preserve">The length of the V1-V3 16S rRNA gene region, </w:t>
      </w:r>
      <w:r w:rsidR="00171877" w:rsidRPr="00377CF2">
        <w:rPr>
          <w:rFonts w:eastAsia="Times New Roman"/>
          <w:color w:val="000000"/>
          <w:sz w:val="24"/>
          <w:szCs w:val="24"/>
        </w:rPr>
        <w:t>which corresponds</w:t>
      </w:r>
      <w:r w:rsidRPr="00377CF2">
        <w:rPr>
          <w:rFonts w:eastAsia="Times New Roman"/>
          <w:color w:val="000000"/>
          <w:sz w:val="24"/>
          <w:szCs w:val="24"/>
        </w:rPr>
        <w:t xml:space="preserve"> to </w:t>
      </w:r>
      <w:r w:rsidRPr="00377CF2">
        <w:rPr>
          <w:rFonts w:eastAsia="Times New Roman"/>
          <w:i/>
          <w:color w:val="000000"/>
          <w:sz w:val="24"/>
          <w:szCs w:val="24"/>
        </w:rPr>
        <w:t>E. coli</w:t>
      </w:r>
      <w:r w:rsidRPr="00377CF2">
        <w:rPr>
          <w:rFonts w:eastAsia="Times New Roman"/>
          <w:color w:val="000000"/>
          <w:sz w:val="24"/>
          <w:szCs w:val="24"/>
        </w:rPr>
        <w:t xml:space="preserve"> positions 28 to 517, is highly variable in bacteria. The eHOMD includes 770-plus species</w:t>
      </w:r>
      <w:r w:rsidR="00633180">
        <w:rPr>
          <w:rFonts w:eastAsia="Times New Roman"/>
          <w:color w:val="000000"/>
          <w:sz w:val="24"/>
          <w:szCs w:val="24"/>
        </w:rPr>
        <w:t>-</w:t>
      </w:r>
      <w:r w:rsidRPr="00377CF2">
        <w:rPr>
          <w:rFonts w:eastAsia="Times New Roman"/>
          <w:color w:val="000000"/>
          <w:sz w:val="24"/>
          <w:szCs w:val="24"/>
        </w:rPr>
        <w:t xml:space="preserve">level taxa and the eHOMD phylogeny is available at </w:t>
      </w:r>
      <w:hyperlink r:id="rId5" w:history="1">
        <w:r w:rsidR="00077860" w:rsidRPr="00377CF2">
          <w:rPr>
            <w:rStyle w:val="Hyperlink"/>
            <w:rFonts w:eastAsia="Times New Roman"/>
            <w:sz w:val="24"/>
            <w:szCs w:val="24"/>
          </w:rPr>
          <w:t>http://www.homd.org/ftp/HOMD_phylogeny/current/</w:t>
        </w:r>
      </w:hyperlink>
      <w:r w:rsidR="00077860" w:rsidRPr="00377CF2">
        <w:rPr>
          <w:rFonts w:eastAsia="Times New Roman"/>
          <w:color w:val="000000"/>
          <w:sz w:val="24"/>
          <w:szCs w:val="24"/>
        </w:rPr>
        <w:t xml:space="preserve">. </w:t>
      </w:r>
      <w:r w:rsidRPr="00377CF2">
        <w:rPr>
          <w:rFonts w:eastAsia="Times New Roman"/>
          <w:color w:val="000000"/>
          <w:sz w:val="24"/>
          <w:szCs w:val="24"/>
        </w:rPr>
        <w:t>For all but three taxa</w:t>
      </w:r>
      <w:r w:rsidR="00633180">
        <w:rPr>
          <w:rFonts w:eastAsia="Times New Roman"/>
          <w:color w:val="000000"/>
          <w:sz w:val="24"/>
          <w:szCs w:val="24"/>
        </w:rPr>
        <w:t xml:space="preserve"> in eHOMD,</w:t>
      </w:r>
      <w:r w:rsidRPr="00377CF2">
        <w:rPr>
          <w:rFonts w:eastAsia="Times New Roman"/>
          <w:color w:val="000000"/>
          <w:sz w:val="24"/>
          <w:szCs w:val="24"/>
        </w:rPr>
        <w:t xml:space="preserve"> the V1-V3 region size ranged from 431 to 523 base pairs (bp). Three </w:t>
      </w:r>
      <w:r w:rsidRPr="004C7376">
        <w:rPr>
          <w:rFonts w:eastAsia="Times New Roman"/>
          <w:i/>
          <w:iCs/>
          <w:color w:val="000000"/>
          <w:sz w:val="24"/>
          <w:szCs w:val="24"/>
        </w:rPr>
        <w:t>Campylobacter</w:t>
      </w:r>
      <w:r w:rsidRPr="00377CF2">
        <w:rPr>
          <w:rFonts w:eastAsia="Times New Roman"/>
          <w:color w:val="000000"/>
          <w:sz w:val="24"/>
          <w:szCs w:val="24"/>
        </w:rPr>
        <w:t xml:space="preserve"> species, with intervening sequences in the V2 region, were up to 653 base pairs in length (</w:t>
      </w:r>
      <w:r w:rsidRPr="00377CF2">
        <w:rPr>
          <w:rFonts w:eastAsia="Times New Roman"/>
          <w:b/>
          <w:color w:val="000000"/>
          <w:sz w:val="24"/>
          <w:szCs w:val="24"/>
        </w:rPr>
        <w:t>Figure A</w:t>
      </w:r>
      <w:r w:rsidR="00077860" w:rsidRPr="00377CF2">
        <w:rPr>
          <w:rFonts w:eastAsia="Times New Roman"/>
          <w:b/>
          <w:color w:val="000000"/>
          <w:sz w:val="24"/>
          <w:szCs w:val="24"/>
        </w:rPr>
        <w:t>.i</w:t>
      </w:r>
      <w:r w:rsidR="0061756F">
        <w:rPr>
          <w:rFonts w:eastAsia="Times New Roman"/>
          <w:b/>
          <w:color w:val="000000"/>
          <w:sz w:val="24"/>
          <w:szCs w:val="24"/>
        </w:rPr>
        <w:t xml:space="preserve">, </w:t>
      </w:r>
      <w:r w:rsidR="0061756F" w:rsidRPr="00377CF2">
        <w:rPr>
          <w:rFonts w:eastAsia="Times New Roman"/>
          <w:b/>
          <w:color w:val="000000"/>
          <w:sz w:val="24"/>
          <w:szCs w:val="24"/>
        </w:rPr>
        <w:t>Additional File 4</w:t>
      </w:r>
      <w:r w:rsidRPr="00377CF2">
        <w:rPr>
          <w:rFonts w:eastAsia="Times New Roman"/>
          <w:color w:val="000000"/>
          <w:sz w:val="24"/>
          <w:szCs w:val="24"/>
        </w:rPr>
        <w:t>). This size variability makes it extraordinarily difficult to capture full-length V1-V3 sequences for all bacterial taxa using Illumina technology. Even using the 500 or 600 cycle MiSeq kits, this is impeded by the decline in sequence quality as the run progresses (</w:t>
      </w:r>
      <w:r w:rsidR="00077860" w:rsidRPr="00377CF2">
        <w:rPr>
          <w:rFonts w:eastAsia="Times New Roman"/>
          <w:b/>
          <w:color w:val="000000"/>
          <w:sz w:val="24"/>
          <w:szCs w:val="24"/>
        </w:rPr>
        <w:t xml:space="preserve">Figure </w:t>
      </w:r>
      <w:r w:rsidR="004329C6">
        <w:rPr>
          <w:rFonts w:eastAsia="Times New Roman"/>
          <w:b/>
          <w:color w:val="000000"/>
          <w:sz w:val="24"/>
          <w:szCs w:val="24"/>
        </w:rPr>
        <w:t>B</w:t>
      </w:r>
      <w:r w:rsidR="00077860" w:rsidRPr="00377CF2">
        <w:rPr>
          <w:rFonts w:eastAsia="Times New Roman"/>
          <w:b/>
          <w:color w:val="000000"/>
          <w:sz w:val="24"/>
          <w:szCs w:val="24"/>
        </w:rPr>
        <w:t>.i</w:t>
      </w:r>
      <w:r w:rsidR="0061756F">
        <w:rPr>
          <w:rFonts w:eastAsia="Times New Roman"/>
          <w:b/>
          <w:color w:val="000000"/>
          <w:sz w:val="24"/>
          <w:szCs w:val="24"/>
        </w:rPr>
        <w:t xml:space="preserve">, </w:t>
      </w:r>
      <w:r w:rsidR="0061756F" w:rsidRPr="00377CF2">
        <w:rPr>
          <w:rFonts w:eastAsia="Times New Roman"/>
          <w:b/>
          <w:color w:val="000000"/>
          <w:sz w:val="24"/>
          <w:szCs w:val="24"/>
        </w:rPr>
        <w:t>Additional File 4</w:t>
      </w:r>
      <w:r w:rsidRPr="00377CF2">
        <w:rPr>
          <w:rFonts w:eastAsia="Times New Roman"/>
          <w:color w:val="000000"/>
          <w:sz w:val="24"/>
          <w:szCs w:val="24"/>
        </w:rPr>
        <w:t>). Many analysis pipelines reject read pairs that do not overlap. Excluding taxa with longer V1-V3 regions biases results and generates a false understanding of these microbial communities. To solve these problems, we hypothesized that there are specific subregions within V1-V3 that are most informative such that complete sequencing across the V1-V3 region</w:t>
      </w:r>
      <w:r w:rsidRPr="00377CF2">
        <w:rPr>
          <w:rFonts w:eastAsia="Times New Roman"/>
          <w:sz w:val="24"/>
          <w:szCs w:val="24"/>
        </w:rPr>
        <w:t xml:space="preserve"> </w:t>
      </w:r>
      <w:r w:rsidRPr="00377CF2">
        <w:rPr>
          <w:rFonts w:eastAsia="Times New Roman"/>
          <w:color w:val="000000"/>
          <w:sz w:val="24"/>
          <w:szCs w:val="24"/>
        </w:rPr>
        <w:t xml:space="preserve">via overlapping paired reads is unnecessary. To identify the more informative V1-V3 subregions, we evaluated Shannon entropy for each position across all of taxa represented by </w:t>
      </w:r>
      <w:r w:rsidRPr="00377CF2">
        <w:rPr>
          <w:rFonts w:eastAsia="Times New Roman"/>
          <w:iCs/>
          <w:color w:val="000000"/>
          <w:sz w:val="24"/>
          <w:szCs w:val="24"/>
        </w:rPr>
        <w:t>e</w:t>
      </w:r>
      <w:r w:rsidRPr="00377CF2">
        <w:rPr>
          <w:rFonts w:eastAsia="Times New Roman"/>
          <w:color w:val="000000"/>
          <w:sz w:val="24"/>
          <w:szCs w:val="24"/>
        </w:rPr>
        <w:t>HOMD reference sequences (eHOMDrefs) (</w:t>
      </w:r>
      <w:r w:rsidR="00077860" w:rsidRPr="00377CF2">
        <w:rPr>
          <w:rFonts w:eastAsia="Times New Roman"/>
          <w:b/>
          <w:color w:val="000000"/>
          <w:sz w:val="24"/>
          <w:szCs w:val="24"/>
        </w:rPr>
        <w:t>Figure A.ii</w:t>
      </w:r>
      <w:r w:rsidR="000D70D4">
        <w:rPr>
          <w:rFonts w:eastAsia="Times New Roman"/>
          <w:b/>
          <w:color w:val="000000"/>
          <w:sz w:val="24"/>
          <w:szCs w:val="24"/>
        </w:rPr>
        <w:t xml:space="preserve">, </w:t>
      </w:r>
      <w:r w:rsidR="000D70D4" w:rsidRPr="00377CF2">
        <w:rPr>
          <w:rFonts w:eastAsia="Times New Roman"/>
          <w:b/>
          <w:color w:val="000000"/>
          <w:sz w:val="24"/>
          <w:szCs w:val="24"/>
        </w:rPr>
        <w:t>Additional File 4</w:t>
      </w:r>
      <w:r w:rsidRPr="00377CF2">
        <w:rPr>
          <w:rFonts w:eastAsia="Times New Roman"/>
          <w:color w:val="000000"/>
          <w:sz w:val="24"/>
          <w:szCs w:val="24"/>
        </w:rPr>
        <w:t xml:space="preserve">). Based on examination of the entropy values across the V1-V3 region, we postulated that sequencing 300 bp from the V1 primer and 150 bp from the V3 primer would capture the majority of the sequencing diversity needed to maximize species-level taxonomic assignment to the V1-V3 region for species included in </w:t>
      </w:r>
      <w:r w:rsidRPr="00377CF2">
        <w:rPr>
          <w:rFonts w:eastAsia="Times New Roman"/>
          <w:iCs/>
          <w:color w:val="000000"/>
          <w:sz w:val="24"/>
          <w:szCs w:val="24"/>
        </w:rPr>
        <w:t>e</w:t>
      </w:r>
      <w:r w:rsidRPr="00377CF2">
        <w:rPr>
          <w:rFonts w:eastAsia="Times New Roman"/>
          <w:color w:val="000000"/>
          <w:sz w:val="24"/>
          <w:szCs w:val="24"/>
        </w:rPr>
        <w:t>HOMD.</w:t>
      </w:r>
    </w:p>
    <w:p w14:paraId="3066E2ED" w14:textId="0C12649A" w:rsidR="00955D65" w:rsidRPr="00377CF2" w:rsidRDefault="00955D65" w:rsidP="00955D65">
      <w:pPr>
        <w:spacing w:before="100" w:beforeAutospacing="1" w:after="360" w:line="480" w:lineRule="auto"/>
        <w:rPr>
          <w:rFonts w:eastAsia="Times New Roman"/>
          <w:color w:val="000000"/>
          <w:sz w:val="24"/>
          <w:szCs w:val="24"/>
        </w:rPr>
      </w:pPr>
      <w:r w:rsidRPr="00377CF2">
        <w:rPr>
          <w:rFonts w:eastAsia="Times New Roman"/>
          <w:color w:val="000000"/>
          <w:sz w:val="24"/>
          <w:szCs w:val="24"/>
        </w:rPr>
        <w:t xml:space="preserve">Moreover, one advantage of the naïve Bayesian RDP Classifier, which is a k-mer-based Bayesian approach, is that it can provide a single taxonomic assignment when analyzing </w:t>
      </w:r>
      <w:r w:rsidRPr="00377CF2">
        <w:rPr>
          <w:rFonts w:eastAsia="Times New Roman"/>
          <w:sz w:val="24"/>
          <w:szCs w:val="24"/>
        </w:rPr>
        <w:lastRenderedPageBreak/>
        <w:t>Illumina pair-end data without requiring overlap of the forward and reverse reads.</w:t>
      </w:r>
      <w:r w:rsidRPr="00377CF2">
        <w:rPr>
          <w:rFonts w:eastAsia="Times New Roman"/>
          <w:color w:val="000000"/>
          <w:sz w:val="24"/>
          <w:szCs w:val="24"/>
        </w:rPr>
        <w:t xml:space="preserve"> Therefore, from each primer, V1 and V3, we separately visualized at what read length there was no longer a gain in the percentage of classified sequences using a simulated eHOMD-derived dataset. To accomplish this for primer V3, we fixed the read length from primer V1 at 350 bp (</w:t>
      </w:r>
      <w:r w:rsidR="00077860" w:rsidRPr="00377CF2">
        <w:rPr>
          <w:rFonts w:eastAsia="Times New Roman"/>
          <w:b/>
          <w:color w:val="000000"/>
          <w:sz w:val="24"/>
          <w:szCs w:val="24"/>
        </w:rPr>
        <w:t>Figure A.iii</w:t>
      </w:r>
      <w:r w:rsidR="009F53AA">
        <w:rPr>
          <w:rFonts w:eastAsia="Times New Roman"/>
          <w:b/>
          <w:color w:val="000000"/>
          <w:sz w:val="24"/>
          <w:szCs w:val="24"/>
        </w:rPr>
        <w:t xml:space="preserve">, </w:t>
      </w:r>
      <w:r w:rsidR="009F53AA" w:rsidRPr="00377CF2">
        <w:rPr>
          <w:rFonts w:eastAsia="Times New Roman"/>
          <w:b/>
          <w:color w:val="000000"/>
          <w:sz w:val="24"/>
          <w:szCs w:val="24"/>
        </w:rPr>
        <w:t>Additional File 4</w:t>
      </w:r>
      <w:r w:rsidRPr="00377CF2">
        <w:rPr>
          <w:rFonts w:eastAsia="Times New Roman"/>
          <w:color w:val="000000"/>
          <w:sz w:val="24"/>
          <w:szCs w:val="24"/>
        </w:rPr>
        <w:t xml:space="preserve">) based on the indication in Figure </w:t>
      </w:r>
      <w:r w:rsidR="00AF1541" w:rsidRPr="00377CF2">
        <w:rPr>
          <w:rFonts w:eastAsia="Times New Roman"/>
          <w:color w:val="000000"/>
          <w:sz w:val="24"/>
          <w:szCs w:val="24"/>
        </w:rPr>
        <w:t>Aii</w:t>
      </w:r>
      <w:r w:rsidRPr="00377CF2">
        <w:rPr>
          <w:rFonts w:eastAsia="Times New Roman"/>
          <w:color w:val="000000"/>
          <w:sz w:val="24"/>
          <w:szCs w:val="24"/>
        </w:rPr>
        <w:t xml:space="preserve"> that the first 300 bp captures the majority of sequence variability with the extra 50 bp allowing for variability in region length. Similarly, for primer V1, we fixed the read length from primer V3 at 200 bp (</w:t>
      </w:r>
      <w:r w:rsidR="00077860" w:rsidRPr="00377CF2">
        <w:rPr>
          <w:rFonts w:eastAsia="Times New Roman"/>
          <w:b/>
          <w:color w:val="000000"/>
          <w:sz w:val="24"/>
          <w:szCs w:val="24"/>
        </w:rPr>
        <w:t>Figure A.iv</w:t>
      </w:r>
      <w:r w:rsidR="009F53AA">
        <w:rPr>
          <w:rFonts w:eastAsia="Times New Roman"/>
          <w:b/>
          <w:color w:val="000000"/>
          <w:sz w:val="24"/>
          <w:szCs w:val="24"/>
        </w:rPr>
        <w:t xml:space="preserve">, </w:t>
      </w:r>
      <w:r w:rsidR="009F53AA" w:rsidRPr="00377CF2">
        <w:rPr>
          <w:rFonts w:eastAsia="Times New Roman"/>
          <w:b/>
          <w:color w:val="000000"/>
          <w:sz w:val="24"/>
          <w:szCs w:val="24"/>
        </w:rPr>
        <w:t>Additional File 4</w:t>
      </w:r>
      <w:r w:rsidRPr="00377CF2">
        <w:rPr>
          <w:rFonts w:eastAsia="Times New Roman"/>
          <w:color w:val="000000"/>
          <w:sz w:val="24"/>
          <w:szCs w:val="24"/>
        </w:rPr>
        <w:t xml:space="preserve">). We then determined the percentage of sequences classified at species level at increasing read lengths from the complementary primer using the 998 eHOMDrefs as a training set </w:t>
      </w:r>
      <w:r w:rsidRPr="0046649B">
        <w:rPr>
          <w:rFonts w:eastAsia="Times New Roman"/>
          <w:color w:val="000000"/>
          <w:sz w:val="24"/>
          <w:szCs w:val="24"/>
        </w:rPr>
        <w:t>(</w:t>
      </w:r>
      <w:r w:rsidRPr="004C7376">
        <w:rPr>
          <w:rFonts w:eastAsia="Times New Roman"/>
          <w:color w:val="000000"/>
          <w:sz w:val="24"/>
          <w:szCs w:val="24"/>
        </w:rPr>
        <w:t>FL_eHOMDrefs_TS</w:t>
      </w:r>
      <w:r w:rsidRPr="0046649B">
        <w:rPr>
          <w:rFonts w:eastAsia="Times New Roman"/>
          <w:color w:val="000000"/>
          <w:sz w:val="24"/>
          <w:szCs w:val="24"/>
        </w:rPr>
        <w:t>).</w:t>
      </w:r>
      <w:r w:rsidRPr="00377CF2">
        <w:rPr>
          <w:rFonts w:eastAsia="Times New Roman"/>
          <w:color w:val="000000"/>
          <w:sz w:val="24"/>
          <w:szCs w:val="24"/>
        </w:rPr>
        <w:t xml:space="preserve"> Based on these assays, species-level assignment plateaued across all bootstrap values at 70 bp from primer V3 (</w:t>
      </w:r>
      <w:r w:rsidR="00077860" w:rsidRPr="00377CF2">
        <w:rPr>
          <w:rFonts w:eastAsia="Times New Roman"/>
          <w:b/>
          <w:color w:val="000000"/>
          <w:sz w:val="24"/>
          <w:szCs w:val="24"/>
        </w:rPr>
        <w:t>Figure A.iii</w:t>
      </w:r>
      <w:r w:rsidR="009F53AA">
        <w:rPr>
          <w:rFonts w:eastAsia="Times New Roman"/>
          <w:b/>
          <w:color w:val="000000"/>
          <w:sz w:val="24"/>
          <w:szCs w:val="24"/>
        </w:rPr>
        <w:t>,</w:t>
      </w:r>
      <w:r w:rsidR="009F53AA" w:rsidRPr="009F53AA">
        <w:rPr>
          <w:rFonts w:eastAsia="Times New Roman"/>
          <w:b/>
          <w:color w:val="000000"/>
          <w:sz w:val="24"/>
          <w:szCs w:val="24"/>
        </w:rPr>
        <w:t xml:space="preserve"> </w:t>
      </w:r>
      <w:r w:rsidR="009F53AA" w:rsidRPr="00377CF2">
        <w:rPr>
          <w:rFonts w:eastAsia="Times New Roman"/>
          <w:b/>
          <w:color w:val="000000"/>
          <w:sz w:val="24"/>
          <w:szCs w:val="24"/>
        </w:rPr>
        <w:t>Additional File 4</w:t>
      </w:r>
      <w:r w:rsidRPr="00377CF2">
        <w:rPr>
          <w:rFonts w:eastAsia="Times New Roman"/>
          <w:color w:val="000000"/>
          <w:sz w:val="24"/>
          <w:szCs w:val="24"/>
        </w:rPr>
        <w:t>). Moreover, species-level assignment started to plateau across all bootstrap values around 210 bp from primer V1 (</w:t>
      </w:r>
      <w:r w:rsidR="00077860" w:rsidRPr="00377CF2">
        <w:rPr>
          <w:rFonts w:eastAsia="Times New Roman"/>
          <w:b/>
          <w:color w:val="000000"/>
          <w:sz w:val="24"/>
          <w:szCs w:val="24"/>
        </w:rPr>
        <w:t>Figure A.iv</w:t>
      </w:r>
      <w:r w:rsidR="00AD770A">
        <w:rPr>
          <w:rFonts w:eastAsia="Times New Roman"/>
          <w:b/>
          <w:color w:val="000000"/>
          <w:sz w:val="24"/>
          <w:szCs w:val="24"/>
        </w:rPr>
        <w:t>,</w:t>
      </w:r>
      <w:r w:rsidR="00AD770A" w:rsidRPr="00AD770A">
        <w:rPr>
          <w:rFonts w:eastAsia="Times New Roman"/>
          <w:b/>
          <w:color w:val="000000"/>
          <w:sz w:val="24"/>
          <w:szCs w:val="24"/>
        </w:rPr>
        <w:t xml:space="preserve"> </w:t>
      </w:r>
      <w:r w:rsidR="00AD770A" w:rsidRPr="00377CF2">
        <w:rPr>
          <w:rFonts w:eastAsia="Times New Roman"/>
          <w:b/>
          <w:color w:val="000000"/>
          <w:sz w:val="24"/>
          <w:szCs w:val="24"/>
        </w:rPr>
        <w:t>Additional File 4</w:t>
      </w:r>
      <w:r w:rsidRPr="00377CF2">
        <w:rPr>
          <w:rFonts w:eastAsia="Times New Roman"/>
          <w:color w:val="000000"/>
          <w:sz w:val="24"/>
          <w:szCs w:val="24"/>
        </w:rPr>
        <w:t>). These results indicated that species-level identification can be achieved with nonoverlapping reads for the 16S rRNA gene V1-V3 region using the naïve Bayesian RDP Classifier, at least for the taxa in eHOMD.</w:t>
      </w:r>
    </w:p>
    <w:p w14:paraId="761C783C" w14:textId="1B3459A1" w:rsidR="00955D65" w:rsidRPr="00377CF2" w:rsidRDefault="00955D65" w:rsidP="00955D65">
      <w:pPr>
        <w:spacing w:before="100" w:beforeAutospacing="1" w:after="360" w:line="480" w:lineRule="auto"/>
        <w:rPr>
          <w:rFonts w:eastAsia="Times New Roman"/>
          <w:color w:val="000000"/>
          <w:sz w:val="24"/>
          <w:szCs w:val="24"/>
        </w:rPr>
      </w:pPr>
      <w:r w:rsidRPr="00377CF2">
        <w:rPr>
          <w:rFonts w:eastAsia="Times New Roman"/>
          <w:color w:val="000000"/>
          <w:sz w:val="24"/>
          <w:szCs w:val="24"/>
        </w:rPr>
        <w:t xml:space="preserve">Furthermore, these results establish guidance for actual read lengths needed for Illumina sequencing of the V1-V3 16S rRNA gene region. Knowing this, we next determined experimentally what length of high-quality sequences are obtainable using primers V1 and V3 with 500 cycles on the Illumina MiSeq. Amplicon-based libraries can be challenging to sequence using Illumina’s 2-channel sequencing chemistry since their low diversity hinders correct identification of DNA clusters </w:t>
      </w:r>
      <w:r w:rsidR="00E03D1C" w:rsidRPr="00377CF2">
        <w:rPr>
          <w:rFonts w:eastAsia="Times New Roman"/>
          <w:color w:val="000000"/>
          <w:sz w:val="24"/>
          <w:szCs w:val="24"/>
        </w:rPr>
        <w:t xml:space="preserve">on the Illumina-flow cell </w:t>
      </w:r>
      <w:r w:rsidRPr="00377CF2">
        <w:rPr>
          <w:rFonts w:eastAsia="Times New Roman"/>
          <w:color w:val="000000"/>
          <w:sz w:val="24"/>
          <w:szCs w:val="24"/>
        </w:rPr>
        <w:t xml:space="preserve">and accurate base calling </w:t>
      </w:r>
      <w:r w:rsidRPr="00377CF2">
        <w:rPr>
          <w:rFonts w:eastAsia="Times New Roman"/>
          <w:color w:val="000000"/>
          <w:sz w:val="24"/>
          <w:szCs w:val="24"/>
        </w:rPr>
        <w:fldChar w:fldCharType="begin"/>
      </w:r>
      <w:r w:rsidR="002406B2" w:rsidRPr="00377CF2">
        <w:rPr>
          <w:rFonts w:eastAsia="Times New Roman"/>
          <w:color w:val="000000"/>
          <w:sz w:val="24"/>
          <w:szCs w:val="24"/>
        </w:rPr>
        <w:instrText xml:space="preserve"> ADDIN EN.CITE &lt;EndNote&gt;&lt;Cite&gt;&lt;Author&gt;Illumina&lt;/Author&gt;&lt;Year&gt;2018&lt;/Year&gt;&lt;RecNum&gt;3024&lt;/RecNum&gt;&lt;DisplayText&gt;[1]&lt;/DisplayText&gt;&lt;record&gt;&lt;rec-number&gt;3024&lt;/rec-number&gt;&lt;foreign-keys&gt;&lt;key app="EN" db-id="pvrtafrfnz2seoez005xzaars0f5ar9f9xet" timestamp="1562783517"&gt;3024&lt;/key&gt;&lt;/foreign-keys&gt;&lt;ref-type name="Web Page"&gt;12&lt;/ref-type&gt;&lt;contributors&gt;&lt;authors&gt;&lt;author&gt;Illumina&lt;/author&gt;&lt;/authors&gt;&lt;/contributors&gt;&lt;titles&gt;&lt;title&gt;Best practices for low diversity sequencing on the NextSeq and MiniSeq systems&lt;/title&gt;&lt;/titles&gt;&lt;dates&gt;&lt;year&gt;2018&lt;/year&gt;&lt;pub-dates&gt;&lt;date&gt;12/28/18&lt;/date&gt;&lt;/pub-dates&gt;&lt;/dates&gt;&lt;urls&gt;&lt;related-urls&gt;&lt;url&gt;https://support.illumina.com/bulletins/2016/03/best-practices-for-lowdiversity-sequencing-on-the-nextseq-and-miniseq-systems.html&lt;/url&gt;&lt;/related-urls&gt;&lt;/urls&gt;&lt;/record&gt;&lt;/Cite&gt;&lt;/EndNote&gt;</w:instrText>
      </w:r>
      <w:r w:rsidRPr="00377CF2">
        <w:rPr>
          <w:rFonts w:eastAsia="Times New Roman"/>
          <w:color w:val="000000"/>
          <w:sz w:val="24"/>
          <w:szCs w:val="24"/>
        </w:rPr>
        <w:fldChar w:fldCharType="separate"/>
      </w:r>
      <w:r w:rsidR="002406B2" w:rsidRPr="00377CF2">
        <w:rPr>
          <w:rFonts w:eastAsia="Times New Roman"/>
          <w:noProof/>
          <w:color w:val="000000"/>
          <w:sz w:val="24"/>
          <w:szCs w:val="24"/>
        </w:rPr>
        <w:t>[1]</w:t>
      </w:r>
      <w:r w:rsidRPr="00377CF2">
        <w:rPr>
          <w:rFonts w:eastAsia="Times New Roman"/>
          <w:color w:val="000000"/>
          <w:sz w:val="24"/>
          <w:szCs w:val="24"/>
        </w:rPr>
        <w:fldChar w:fldCharType="end"/>
      </w:r>
      <w:r w:rsidRPr="00377CF2">
        <w:rPr>
          <w:rFonts w:eastAsia="Times New Roman"/>
          <w:color w:val="000000"/>
          <w:sz w:val="24"/>
          <w:szCs w:val="24"/>
        </w:rPr>
        <w:t xml:space="preserve">. To mitigate this, we changed Read 1 (R1) to start from the V3 primer instead of V1, since clusters are defined very early in an Illumina run (first 4 cycles) </w:t>
      </w:r>
      <w:r w:rsidRPr="00377CF2">
        <w:rPr>
          <w:rFonts w:eastAsia="Times New Roman"/>
          <w:color w:val="000000"/>
          <w:sz w:val="24"/>
          <w:szCs w:val="24"/>
        </w:rPr>
        <w:fldChar w:fldCharType="begin">
          <w:fldData xml:space="preserve">PEVuZE5vdGU+PENpdGU+PEF1dGhvcj5NaXRyYTwvQXV0aG9yPjxZZWFyPjIwMTU8L1llYXI+PFJl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</w:fldData>
        </w:fldChar>
      </w:r>
      <w:r w:rsidR="002406B2" w:rsidRPr="00377CF2">
        <w:rPr>
          <w:rFonts w:eastAsia="Times New Roman"/>
          <w:color w:val="000000"/>
          <w:sz w:val="24"/>
          <w:szCs w:val="24"/>
        </w:rPr>
        <w:instrText xml:space="preserve"> ADDIN EN.CITE </w:instrText>
      </w:r>
      <w:r w:rsidR="002406B2" w:rsidRPr="00377CF2">
        <w:rPr>
          <w:rFonts w:eastAsia="Times New Roman"/>
          <w:color w:val="000000"/>
          <w:sz w:val="24"/>
          <w:szCs w:val="24"/>
        </w:rPr>
        <w:fldChar w:fldCharType="begin">
          <w:fldData xml:space="preserve">PEVuZE5vdGU+PENpdGU+PEF1dGhvcj5NaXRyYTwvQXV0aG9yPjxZZWFyPjIwMTU8L1llYXI+PFJl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</w:fldData>
        </w:fldChar>
      </w:r>
      <w:r w:rsidR="002406B2" w:rsidRPr="00377CF2">
        <w:rPr>
          <w:rFonts w:eastAsia="Times New Roman"/>
          <w:color w:val="000000"/>
          <w:sz w:val="24"/>
          <w:szCs w:val="24"/>
        </w:rPr>
        <w:instrText xml:space="preserve"> ADDIN EN.CITE.DATA </w:instrText>
      </w:r>
      <w:r w:rsidR="002406B2" w:rsidRPr="00377CF2">
        <w:rPr>
          <w:rFonts w:eastAsia="Times New Roman"/>
          <w:color w:val="000000"/>
          <w:sz w:val="24"/>
          <w:szCs w:val="24"/>
        </w:rPr>
      </w:r>
      <w:r w:rsidR="002406B2" w:rsidRPr="00377CF2">
        <w:rPr>
          <w:rFonts w:eastAsia="Times New Roman"/>
          <w:color w:val="000000"/>
          <w:sz w:val="24"/>
          <w:szCs w:val="24"/>
        </w:rPr>
        <w:fldChar w:fldCharType="end"/>
      </w:r>
      <w:r w:rsidRPr="00377CF2">
        <w:rPr>
          <w:rFonts w:eastAsia="Times New Roman"/>
          <w:color w:val="000000"/>
          <w:sz w:val="24"/>
          <w:szCs w:val="24"/>
        </w:rPr>
      </w:r>
      <w:r w:rsidRPr="00377CF2">
        <w:rPr>
          <w:rFonts w:eastAsia="Times New Roman"/>
          <w:color w:val="000000"/>
          <w:sz w:val="24"/>
          <w:szCs w:val="24"/>
        </w:rPr>
        <w:fldChar w:fldCharType="separate"/>
      </w:r>
      <w:r w:rsidR="002406B2" w:rsidRPr="00377CF2">
        <w:rPr>
          <w:rFonts w:eastAsia="Times New Roman"/>
          <w:noProof/>
          <w:color w:val="000000"/>
          <w:sz w:val="24"/>
          <w:szCs w:val="24"/>
        </w:rPr>
        <w:t>[2]</w:t>
      </w:r>
      <w:r w:rsidRPr="00377CF2">
        <w:rPr>
          <w:rFonts w:eastAsia="Times New Roman"/>
          <w:color w:val="000000"/>
          <w:sz w:val="24"/>
          <w:szCs w:val="24"/>
        </w:rPr>
        <w:fldChar w:fldCharType="end"/>
      </w:r>
      <w:r w:rsidRPr="00377CF2">
        <w:rPr>
          <w:rFonts w:eastAsia="Times New Roman"/>
          <w:color w:val="000000"/>
          <w:sz w:val="24"/>
          <w:szCs w:val="24"/>
        </w:rPr>
        <w:t xml:space="preserve"> and sequences are mostly identical in the first positions immediately 3’ of the V1 primer. We also increased the proportion of PhiX </w:t>
      </w:r>
      <w:r w:rsidRPr="00377CF2">
        <w:rPr>
          <w:rFonts w:eastAsia="Times New Roman"/>
          <w:color w:val="000000"/>
          <w:sz w:val="24"/>
          <w:szCs w:val="24"/>
        </w:rPr>
        <w:lastRenderedPageBreak/>
        <w:t xml:space="preserve">from a range of 10-25% up to a range of 30-50%, as recommended in </w:t>
      </w:r>
      <w:r w:rsidRPr="00377CF2">
        <w:rPr>
          <w:rFonts w:eastAsia="Times New Roman"/>
          <w:color w:val="000000"/>
          <w:sz w:val="24"/>
          <w:szCs w:val="24"/>
        </w:rPr>
        <w:fldChar w:fldCharType="begin">
          <w:fldData xml:space="preserve">PEVuZE5vdGU+PENpdGU+PEF1dGhvcj5NaXRyYTwvQXV0aG9yPjxZZWFyPjIwMTU8L1llYXI+PFJl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</w:fldData>
        </w:fldChar>
      </w:r>
      <w:r w:rsidR="002406B2" w:rsidRPr="00377CF2">
        <w:rPr>
          <w:rFonts w:eastAsia="Times New Roman"/>
          <w:color w:val="000000"/>
          <w:sz w:val="24"/>
          <w:szCs w:val="24"/>
        </w:rPr>
        <w:instrText xml:space="preserve"> ADDIN EN.CITE </w:instrText>
      </w:r>
      <w:r w:rsidR="002406B2" w:rsidRPr="00377CF2">
        <w:rPr>
          <w:rFonts w:eastAsia="Times New Roman"/>
          <w:color w:val="000000"/>
          <w:sz w:val="24"/>
          <w:szCs w:val="24"/>
        </w:rPr>
        <w:fldChar w:fldCharType="begin">
          <w:fldData xml:space="preserve">PEVuZE5vdGU+PENpdGU+PEF1dGhvcj5NaXRyYTwvQXV0aG9yPjxZZWFyPjIwMTU8L1llYXI+PFJl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</w:fldData>
        </w:fldChar>
      </w:r>
      <w:r w:rsidR="002406B2" w:rsidRPr="00377CF2">
        <w:rPr>
          <w:rFonts w:eastAsia="Times New Roman"/>
          <w:color w:val="000000"/>
          <w:sz w:val="24"/>
          <w:szCs w:val="24"/>
        </w:rPr>
        <w:instrText xml:space="preserve"> ADDIN EN.CITE.DATA </w:instrText>
      </w:r>
      <w:r w:rsidR="002406B2" w:rsidRPr="00377CF2">
        <w:rPr>
          <w:rFonts w:eastAsia="Times New Roman"/>
          <w:color w:val="000000"/>
          <w:sz w:val="24"/>
          <w:szCs w:val="24"/>
        </w:rPr>
      </w:r>
      <w:r w:rsidR="002406B2" w:rsidRPr="00377CF2">
        <w:rPr>
          <w:rFonts w:eastAsia="Times New Roman"/>
          <w:color w:val="000000"/>
          <w:sz w:val="24"/>
          <w:szCs w:val="24"/>
        </w:rPr>
        <w:fldChar w:fldCharType="end"/>
      </w:r>
      <w:r w:rsidRPr="00377CF2">
        <w:rPr>
          <w:rFonts w:eastAsia="Times New Roman"/>
          <w:color w:val="000000"/>
          <w:sz w:val="24"/>
          <w:szCs w:val="24"/>
        </w:rPr>
      </w:r>
      <w:r w:rsidRPr="00377CF2">
        <w:rPr>
          <w:rFonts w:eastAsia="Times New Roman"/>
          <w:color w:val="000000"/>
          <w:sz w:val="24"/>
          <w:szCs w:val="24"/>
        </w:rPr>
        <w:fldChar w:fldCharType="separate"/>
      </w:r>
      <w:r w:rsidR="002406B2" w:rsidRPr="00377CF2">
        <w:rPr>
          <w:rFonts w:eastAsia="Times New Roman"/>
          <w:noProof/>
          <w:color w:val="000000"/>
          <w:sz w:val="24"/>
          <w:szCs w:val="24"/>
        </w:rPr>
        <w:t>[2]</w:t>
      </w:r>
      <w:r w:rsidRPr="00377CF2">
        <w:rPr>
          <w:rFonts w:eastAsia="Times New Roman"/>
          <w:color w:val="000000"/>
          <w:sz w:val="24"/>
          <w:szCs w:val="24"/>
        </w:rPr>
        <w:fldChar w:fldCharType="end"/>
      </w:r>
      <w:r w:rsidRPr="00377CF2">
        <w:rPr>
          <w:rFonts w:eastAsia="Times New Roman"/>
          <w:color w:val="000000"/>
          <w:sz w:val="24"/>
          <w:szCs w:val="24"/>
        </w:rPr>
        <w:t>. Together, these steps accomplished a significant improvement in sequence quality (</w:t>
      </w:r>
      <w:r w:rsidR="00AF1541" w:rsidRPr="00377CF2">
        <w:rPr>
          <w:rFonts w:eastAsia="Times New Roman"/>
          <w:b/>
          <w:color w:val="000000"/>
          <w:sz w:val="24"/>
          <w:szCs w:val="24"/>
        </w:rPr>
        <w:t>Figure B</w:t>
      </w:r>
      <w:r w:rsidR="004329C6">
        <w:rPr>
          <w:rFonts w:eastAsia="Times New Roman"/>
          <w:b/>
          <w:color w:val="000000"/>
          <w:sz w:val="24"/>
          <w:szCs w:val="24"/>
        </w:rPr>
        <w:t>.</w:t>
      </w:r>
      <w:r w:rsidR="00AF1541" w:rsidRPr="00377CF2">
        <w:rPr>
          <w:rFonts w:eastAsia="Times New Roman"/>
          <w:b/>
          <w:color w:val="000000"/>
          <w:sz w:val="24"/>
          <w:szCs w:val="24"/>
        </w:rPr>
        <w:t>i-iii</w:t>
      </w:r>
      <w:r w:rsidR="00AD770A">
        <w:rPr>
          <w:rFonts w:eastAsia="Times New Roman"/>
          <w:b/>
          <w:color w:val="000000"/>
          <w:sz w:val="24"/>
          <w:szCs w:val="24"/>
        </w:rPr>
        <w:t xml:space="preserve">, </w:t>
      </w:r>
      <w:r w:rsidR="00AD770A" w:rsidRPr="00377CF2">
        <w:rPr>
          <w:rFonts w:eastAsia="Times New Roman"/>
          <w:b/>
          <w:color w:val="000000"/>
          <w:sz w:val="24"/>
          <w:szCs w:val="24"/>
        </w:rPr>
        <w:t>Additional File 4</w:t>
      </w:r>
      <w:r w:rsidRPr="00377CF2">
        <w:rPr>
          <w:rFonts w:eastAsia="Times New Roman"/>
          <w:color w:val="000000"/>
          <w:sz w:val="24"/>
          <w:szCs w:val="24"/>
        </w:rPr>
        <w:t>).</w:t>
      </w:r>
    </w:p>
    <w:p w14:paraId="481401AE" w14:textId="644A46A9" w:rsidR="005B2C61" w:rsidRPr="00377CF2" w:rsidRDefault="00955D65" w:rsidP="004B2CB4">
      <w:pPr>
        <w:spacing w:before="100" w:beforeAutospacing="1" w:after="360" w:line="480" w:lineRule="auto"/>
        <w:rPr>
          <w:rFonts w:eastAsia="Times New Roman"/>
          <w:color w:val="000000"/>
          <w:sz w:val="24"/>
          <w:szCs w:val="24"/>
        </w:rPr>
      </w:pPr>
      <w:r w:rsidRPr="00377CF2">
        <w:rPr>
          <w:rFonts w:eastAsia="Times New Roman"/>
          <w:color w:val="000000"/>
          <w:sz w:val="24"/>
          <w:szCs w:val="24"/>
        </w:rPr>
        <w:t>During our experiments, we also observed that variability in library quality, e.g., from low biomass habitats such as the human nostrils, can negatively impact the accuracy of library quantification leading to an inadvertently low percentage of PhiX. Because the informative region from V1 (R2) includes the first 250 bp from the primer (</w:t>
      </w:r>
      <w:r w:rsidR="00AF1541" w:rsidRPr="00377CF2">
        <w:rPr>
          <w:rFonts w:eastAsia="Times New Roman"/>
          <w:b/>
          <w:color w:val="000000"/>
          <w:sz w:val="24"/>
          <w:szCs w:val="24"/>
        </w:rPr>
        <w:t>Figure A.iv</w:t>
      </w:r>
      <w:r w:rsidR="00AD770A">
        <w:rPr>
          <w:rFonts w:eastAsia="Times New Roman"/>
          <w:b/>
          <w:color w:val="000000"/>
          <w:sz w:val="24"/>
          <w:szCs w:val="24"/>
        </w:rPr>
        <w:t xml:space="preserve">, </w:t>
      </w:r>
      <w:r w:rsidR="00AD770A" w:rsidRPr="00377CF2">
        <w:rPr>
          <w:rFonts w:eastAsia="Times New Roman"/>
          <w:b/>
          <w:color w:val="000000"/>
          <w:sz w:val="24"/>
          <w:szCs w:val="24"/>
        </w:rPr>
        <w:t>Additional File 4</w:t>
      </w:r>
      <w:r w:rsidRPr="00377CF2">
        <w:rPr>
          <w:rFonts w:eastAsia="Times New Roman"/>
          <w:color w:val="000000"/>
          <w:sz w:val="24"/>
          <w:szCs w:val="24"/>
        </w:rPr>
        <w:t xml:space="preserve">), we routinely perform asymmetrical sequencing of R1 and R2 with R1 = 100 bp and R2 = 400 bp (e.g., </w:t>
      </w:r>
      <w:r w:rsidR="00AF1541" w:rsidRPr="00377CF2">
        <w:rPr>
          <w:rFonts w:eastAsia="Times New Roman"/>
          <w:b/>
          <w:color w:val="000000"/>
          <w:sz w:val="24"/>
          <w:szCs w:val="24"/>
        </w:rPr>
        <w:t>Figure B.iii</w:t>
      </w:r>
      <w:r w:rsidR="00B776FB">
        <w:rPr>
          <w:rFonts w:eastAsia="Times New Roman"/>
          <w:b/>
          <w:color w:val="000000"/>
          <w:sz w:val="24"/>
          <w:szCs w:val="24"/>
        </w:rPr>
        <w:t xml:space="preserve">, </w:t>
      </w:r>
      <w:r w:rsidR="00B776FB" w:rsidRPr="00377CF2">
        <w:rPr>
          <w:rFonts w:eastAsia="Times New Roman"/>
          <w:b/>
          <w:color w:val="000000"/>
          <w:sz w:val="24"/>
          <w:szCs w:val="24"/>
        </w:rPr>
        <w:t>Additional File 4</w:t>
      </w:r>
      <w:r w:rsidRPr="00377CF2">
        <w:rPr>
          <w:rFonts w:eastAsia="Times New Roman"/>
          <w:color w:val="000000"/>
          <w:sz w:val="24"/>
          <w:szCs w:val="24"/>
        </w:rPr>
        <w:t>) to avoid having the decrease in sequence quality that is sometimes observed at the end of an Illumina MiSeq run falling within the informative region from the V1 primer (R2) (</w:t>
      </w:r>
      <w:r w:rsidR="00AF1541" w:rsidRPr="00377CF2">
        <w:rPr>
          <w:rFonts w:eastAsia="Times New Roman"/>
          <w:b/>
          <w:color w:val="000000"/>
          <w:sz w:val="24"/>
          <w:szCs w:val="24"/>
        </w:rPr>
        <w:t>Figure B.ii</w:t>
      </w:r>
      <w:r w:rsidR="00B776FB">
        <w:rPr>
          <w:rFonts w:eastAsia="Times New Roman"/>
          <w:b/>
          <w:color w:val="000000"/>
          <w:sz w:val="24"/>
          <w:szCs w:val="24"/>
        </w:rPr>
        <w:t xml:space="preserve">, </w:t>
      </w:r>
      <w:r w:rsidR="00B776FB" w:rsidRPr="00377CF2">
        <w:rPr>
          <w:rFonts w:eastAsia="Times New Roman"/>
          <w:b/>
          <w:color w:val="000000"/>
          <w:sz w:val="24"/>
          <w:szCs w:val="24"/>
        </w:rPr>
        <w:t>Additional File 4</w:t>
      </w:r>
      <w:r w:rsidRPr="00377CF2">
        <w:rPr>
          <w:rFonts w:eastAsia="Times New Roman"/>
          <w:color w:val="000000"/>
          <w:sz w:val="24"/>
          <w:szCs w:val="24"/>
        </w:rPr>
        <w:t xml:space="preserve">). After trimming poor quality regions from each </w:t>
      </w:r>
      <w:proofErr w:type="gramStart"/>
      <w:r w:rsidRPr="00377CF2">
        <w:rPr>
          <w:rFonts w:eastAsia="Times New Roman"/>
          <w:color w:val="000000"/>
          <w:sz w:val="24"/>
          <w:szCs w:val="24"/>
        </w:rPr>
        <w:t>experimentally-derived</w:t>
      </w:r>
      <w:proofErr w:type="gramEnd"/>
      <w:r w:rsidRPr="00377CF2">
        <w:rPr>
          <w:rFonts w:eastAsia="Times New Roman"/>
          <w:color w:val="000000"/>
          <w:sz w:val="24"/>
          <w:szCs w:val="24"/>
        </w:rPr>
        <w:t xml:space="preserve"> read, this generally results in high-quality sequences of 200 to 250 bp from primer V1 and 100 bp from primer V3. Thus, for the simulated eHOMD-derived dataset (</w:t>
      </w:r>
      <w:r w:rsidRPr="004C7376">
        <w:rPr>
          <w:rFonts w:eastAsia="Times New Roman"/>
          <w:color w:val="000000"/>
          <w:sz w:val="24"/>
          <w:szCs w:val="24"/>
        </w:rPr>
        <w:t>V1V3_eHOMDSim_250N100</w:t>
      </w:r>
      <w:r w:rsidR="00F93703" w:rsidRPr="004C7376">
        <w:rPr>
          <w:rFonts w:eastAsia="Times New Roman"/>
          <w:color w:val="000000"/>
          <w:sz w:val="24"/>
          <w:szCs w:val="24"/>
        </w:rPr>
        <w:t xml:space="preserve">, </w:t>
      </w:r>
      <w:r w:rsidR="00F93703" w:rsidRPr="0046649B">
        <w:rPr>
          <w:rFonts w:eastAsia="Times New Roman"/>
          <w:b/>
          <w:bCs/>
          <w:color w:val="000000"/>
          <w:sz w:val="24"/>
          <w:szCs w:val="24"/>
        </w:rPr>
        <w:t xml:space="preserve">Additional File </w:t>
      </w:r>
      <w:r w:rsidR="003F7A29" w:rsidRPr="0046649B">
        <w:rPr>
          <w:rFonts w:eastAsia="Times New Roman"/>
          <w:b/>
          <w:bCs/>
          <w:color w:val="000000"/>
          <w:sz w:val="24"/>
          <w:szCs w:val="24"/>
        </w:rPr>
        <w:t>3</w:t>
      </w:r>
      <w:r w:rsidRPr="00377CF2">
        <w:rPr>
          <w:rFonts w:eastAsia="Times New Roman"/>
          <w:color w:val="000000"/>
          <w:sz w:val="24"/>
          <w:szCs w:val="24"/>
        </w:rPr>
        <w:t xml:space="preserve">) created to test each step in the development of the eHOMD training set, we mimicked these Illumina-generated nonoverlapping reads by designing artificial reads consisting </w:t>
      </w:r>
      <w:r w:rsidR="00275576" w:rsidRPr="00377CF2">
        <w:rPr>
          <w:rFonts w:eastAsia="Times New Roman"/>
          <w:color w:val="000000"/>
          <w:sz w:val="24"/>
          <w:szCs w:val="24"/>
        </w:rPr>
        <w:t>of</w:t>
      </w:r>
      <w:r w:rsidRPr="00377CF2">
        <w:rPr>
          <w:rFonts w:eastAsia="Times New Roman"/>
          <w:color w:val="000000"/>
          <w:sz w:val="24"/>
          <w:szCs w:val="24"/>
        </w:rPr>
        <w:t xml:space="preserve"> 250 bp from primer V1 and 100 bp from primer V3. </w:t>
      </w:r>
    </w:p>
    <w:p w14:paraId="0A785D92" w14:textId="45279204" w:rsidR="004B2CB4" w:rsidRPr="00377CF2" w:rsidRDefault="004B2CB4" w:rsidP="004B2CB4">
      <w:pPr>
        <w:spacing w:before="100" w:beforeAutospacing="1" w:after="360" w:line="480" w:lineRule="auto"/>
        <w:rPr>
          <w:rFonts w:eastAsia="Times New Roman"/>
          <w:b/>
          <w:color w:val="000000"/>
          <w:sz w:val="24"/>
          <w:szCs w:val="24"/>
        </w:rPr>
      </w:pPr>
      <w:r w:rsidRPr="00377CF2">
        <w:rPr>
          <w:rFonts w:eastAsia="Times New Roman"/>
          <w:b/>
          <w:color w:val="000000"/>
          <w:sz w:val="24"/>
          <w:szCs w:val="24"/>
        </w:rPr>
        <w:t>Method</w:t>
      </w:r>
      <w:r w:rsidR="00456D61">
        <w:rPr>
          <w:rFonts w:eastAsia="Times New Roman"/>
          <w:b/>
          <w:color w:val="000000"/>
          <w:sz w:val="24"/>
          <w:szCs w:val="24"/>
        </w:rPr>
        <w:t>s for Additional File 4</w:t>
      </w:r>
      <w:r w:rsidR="00D354AA" w:rsidRPr="00377CF2">
        <w:rPr>
          <w:rFonts w:eastAsia="Times New Roman"/>
          <w:b/>
          <w:color w:val="000000"/>
          <w:sz w:val="24"/>
          <w:szCs w:val="24"/>
        </w:rPr>
        <w:t xml:space="preserve"> </w:t>
      </w:r>
    </w:p>
    <w:p w14:paraId="0A8BF490" w14:textId="01D73F6D" w:rsidR="004B2CB4" w:rsidRPr="00377CF2" w:rsidRDefault="004B2CB4" w:rsidP="004B2CB4">
      <w:pPr>
        <w:spacing w:before="100" w:beforeAutospacing="1" w:after="360" w:line="480" w:lineRule="auto"/>
        <w:rPr>
          <w:rFonts w:eastAsia="Times New Roman"/>
          <w:color w:val="000000"/>
          <w:sz w:val="24"/>
          <w:szCs w:val="24"/>
        </w:rPr>
      </w:pPr>
      <w:r w:rsidRPr="00377CF2">
        <w:rPr>
          <w:rFonts w:eastAsia="Times New Roman"/>
          <w:b/>
          <w:color w:val="000000"/>
          <w:sz w:val="24"/>
          <w:szCs w:val="24"/>
        </w:rPr>
        <w:t xml:space="preserve">Determination of the 16S rRNA gene V1-V3 sequence length for each taxon in eHOMD. </w:t>
      </w:r>
      <w:r w:rsidRPr="00377CF2">
        <w:rPr>
          <w:rFonts w:eastAsia="Times New Roman"/>
          <w:bCs/>
          <w:color w:val="000000"/>
          <w:sz w:val="24"/>
          <w:szCs w:val="24"/>
        </w:rPr>
        <w:t xml:space="preserve">To construct </w:t>
      </w:r>
      <w:r w:rsidR="00F20261" w:rsidRPr="00377CF2">
        <w:rPr>
          <w:rFonts w:eastAsia="Times New Roman"/>
          <w:bCs/>
          <w:color w:val="000000"/>
          <w:sz w:val="24"/>
          <w:szCs w:val="24"/>
        </w:rPr>
        <w:t>Figure A.i</w:t>
      </w:r>
      <w:r w:rsidRPr="00377CF2">
        <w:rPr>
          <w:rFonts w:eastAsia="Times New Roman"/>
          <w:bCs/>
          <w:color w:val="000000"/>
          <w:sz w:val="24"/>
          <w:szCs w:val="24"/>
        </w:rPr>
        <w:t xml:space="preserve">, the </w:t>
      </w:r>
      <w:r w:rsidRPr="00377CF2">
        <w:rPr>
          <w:rFonts w:eastAsia="Times New Roman"/>
          <w:color w:val="000000"/>
          <w:sz w:val="24"/>
          <w:szCs w:val="24"/>
        </w:rPr>
        <w:t>998 eHOMDv15.1 aligned 16S reference sequences (</w:t>
      </w:r>
      <w:r w:rsidRPr="00377CF2">
        <w:rPr>
          <w:rFonts w:eastAsia="Times New Roman"/>
          <w:bCs/>
          <w:iCs/>
          <w:color w:val="000000"/>
          <w:sz w:val="24"/>
          <w:szCs w:val="24"/>
        </w:rPr>
        <w:t>eHOMDrefs)</w:t>
      </w:r>
      <w:r w:rsidRPr="00377CF2">
        <w:rPr>
          <w:rFonts w:eastAsia="Times New Roman"/>
          <w:color w:val="000000"/>
          <w:sz w:val="24"/>
          <w:szCs w:val="24"/>
        </w:rPr>
        <w:t xml:space="preserve"> were downloaded in fasta format from eHOMD (</w:t>
      </w:r>
      <w:hyperlink r:id="rId6" w:history="1">
        <w:r w:rsidRPr="00377CF2">
          <w:rPr>
            <w:rStyle w:val="Hyperlink"/>
            <w:rFonts w:eastAsia="Times New Roman"/>
            <w:sz w:val="24"/>
            <w:szCs w:val="24"/>
          </w:rPr>
          <w:t>http://www.homd.org/?name=seqDownload&amp;type=R</w:t>
        </w:r>
      </w:hyperlink>
      <w:r w:rsidRPr="00377CF2">
        <w:rPr>
          <w:rFonts w:eastAsia="Times New Roman"/>
          <w:color w:val="000000"/>
          <w:sz w:val="24"/>
          <w:szCs w:val="24"/>
          <w:u w:val="single"/>
        </w:rPr>
        <w:t>)</w:t>
      </w:r>
      <w:r w:rsidRPr="00377CF2">
        <w:rPr>
          <w:rFonts w:eastAsia="Times New Roman"/>
          <w:color w:val="000000"/>
          <w:sz w:val="24"/>
          <w:szCs w:val="24"/>
        </w:rPr>
        <w:t xml:space="preserve"> </w:t>
      </w:r>
      <w:r w:rsidRPr="00377CF2">
        <w:rPr>
          <w:rFonts w:eastAsia="Times New Roman"/>
          <w:color w:val="000000"/>
          <w:sz w:val="24"/>
          <w:szCs w:val="24"/>
        </w:rPr>
        <w:fldChar w:fldCharType="begin"/>
      </w:r>
      <w:r w:rsidR="002406B2" w:rsidRPr="00377CF2">
        <w:rPr>
          <w:rFonts w:eastAsia="Times New Roman"/>
          <w:color w:val="000000"/>
          <w:sz w:val="24"/>
          <w:szCs w:val="24"/>
        </w:rPr>
        <w:instrText xml:space="preserve"> ADDIN EN.CITE &lt;EndNote&gt;&lt;Cite&gt;&lt;Author&gt;Escapa&lt;/Author&gt;&lt;Year&gt;2018&lt;/Year&gt;&lt;RecNum&gt;2757&lt;/RecNum&gt;&lt;DisplayText&gt;[3]&lt;/DisplayText&gt;&lt;record&gt;&lt;rec-number&gt;2757&lt;/rec-number&gt;&lt;foreign-keys&gt;&lt;key app="EN" db-id="pvrtafrfnz2seoez005xzaars0f5ar9f9xet" timestamp="1558773951"&gt;2757&lt;/key&gt;&lt;/foreign-keys&gt;&lt;ref-type name="Journal Article"&gt;17&lt;/ref-type&gt;&lt;contributors&gt;&lt;authors&gt;&lt;author&gt;Escapa, I. F.&lt;/author&gt;&lt;author&gt;Chen, T.&lt;/author&gt;&lt;author&gt;Huang, Y.&lt;/author&gt;&lt;author&gt;Gajare, P.&lt;/author&gt;&lt;author&gt;Dewhirst, F. E.&lt;/author&gt;&lt;author&gt;Lemon, K. P.&lt;/author&gt;&lt;/authors&gt;&lt;/contributors&gt;&lt;auth-address&gt;The Forsyth Institute (Microbiology), Cambridge, Massachusetts, USA.&amp;#xD;Department of Oral Medicine, Infection &amp;amp; Immunity, Harvard School of Dental Medicine, Boston, Massachusetts, USA.&amp;#xD;Division of Infectious Diseases, Boston Children&amp;apos;s Hospital, Harvard Medical School, Boston, Massachusetts, USA.&lt;/auth-address&gt;&lt;titles&gt;&lt;title&gt;New Insights into Human Nostril Microbiome from the Expanded Human Oral Microbiome Database (eHOMD): a Resource for the Microbiome of the Human Aerodigestive Tract&lt;/title&gt;&lt;secondary-title&gt;mSystems&lt;/secondary-title&gt;&lt;/titles&gt;&lt;periodical&gt;&lt;full-title&gt;mSystems&lt;/full-title&gt;&lt;/periodical&gt;&lt;volume&gt;3&lt;/volume&gt;&lt;number&gt;6&lt;/number&gt;&lt;keywords&gt;&lt;keyword&gt;16s&lt;/keyword&gt;&lt;keyword&gt;Corynebacterium&lt;/keyword&gt;&lt;keyword&gt;Dolosigranulum&lt;/keyword&gt;&lt;keyword&gt;Lawsonella&lt;/keyword&gt;&lt;keyword&gt;Staphylococcus&lt;/keyword&gt;&lt;keyword&gt;microbiota&lt;/keyword&gt;&lt;keyword&gt;nares&lt;/keyword&gt;&lt;keyword&gt;nasal&lt;/keyword&gt;&lt;keyword&gt;respiratory tract&lt;/keyword&gt;&lt;keyword&gt;sinus&lt;/keyword&gt;&lt;/keywords&gt;&lt;dates&gt;&lt;year&gt;2018&lt;/year&gt;&lt;pub-dates&gt;&lt;date&gt;Nov-Dec&lt;/date&gt;&lt;/pub-dates&gt;&lt;/dates&gt;&lt;isbn&gt;2379-5077 (Print)&amp;#xD;2379-5077 (Linking)&lt;/isbn&gt;&lt;accession-num&gt;30534599&lt;/accession-num&gt;&lt;urls&gt;&lt;related-urls&gt;&lt;url&gt;https://www.ncbi.nlm.nih.gov/pubmed/30534599&lt;/url&gt;&lt;/related-urls&gt;&lt;/urls&gt;&lt;custom2&gt;PMC6280432&lt;/custom2&gt;&lt;electronic-resource-num&gt;10.1128/mSystems.00187-18&lt;/electronic-resource-num&gt;&lt;/record&gt;&lt;/Cite&gt;&lt;/EndNote&gt;</w:instrText>
      </w:r>
      <w:r w:rsidRPr="00377CF2">
        <w:rPr>
          <w:rFonts w:eastAsia="Times New Roman"/>
          <w:color w:val="000000"/>
          <w:sz w:val="24"/>
          <w:szCs w:val="24"/>
        </w:rPr>
        <w:fldChar w:fldCharType="separate"/>
      </w:r>
      <w:r w:rsidR="002406B2" w:rsidRPr="00377CF2">
        <w:rPr>
          <w:rFonts w:eastAsia="Times New Roman"/>
          <w:noProof/>
          <w:color w:val="000000"/>
          <w:sz w:val="24"/>
          <w:szCs w:val="24"/>
        </w:rPr>
        <w:t>[3]</w:t>
      </w:r>
      <w:r w:rsidRPr="00377CF2">
        <w:rPr>
          <w:rFonts w:eastAsia="Times New Roman"/>
          <w:color w:val="000000"/>
          <w:sz w:val="24"/>
          <w:szCs w:val="24"/>
        </w:rPr>
        <w:fldChar w:fldCharType="end"/>
      </w:r>
      <w:r w:rsidRPr="00377CF2">
        <w:rPr>
          <w:rFonts w:eastAsia="Times New Roman"/>
          <w:color w:val="000000"/>
          <w:sz w:val="24"/>
          <w:szCs w:val="24"/>
        </w:rPr>
        <w:t xml:space="preserve">. </w:t>
      </w:r>
      <w:r w:rsidR="00911681" w:rsidRPr="00377CF2">
        <w:rPr>
          <w:sz w:val="24"/>
          <w:szCs w:val="24"/>
        </w:rPr>
        <w:t xml:space="preserve">For each of the ~770 Human Microbial Taxa (HMTs) in eHOMD, one eHOMDref was selected as a representative of that </w:t>
      </w:r>
      <w:r w:rsidR="00911681" w:rsidRPr="00377CF2">
        <w:rPr>
          <w:sz w:val="24"/>
          <w:szCs w:val="24"/>
        </w:rPr>
        <w:lastRenderedPageBreak/>
        <w:t xml:space="preserve">given taxon. </w:t>
      </w:r>
      <w:r w:rsidRPr="00377CF2">
        <w:rPr>
          <w:rFonts w:eastAsia="Times New Roman"/>
          <w:color w:val="000000"/>
          <w:sz w:val="24"/>
          <w:szCs w:val="24"/>
        </w:rPr>
        <w:t xml:space="preserve">The resulting alignment was trimmed from </w:t>
      </w:r>
      <w:r w:rsidRPr="00377CF2">
        <w:rPr>
          <w:rFonts w:eastAsia="Times New Roman"/>
          <w:i/>
          <w:color w:val="000000"/>
          <w:sz w:val="24"/>
          <w:szCs w:val="24"/>
        </w:rPr>
        <w:t>E. coli</w:t>
      </w:r>
      <w:r w:rsidRPr="00377CF2">
        <w:rPr>
          <w:rFonts w:eastAsia="Times New Roman"/>
          <w:color w:val="000000"/>
          <w:sz w:val="24"/>
          <w:szCs w:val="24"/>
        </w:rPr>
        <w:t xml:space="preserve"> position 28 to 517 (V1-V3 region) and further trimmed to positions 28-220 (V1-V2 region) and 436-517 (V3 region).</w:t>
      </w:r>
    </w:p>
    <w:p w14:paraId="3631E5CB" w14:textId="0A95A67D" w:rsidR="004B2CB4" w:rsidRPr="00377CF2" w:rsidRDefault="004B2CB4" w:rsidP="004B2CB4">
      <w:pPr>
        <w:spacing w:before="100" w:beforeAutospacing="1" w:after="360" w:line="480" w:lineRule="auto"/>
        <w:rPr>
          <w:rFonts w:eastAsia="Times New Roman"/>
          <w:color w:val="000000"/>
          <w:sz w:val="24"/>
          <w:szCs w:val="24"/>
        </w:rPr>
      </w:pPr>
      <w:r w:rsidRPr="00377CF2">
        <w:rPr>
          <w:rFonts w:eastAsia="Times New Roman"/>
          <w:b/>
          <w:color w:val="000000"/>
          <w:sz w:val="24"/>
          <w:szCs w:val="24"/>
        </w:rPr>
        <w:t xml:space="preserve">Entropy calculation for the 16S rRNA gene V1-V3 region for each taxon in eHOMD. </w:t>
      </w:r>
      <w:r w:rsidRPr="00377CF2">
        <w:rPr>
          <w:rFonts w:eastAsia="Times New Roman"/>
          <w:color w:val="000000"/>
          <w:sz w:val="24"/>
          <w:szCs w:val="24"/>
        </w:rPr>
        <w:t xml:space="preserve">To construct </w:t>
      </w:r>
      <w:r w:rsidR="00F20261" w:rsidRPr="00377CF2">
        <w:rPr>
          <w:rFonts w:eastAsia="Times New Roman"/>
          <w:bCs/>
          <w:color w:val="000000"/>
          <w:sz w:val="24"/>
          <w:szCs w:val="24"/>
        </w:rPr>
        <w:t>Figure A.ii</w:t>
      </w:r>
      <w:r w:rsidRPr="00377CF2">
        <w:rPr>
          <w:rFonts w:eastAsia="Times New Roman"/>
          <w:color w:val="000000"/>
          <w:sz w:val="24"/>
          <w:szCs w:val="24"/>
        </w:rPr>
        <w:t xml:space="preserve">, sequences in the eHOMDv15.1 alignment were trimmed from aligned positions 40 to 880. The resulting sequences with alignment gaps are much longer than actual V1-V3 sequences. Shannon entropy for each position in the aligned sequences was estimated with a maximum likelihood method using the “entropy” R package </w:t>
      </w:r>
      <w:r w:rsidRPr="00377CF2">
        <w:rPr>
          <w:rFonts w:eastAsia="Times New Roman"/>
          <w:color w:val="000000"/>
          <w:sz w:val="24"/>
          <w:szCs w:val="24"/>
        </w:rPr>
        <w:fldChar w:fldCharType="begin"/>
      </w:r>
      <w:r w:rsidR="002406B2" w:rsidRPr="00377CF2">
        <w:rPr>
          <w:rFonts w:eastAsia="Times New Roman"/>
          <w:color w:val="000000"/>
          <w:sz w:val="24"/>
          <w:szCs w:val="24"/>
        </w:rPr>
        <w:instrText xml:space="preserve"> ADDIN EN.CITE &lt;EndNote&gt;&lt;Cite&gt;&lt;Author&gt;Hausser&lt;/Author&gt;&lt;Year&gt;2009&lt;/Year&gt;&lt;RecNum&gt;2829&lt;/RecNum&gt;&lt;DisplayText&gt;[4]&lt;/DisplayText&gt;&lt;record&gt;&lt;rec-number&gt;2829&lt;/rec-number&gt;&lt;foreign-keys&gt;&lt;key app="EN" db-id="pvrtafrfnz2seoez005xzaars0f5ar9f9xet" timestamp="1560875109"&gt;2829&lt;/key&gt;&lt;/foreign-keys&gt;&lt;ref-type name="Journal Article"&gt;17&lt;/ref-type&gt;&lt;contributors&gt;&lt;authors&gt;&lt;author&gt;J Hausser&lt;/author&gt;&lt;author&gt;K Strimmer&lt;/author&gt;&lt;/authors&gt;&lt;/contributors&gt;&lt;titles&gt;&lt;title&gt;Entropy inference and the James-Stein estimator, with application to nonlinear gene association networks&lt;/title&gt;&lt;secondary-title&gt;J. Mach. Learn. Res. &lt;/secondary-title&gt;&lt;/titles&gt;&lt;periodical&gt;&lt;full-title&gt;J. Mach. Learn. Res.&lt;/full-title&gt;&lt;/periodical&gt;&lt;pages&gt;1469-1484&lt;/pages&gt;&lt;number&gt;10&lt;/number&gt;&lt;dates&gt;&lt;year&gt;2009&lt;/year&gt;&lt;/dates&gt;&lt;urls&gt;&lt;/urls&gt;&lt;/record&gt;&lt;/Cite&gt;&lt;/EndNote&gt;</w:instrText>
      </w:r>
      <w:r w:rsidRPr="00377CF2">
        <w:rPr>
          <w:rFonts w:eastAsia="Times New Roman"/>
          <w:color w:val="000000"/>
          <w:sz w:val="24"/>
          <w:szCs w:val="24"/>
        </w:rPr>
        <w:fldChar w:fldCharType="separate"/>
      </w:r>
      <w:r w:rsidR="002406B2" w:rsidRPr="00377CF2">
        <w:rPr>
          <w:rFonts w:eastAsia="Times New Roman"/>
          <w:noProof/>
          <w:color w:val="000000"/>
          <w:sz w:val="24"/>
          <w:szCs w:val="24"/>
        </w:rPr>
        <w:t>[4]</w:t>
      </w:r>
      <w:r w:rsidRPr="00377CF2">
        <w:rPr>
          <w:rFonts w:eastAsia="Times New Roman"/>
          <w:color w:val="000000"/>
          <w:sz w:val="24"/>
          <w:szCs w:val="24"/>
        </w:rPr>
        <w:fldChar w:fldCharType="end"/>
      </w:r>
      <w:r w:rsidRPr="00377CF2">
        <w:rPr>
          <w:rFonts w:eastAsia="Times New Roman"/>
          <w:color w:val="000000"/>
          <w:sz w:val="24"/>
          <w:szCs w:val="24"/>
        </w:rPr>
        <w:t>. Because the distribution of ungapped V1-V3 lengths centered around 489 bases, a V1-V3 fragment with an ungapped length of 489 (eHOMDref 762_5043) was randomly chosen from the V1-V3 sequence collection as a representative onto which the entropy results were plotted.</w:t>
      </w:r>
    </w:p>
    <w:p w14:paraId="33498067" w14:textId="3EBF22F9" w:rsidR="004B2CB4" w:rsidRPr="00377CF2" w:rsidRDefault="004B2CB4" w:rsidP="004B2CB4">
      <w:pPr>
        <w:spacing w:before="100" w:beforeAutospacing="1" w:after="360" w:line="480" w:lineRule="auto"/>
        <w:rPr>
          <w:rFonts w:eastAsia="Times New Roman"/>
          <w:color w:val="000000"/>
          <w:sz w:val="24"/>
          <w:szCs w:val="24"/>
        </w:rPr>
      </w:pPr>
      <w:r w:rsidRPr="00377CF2">
        <w:rPr>
          <w:rFonts w:eastAsia="Times New Roman"/>
          <w:b/>
          <w:color w:val="000000"/>
          <w:sz w:val="24"/>
          <w:szCs w:val="24"/>
        </w:rPr>
        <w:t>Nonoverlapping V1-V3 16S rRNA gene sequencing.</w:t>
      </w:r>
      <w:r w:rsidRPr="00377CF2">
        <w:rPr>
          <w:rFonts w:eastAsia="Times New Roman"/>
          <w:color w:val="000000"/>
          <w:sz w:val="24"/>
          <w:szCs w:val="24"/>
        </w:rPr>
        <w:t xml:space="preserve"> Supragingival pooled plaque samples were deposited into collection tubes containing 150 μL TE buffer. Samples were incubated at 37°C for 3 hrs with 1 μL of Lucigen’s Ready-Lyse Lysozyme, and then subsequently processed using Lucigen’s MasterPure Complete protocol beginning at step C-Lysis of Fluid or Tissue Samples. The method deviated from the protocol at step 4 where the incubation time was increased to 30 mins and steps 5 and 6 were omitted. Samples were precipitated using step F-Precipitation of Total Nucleic Acids and were resuspended in 25 μl of TE buffer instead of the suggested 30 μl. 16S rRNA gene libraries were prepared by targeted amplicon sequencing performed using a custom dual-index protocol </w:t>
      </w:r>
      <w:r w:rsidRPr="00377CF2">
        <w:rPr>
          <w:rFonts w:eastAsia="Times New Roman"/>
          <w:color w:val="000000"/>
          <w:sz w:val="24"/>
          <w:szCs w:val="24"/>
        </w:rPr>
        <w:fldChar w:fldCharType="begin"/>
      </w:r>
      <w:r w:rsidR="002406B2" w:rsidRPr="00377CF2">
        <w:rPr>
          <w:rFonts w:eastAsia="Times New Roman"/>
          <w:color w:val="000000"/>
          <w:sz w:val="24"/>
          <w:szCs w:val="24"/>
        </w:rPr>
        <w:instrText xml:space="preserve"> ADDIN EN.CITE &lt;EndNote&gt;&lt;Cite&gt;&lt;Author&gt;Kozich&lt;/Author&gt;&lt;Year&gt;2013&lt;/Year&gt;&lt;RecNum&gt;2881&lt;/RecNum&gt;&lt;DisplayText&gt;[5]&lt;/DisplayText&gt;&lt;record&gt;&lt;rec-number&gt;2881&lt;/rec-number&gt;&lt;foreign-keys&gt;&lt;key app="EN" db-id="pvrtafrfnz2seoez005xzaars0f5ar9f9xet" timestamp="1561053577"&gt;2881&lt;/key&gt;&lt;/foreign-keys&gt;&lt;ref-type name="Journal Article"&gt;17&lt;/ref-type&gt;&lt;contributors&gt;&lt;authors&gt;&lt;author&gt;Kozich, J. J.&lt;/author&gt;&lt;author&gt;Westcott, S. L.&lt;/author&gt;&lt;author&gt;Baxter, N. T.&lt;/author&gt;&lt;author&gt;Highlander, S. K.&lt;/author&gt;&lt;author&gt;Schloss, P. D.&lt;/author&gt;&lt;/authors&gt;&lt;/contributors&gt;&lt;auth-address&gt;Department of Microbiology and Immunology, University of Michigan, Ann Arbor, Michigan, USA.&lt;/auth-address&gt;&lt;titles&gt;&lt;title&gt;Development of a dual-index sequencing strategy and curation pipeline for analyzing amplicon sequence data on the MiSeq Illumina sequencing platform&lt;/title&gt;&lt;secondary-title&gt;Appl Environ Microbiol&lt;/secondary-title&gt;&lt;/titles&gt;&lt;periodical&gt;&lt;full-title&gt;Appl Environ Microbiol&lt;/full-title&gt;&lt;/periodical&gt;&lt;pages&gt;5112-20&lt;/pages&gt;&lt;volume&gt;79&lt;/volume&gt;&lt;number&gt;17&lt;/number&gt;&lt;keywords&gt;&lt;keyword&gt;Animals&lt;/keyword&gt;&lt;keyword&gt;*Biota&lt;/keyword&gt;&lt;keyword&gt;Computational Biology/*methods&lt;/keyword&gt;&lt;keyword&gt;Feces/microbiology&lt;/keyword&gt;&lt;keyword&gt;High-Throughput Nucleotide Sequencing/*methods/*standards&lt;/keyword&gt;&lt;keyword&gt;Humans&lt;/keyword&gt;&lt;keyword&gt;*Metagenome&lt;/keyword&gt;&lt;keyword&gt;Mice&lt;/keyword&gt;&lt;keyword&gt;Soil Microbiology&lt;/keyword&gt;&lt;/keywords&gt;&lt;dates&gt;&lt;year&gt;2013&lt;/year&gt;&lt;pub-dates&gt;&lt;date&gt;Sep&lt;/date&gt;&lt;/pub-dates&gt;&lt;/dates&gt;&lt;isbn&gt;1098-5336 (Electronic)&amp;#xD;0099-2240 (Linking)&lt;/isbn&gt;&lt;accession-num&gt;23793624&lt;/accession-num&gt;&lt;urls&gt;&lt;related-urls&gt;&lt;url&gt;https://www.ncbi.nlm.nih.gov/pubmed/23793624&lt;/url&gt;&lt;/related-urls&gt;&lt;/urls&gt;&lt;custom2&gt;PMC3753973&lt;/custom2&gt;&lt;electronic-resource-num&gt;10.1128/AEM.01043-13&lt;/electronic-resource-num&gt;&lt;/record&gt;&lt;/Cite&gt;&lt;/EndNote&gt;</w:instrText>
      </w:r>
      <w:r w:rsidRPr="00377CF2">
        <w:rPr>
          <w:rFonts w:eastAsia="Times New Roman"/>
          <w:color w:val="000000"/>
          <w:sz w:val="24"/>
          <w:szCs w:val="24"/>
        </w:rPr>
        <w:fldChar w:fldCharType="separate"/>
      </w:r>
      <w:r w:rsidR="002406B2" w:rsidRPr="00377CF2">
        <w:rPr>
          <w:rFonts w:eastAsia="Times New Roman"/>
          <w:noProof/>
          <w:color w:val="000000"/>
          <w:sz w:val="24"/>
          <w:szCs w:val="24"/>
        </w:rPr>
        <w:t>[5]</w:t>
      </w:r>
      <w:r w:rsidRPr="00377CF2">
        <w:rPr>
          <w:rFonts w:eastAsia="Times New Roman"/>
          <w:color w:val="000000"/>
          <w:sz w:val="24"/>
          <w:szCs w:val="24"/>
        </w:rPr>
        <w:fldChar w:fldCharType="end"/>
      </w:r>
      <w:r w:rsidRPr="00377CF2">
        <w:rPr>
          <w:rFonts w:eastAsia="Times New Roman"/>
          <w:color w:val="000000"/>
          <w:sz w:val="24"/>
          <w:szCs w:val="24"/>
        </w:rPr>
        <w:t>. The 16S rRNA gene primers described by Allen and colleagues (</w:t>
      </w:r>
      <w:r w:rsidR="0005687A" w:rsidRPr="00377CF2">
        <w:rPr>
          <w:rFonts w:eastAsia="Times New Roman"/>
          <w:b/>
          <w:color w:val="000000"/>
          <w:sz w:val="24"/>
          <w:szCs w:val="24"/>
        </w:rPr>
        <w:t>Table A</w:t>
      </w:r>
      <w:r w:rsidR="00456D61">
        <w:rPr>
          <w:rFonts w:eastAsia="Times New Roman"/>
          <w:b/>
          <w:color w:val="000000"/>
          <w:sz w:val="24"/>
          <w:szCs w:val="24"/>
        </w:rPr>
        <w:t xml:space="preserve">, </w:t>
      </w:r>
      <w:r w:rsidR="00456D61" w:rsidRPr="00377CF2">
        <w:rPr>
          <w:rFonts w:eastAsia="Times New Roman"/>
          <w:b/>
          <w:color w:val="000000"/>
          <w:sz w:val="24"/>
          <w:szCs w:val="24"/>
        </w:rPr>
        <w:t>Additional File 4</w:t>
      </w:r>
      <w:r w:rsidRPr="00377CF2">
        <w:rPr>
          <w:rFonts w:eastAsia="Times New Roman"/>
          <w:b/>
          <w:bCs/>
          <w:color w:val="000000"/>
          <w:sz w:val="24"/>
          <w:szCs w:val="24"/>
        </w:rPr>
        <w:t>)</w:t>
      </w:r>
      <w:r w:rsidRPr="00377CF2">
        <w:rPr>
          <w:rFonts w:eastAsia="Times New Roman"/>
          <w:color w:val="000000"/>
          <w:sz w:val="24"/>
          <w:szCs w:val="24"/>
        </w:rPr>
        <w:t xml:space="preserve"> were used to amplify the V1-V3 region of the 16S rRNA gene </w:t>
      </w:r>
      <w:r w:rsidRPr="00377CF2">
        <w:rPr>
          <w:rFonts w:eastAsia="Times New Roman"/>
          <w:color w:val="000000"/>
          <w:sz w:val="24"/>
          <w:szCs w:val="24"/>
        </w:rPr>
        <w:fldChar w:fldCharType="begin">
          <w:fldData xml:space="preserve">PEVuZE5vdGU+PENpdGU+PEF1dGhvcj5BbGxlbjwvQXV0aG9yPjxZZWFyPjIwMTY8L1llYXI+PFJl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</w:fldData>
        </w:fldChar>
      </w:r>
      <w:r w:rsidR="002406B2" w:rsidRPr="00377CF2">
        <w:rPr>
          <w:rFonts w:eastAsia="Times New Roman"/>
          <w:color w:val="000000"/>
          <w:sz w:val="24"/>
          <w:szCs w:val="24"/>
        </w:rPr>
        <w:instrText xml:space="preserve"> ADDIN EN.CITE </w:instrText>
      </w:r>
      <w:r w:rsidR="002406B2" w:rsidRPr="00377CF2">
        <w:rPr>
          <w:rFonts w:eastAsia="Times New Roman"/>
          <w:color w:val="000000"/>
          <w:sz w:val="24"/>
          <w:szCs w:val="24"/>
        </w:rPr>
        <w:fldChar w:fldCharType="begin">
          <w:fldData xml:space="preserve">PEVuZE5vdGU+PENpdGU+PEF1dGhvcj5BbGxlbjwvQXV0aG9yPjxZZWFyPjIwMTY8L1llYXI+PFJl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</w:fldData>
        </w:fldChar>
      </w:r>
      <w:r w:rsidR="002406B2" w:rsidRPr="00377CF2">
        <w:rPr>
          <w:rFonts w:eastAsia="Times New Roman"/>
          <w:color w:val="000000"/>
          <w:sz w:val="24"/>
          <w:szCs w:val="24"/>
        </w:rPr>
        <w:instrText xml:space="preserve"> ADDIN EN.CITE.DATA </w:instrText>
      </w:r>
      <w:r w:rsidR="002406B2" w:rsidRPr="00377CF2">
        <w:rPr>
          <w:rFonts w:eastAsia="Times New Roman"/>
          <w:color w:val="000000"/>
          <w:sz w:val="24"/>
          <w:szCs w:val="24"/>
        </w:rPr>
      </w:r>
      <w:r w:rsidR="002406B2" w:rsidRPr="00377CF2">
        <w:rPr>
          <w:rFonts w:eastAsia="Times New Roman"/>
          <w:color w:val="000000"/>
          <w:sz w:val="24"/>
          <w:szCs w:val="24"/>
        </w:rPr>
        <w:fldChar w:fldCharType="end"/>
      </w:r>
      <w:r w:rsidRPr="00377CF2">
        <w:rPr>
          <w:rFonts w:eastAsia="Times New Roman"/>
          <w:color w:val="000000"/>
          <w:sz w:val="24"/>
          <w:szCs w:val="24"/>
        </w:rPr>
      </w:r>
      <w:r w:rsidRPr="00377CF2">
        <w:rPr>
          <w:rFonts w:eastAsia="Times New Roman"/>
          <w:color w:val="000000"/>
          <w:sz w:val="24"/>
          <w:szCs w:val="24"/>
        </w:rPr>
        <w:fldChar w:fldCharType="separate"/>
      </w:r>
      <w:r w:rsidR="002406B2" w:rsidRPr="00377CF2">
        <w:rPr>
          <w:rFonts w:eastAsia="Times New Roman"/>
          <w:noProof/>
          <w:color w:val="000000"/>
          <w:sz w:val="24"/>
          <w:szCs w:val="24"/>
        </w:rPr>
        <w:t>[6]</w:t>
      </w:r>
      <w:r w:rsidRPr="00377CF2">
        <w:rPr>
          <w:rFonts w:eastAsia="Times New Roman"/>
          <w:color w:val="000000"/>
          <w:sz w:val="24"/>
          <w:szCs w:val="24"/>
        </w:rPr>
        <w:fldChar w:fldCharType="end"/>
      </w:r>
      <w:r w:rsidRPr="00377CF2">
        <w:rPr>
          <w:rFonts w:eastAsia="Times New Roman"/>
          <w:color w:val="000000"/>
          <w:sz w:val="24"/>
          <w:szCs w:val="24"/>
        </w:rPr>
        <w:t xml:space="preserve">. These primers provide broad coverage of 16S rRNA genes while maintaining high sensitivity. The sample libraries were prepared using a 22-cycle PCR reaction to reduce the chimera formation that is common when using a high cycle number. The final </w:t>
      </w:r>
      <w:r w:rsidRPr="00377CF2">
        <w:rPr>
          <w:rFonts w:eastAsia="Times New Roman"/>
          <w:color w:val="000000"/>
          <w:sz w:val="24"/>
          <w:szCs w:val="24"/>
        </w:rPr>
        <w:lastRenderedPageBreak/>
        <w:t xml:space="preserve">PCR products were purified using Ampure XP beads, pooled in equal amounts, and gel purified using the QIAGEN MinElute Gel Extraction Kit. Purified, pooled libraries were quantified using the NEBNext Library Quant Kit for Illumina. Final libraries were sequenced on Illumina® MiSeq™ with a v2 reagent kit (500 cycles) using a 250x250 or 100x400 configuration. The sequencing was performed at a 10 pM loading concentration with the indicated percentage of PhiX added. Quality Phred Score of the reads was assessed using FastQC </w:t>
      </w:r>
      <w:r w:rsidRPr="00377CF2">
        <w:rPr>
          <w:rFonts w:eastAsia="Times New Roman"/>
          <w:color w:val="000000"/>
          <w:sz w:val="24"/>
          <w:szCs w:val="24"/>
        </w:rPr>
        <w:fldChar w:fldCharType="begin"/>
      </w:r>
      <w:r w:rsidR="002406B2" w:rsidRPr="00377CF2">
        <w:rPr>
          <w:rFonts w:eastAsia="Times New Roman"/>
          <w:color w:val="000000"/>
          <w:sz w:val="24"/>
          <w:szCs w:val="24"/>
        </w:rPr>
        <w:instrText xml:space="preserve"> ADDIN EN.CITE &lt;EndNote&gt;&lt;Cite&gt;&lt;Author&gt;Wingett&lt;/Author&gt;&lt;Year&gt;2018&lt;/Year&gt;&lt;RecNum&gt;2987&lt;/RecNum&gt;&lt;DisplayText&gt;[7]&lt;/DisplayText&gt;&lt;record&gt;&lt;rec-number&gt;2987&lt;/rec-number&gt;&lt;foreign-keys&gt;&lt;key app="EN" db-id="pvrtafrfnz2seoez005xzaars0f5ar9f9xet" timestamp="1561054835"&gt;2987&lt;/key&gt;&lt;/foreign-keys&gt;&lt;ref-type name="Journal Article"&gt;17&lt;/ref-type&gt;&lt;contributors&gt;&lt;authors&gt;&lt;author&gt;Wingett, S. W.&lt;/author&gt;&lt;author&gt;Andrews, S.&lt;/author&gt;&lt;/authors&gt;&lt;/contributors&gt;&lt;auth-address&gt;Bioinformatics, Babraham Institute, Cambridge, CB22 3AT, UK.&lt;/auth-address&gt;&lt;titles&gt;&lt;title&gt;FastQ Screen: A tool for multi-genome mapping and quality control&lt;/title&gt;&lt;secondary-title&gt;F1000Res&lt;/secondary-title&gt;&lt;/titles&gt;&lt;periodical&gt;&lt;full-title&gt;F1000Res&lt;/full-title&gt;&lt;/periodical&gt;&lt;pages&gt;1338&lt;/pages&gt;&lt;volume&gt;7&lt;/volume&gt;&lt;keywords&gt;&lt;keyword&gt;*Bioinformatics Contamination FastQC Illumina Metagenomics NGS QC Sequencing&lt;/keyword&gt;&lt;/keywords&gt;&lt;dates&gt;&lt;year&gt;2018&lt;/year&gt;&lt;/dates&gt;&lt;isbn&gt;2046-1402 (Electronic)&amp;#xD;2046-1402 (Linking)&lt;/isbn&gt;&lt;accession-num&gt;30254741&lt;/accession-num&gt;&lt;urls&gt;&lt;related-urls&gt;&lt;url&gt;https://www.ncbi.nlm.nih.gov/pubmed/30254741&lt;/url&gt;&lt;/related-urls&gt;&lt;/urls&gt;&lt;custom2&gt;PMC6124377&lt;/custom2&gt;&lt;electronic-resource-num&gt;10.12688/f1000research.15931.2&lt;/electronic-resource-num&gt;&lt;/record&gt;&lt;/Cite&gt;&lt;/EndNote&gt;</w:instrText>
      </w:r>
      <w:r w:rsidRPr="00377CF2">
        <w:rPr>
          <w:rFonts w:eastAsia="Times New Roman"/>
          <w:color w:val="000000"/>
          <w:sz w:val="24"/>
          <w:szCs w:val="24"/>
        </w:rPr>
        <w:fldChar w:fldCharType="separate"/>
      </w:r>
      <w:r w:rsidR="002406B2" w:rsidRPr="00377CF2">
        <w:rPr>
          <w:rFonts w:eastAsia="Times New Roman"/>
          <w:noProof/>
          <w:color w:val="000000"/>
          <w:sz w:val="24"/>
          <w:szCs w:val="24"/>
        </w:rPr>
        <w:t>[7]</w:t>
      </w:r>
      <w:r w:rsidRPr="00377CF2">
        <w:rPr>
          <w:rFonts w:eastAsia="Times New Roman"/>
          <w:color w:val="000000"/>
          <w:sz w:val="24"/>
          <w:szCs w:val="24"/>
        </w:rPr>
        <w:fldChar w:fldCharType="end"/>
      </w:r>
      <w:r w:rsidRPr="00377CF2">
        <w:rPr>
          <w:rFonts w:eastAsia="Times New Roman"/>
          <w:color w:val="000000"/>
          <w:sz w:val="24"/>
          <w:szCs w:val="24"/>
        </w:rPr>
        <w:t>.</w:t>
      </w:r>
    </w:p>
    <w:p w14:paraId="07C77B3C" w14:textId="49F77E6B" w:rsidR="00F20261" w:rsidRPr="00377CF2" w:rsidRDefault="00456D61" w:rsidP="00F20261">
      <w:pPr>
        <w:spacing w:before="100" w:beforeAutospacing="1" w:after="360" w:line="480" w:lineRule="auto"/>
        <w:rPr>
          <w:rFonts w:eastAsia="Times New Roman"/>
          <w:b/>
          <w:bCs/>
          <w:color w:val="000000"/>
          <w:sz w:val="24"/>
          <w:szCs w:val="24"/>
        </w:rPr>
      </w:pPr>
      <w:r>
        <w:rPr>
          <w:rFonts w:eastAsia="Times New Roman"/>
          <w:b/>
          <w:sz w:val="24"/>
          <w:szCs w:val="24"/>
        </w:rPr>
        <w:t xml:space="preserve">Tables for </w:t>
      </w:r>
      <w:r w:rsidR="00F20261" w:rsidRPr="00377CF2">
        <w:rPr>
          <w:rFonts w:eastAsia="Times New Roman"/>
          <w:b/>
          <w:sz w:val="24"/>
          <w:szCs w:val="24"/>
        </w:rPr>
        <w:t xml:space="preserve">Additional File </w:t>
      </w:r>
      <w:r w:rsidR="003F7A29" w:rsidRPr="00377CF2">
        <w:rPr>
          <w:rFonts w:eastAsia="Times New Roman"/>
          <w:b/>
          <w:sz w:val="24"/>
          <w:szCs w:val="24"/>
        </w:rPr>
        <w:t>4</w:t>
      </w:r>
      <w:r w:rsidR="00F20261" w:rsidRPr="00377CF2">
        <w:rPr>
          <w:rFonts w:eastAsia="Times New Roman"/>
          <w:b/>
          <w:sz w:val="24"/>
          <w:szCs w:val="24"/>
        </w:rPr>
        <w:t xml:space="preserve"> </w:t>
      </w:r>
    </w:p>
    <w:tbl>
      <w:tblPr>
        <w:tblpPr w:leftFromText="180" w:rightFromText="180" w:vertAnchor="text" w:horzAnchor="margin" w:tblpXSpec="center" w:tblpY="505"/>
        <w:tblW w:w="7915" w:type="dxa"/>
        <w:tblLook w:val="04A0" w:firstRow="1" w:lastRow="0" w:firstColumn="1" w:lastColumn="0" w:noHBand="0" w:noVBand="1"/>
      </w:tblPr>
      <w:tblGrid>
        <w:gridCol w:w="7915"/>
      </w:tblGrid>
      <w:tr w:rsidR="003F7A29" w:rsidRPr="00377CF2" w14:paraId="4F1BEC99" w14:textId="77777777" w:rsidTr="003F7A29">
        <w:trPr>
          <w:trHeight w:val="380"/>
        </w:trPr>
        <w:tc>
          <w:tcPr>
            <w:tcW w:w="7915" w:type="dxa"/>
            <w:tcBorders>
              <w:top w:val="single" w:sz="18" w:space="0" w:color="auto"/>
              <w:left w:val="single" w:sz="18" w:space="0" w:color="auto"/>
              <w:bottom w:val="nil"/>
              <w:right w:val="single" w:sz="18" w:space="0" w:color="auto"/>
            </w:tcBorders>
            <w:shd w:val="clear" w:color="auto" w:fill="auto"/>
            <w:noWrap/>
            <w:vAlign w:val="bottom"/>
            <w:hideMark/>
          </w:tcPr>
          <w:p w14:paraId="1A3032A7" w14:textId="77777777" w:rsidR="003F7A29" w:rsidRPr="00377CF2" w:rsidRDefault="003F7A29" w:rsidP="003F7A29">
            <w:pPr>
              <w:jc w:val="center"/>
              <w:rPr>
                <w:rFonts w:eastAsia="Times New Roman"/>
                <w:b/>
                <w:bCs/>
                <w:color w:val="000000"/>
                <w:sz w:val="24"/>
                <w:szCs w:val="24"/>
                <w:u w:val="single"/>
              </w:rPr>
            </w:pPr>
          </w:p>
          <w:p w14:paraId="4613EBA3" w14:textId="77777777" w:rsidR="003F7A29" w:rsidRPr="00377CF2" w:rsidRDefault="003F7A29" w:rsidP="003F7A29">
            <w:pPr>
              <w:jc w:val="center"/>
              <w:rPr>
                <w:rFonts w:eastAsia="Times New Roman"/>
                <w:b/>
                <w:bCs/>
                <w:color w:val="000000"/>
                <w:sz w:val="24"/>
                <w:szCs w:val="24"/>
                <w:u w:val="single"/>
              </w:rPr>
            </w:pPr>
            <w:r w:rsidRPr="00377CF2">
              <w:rPr>
                <w:rFonts w:eastAsia="Times New Roman"/>
                <w:b/>
                <w:bCs/>
                <w:color w:val="000000"/>
                <w:sz w:val="24"/>
                <w:szCs w:val="24"/>
                <w:u w:val="single"/>
              </w:rPr>
              <w:t>V1V3 Region PCR Primers (Allen et al., 2016)</w:t>
            </w:r>
          </w:p>
          <w:p w14:paraId="0543A42F" w14:textId="77777777" w:rsidR="003F7A29" w:rsidRPr="00377CF2" w:rsidRDefault="003F7A29" w:rsidP="003F7A29">
            <w:pPr>
              <w:jc w:val="center"/>
              <w:rPr>
                <w:rFonts w:eastAsia="Times New Roman"/>
                <w:b/>
                <w:bCs/>
                <w:color w:val="000000"/>
                <w:sz w:val="24"/>
                <w:szCs w:val="24"/>
                <w:u w:val="single"/>
              </w:rPr>
            </w:pPr>
          </w:p>
          <w:p w14:paraId="0EFE5BFF" w14:textId="77777777" w:rsidR="003F7A29" w:rsidRPr="00377CF2" w:rsidRDefault="003F7A29" w:rsidP="003F7A29">
            <w:pPr>
              <w:jc w:val="center"/>
              <w:rPr>
                <w:rFonts w:eastAsia="Times New Roman"/>
                <w:b/>
                <w:bCs/>
                <w:color w:val="000000"/>
                <w:sz w:val="24"/>
                <w:szCs w:val="24"/>
                <w:u w:val="single"/>
              </w:rPr>
            </w:pPr>
          </w:p>
        </w:tc>
      </w:tr>
      <w:tr w:rsidR="003F7A29" w:rsidRPr="00377CF2" w14:paraId="176979E8" w14:textId="77777777" w:rsidTr="003F7A29">
        <w:trPr>
          <w:trHeight w:val="300"/>
        </w:trPr>
        <w:tc>
          <w:tcPr>
            <w:tcW w:w="7915" w:type="dxa"/>
            <w:tcBorders>
              <w:top w:val="nil"/>
              <w:left w:val="single" w:sz="18" w:space="0" w:color="auto"/>
              <w:bottom w:val="nil"/>
              <w:right w:val="single" w:sz="18" w:space="0" w:color="auto"/>
            </w:tcBorders>
            <w:shd w:val="clear" w:color="auto" w:fill="auto"/>
            <w:noWrap/>
            <w:vAlign w:val="center"/>
            <w:hideMark/>
          </w:tcPr>
          <w:p w14:paraId="7D5094CD" w14:textId="77777777" w:rsidR="003F7A29" w:rsidRPr="00377CF2" w:rsidRDefault="003F7A29" w:rsidP="003F7A29">
            <w:pPr>
              <w:jc w:val="left"/>
              <w:rPr>
                <w:rFonts w:eastAsia="Times New Roman"/>
                <w:color w:val="000000"/>
                <w:sz w:val="24"/>
                <w:szCs w:val="24"/>
              </w:rPr>
            </w:pPr>
            <w:r w:rsidRPr="00377CF2">
              <w:rPr>
                <w:rFonts w:eastAsia="Times New Roman"/>
                <w:color w:val="000000"/>
                <w:sz w:val="24"/>
                <w:szCs w:val="24"/>
              </w:rPr>
              <w:t>518F (forward primer):</w:t>
            </w:r>
          </w:p>
        </w:tc>
      </w:tr>
      <w:tr w:rsidR="003F7A29" w:rsidRPr="00377CF2" w14:paraId="0E9E9B7F" w14:textId="77777777" w:rsidTr="003F7A29">
        <w:trPr>
          <w:trHeight w:val="300"/>
        </w:trPr>
        <w:tc>
          <w:tcPr>
            <w:tcW w:w="7915" w:type="dxa"/>
            <w:tcBorders>
              <w:top w:val="nil"/>
              <w:left w:val="single" w:sz="18" w:space="0" w:color="auto"/>
              <w:bottom w:val="nil"/>
              <w:right w:val="single" w:sz="18" w:space="0" w:color="auto"/>
            </w:tcBorders>
            <w:shd w:val="clear" w:color="auto" w:fill="auto"/>
            <w:noWrap/>
            <w:vAlign w:val="center"/>
            <w:hideMark/>
          </w:tcPr>
          <w:p w14:paraId="44766F74" w14:textId="77777777" w:rsidR="003F7A29" w:rsidRPr="00377CF2" w:rsidRDefault="003F7A29" w:rsidP="003F7A29">
            <w:pPr>
              <w:jc w:val="left"/>
              <w:rPr>
                <w:rFonts w:eastAsia="Times New Roman"/>
                <w:color w:val="FF0000"/>
                <w:sz w:val="24"/>
                <w:szCs w:val="24"/>
              </w:rPr>
            </w:pPr>
            <w:r w:rsidRPr="00377CF2">
              <w:rPr>
                <w:rFonts w:eastAsia="Times New Roman"/>
                <w:color w:val="FF0000"/>
                <w:sz w:val="24"/>
                <w:szCs w:val="24"/>
              </w:rPr>
              <w:t xml:space="preserve">AATGATACGGCGACCACCGAGATCTACAC </w:t>
            </w:r>
            <w:r w:rsidRPr="00377CF2">
              <w:rPr>
                <w:rFonts w:eastAsia="Times New Roman"/>
                <w:color w:val="00B050"/>
                <w:sz w:val="24"/>
                <w:szCs w:val="24"/>
              </w:rPr>
              <w:t xml:space="preserve">ATCGTACG </w:t>
            </w:r>
            <w:r w:rsidRPr="00377CF2">
              <w:rPr>
                <w:rFonts w:eastAsia="Times New Roman"/>
                <w:color w:val="00B0F0"/>
                <w:sz w:val="24"/>
                <w:szCs w:val="24"/>
              </w:rPr>
              <w:t>TATGGTAATT</w:t>
            </w:r>
            <w:r w:rsidRPr="00377CF2">
              <w:rPr>
                <w:rFonts w:eastAsia="Times New Roman"/>
                <w:b/>
                <w:bCs/>
                <w:color w:val="000000"/>
                <w:sz w:val="24"/>
                <w:szCs w:val="24"/>
              </w:rPr>
              <w:t>CAATTACCGCGGCTGCTGG</w:t>
            </w:r>
          </w:p>
        </w:tc>
      </w:tr>
      <w:tr w:rsidR="003F7A29" w:rsidRPr="00377CF2" w14:paraId="641632B0" w14:textId="77777777" w:rsidTr="003F7A29">
        <w:trPr>
          <w:trHeight w:val="100"/>
        </w:trPr>
        <w:tc>
          <w:tcPr>
            <w:tcW w:w="7915" w:type="dxa"/>
            <w:tcBorders>
              <w:top w:val="nil"/>
              <w:left w:val="single" w:sz="18" w:space="0" w:color="auto"/>
              <w:bottom w:val="nil"/>
              <w:right w:val="single" w:sz="18" w:space="0" w:color="auto"/>
            </w:tcBorders>
            <w:shd w:val="clear" w:color="auto" w:fill="auto"/>
            <w:noWrap/>
            <w:vAlign w:val="bottom"/>
            <w:hideMark/>
          </w:tcPr>
          <w:p w14:paraId="75C00F41" w14:textId="77777777" w:rsidR="003F7A29" w:rsidRPr="00377CF2" w:rsidRDefault="003F7A29" w:rsidP="003F7A29">
            <w:pPr>
              <w:jc w:val="left"/>
              <w:rPr>
                <w:rFonts w:eastAsia="Times New Roman"/>
                <w:color w:val="FF0000"/>
                <w:sz w:val="24"/>
                <w:szCs w:val="24"/>
              </w:rPr>
            </w:pPr>
          </w:p>
        </w:tc>
      </w:tr>
      <w:tr w:rsidR="003F7A29" w:rsidRPr="00377CF2" w14:paraId="131A853E" w14:textId="77777777" w:rsidTr="003F7A29">
        <w:trPr>
          <w:trHeight w:val="300"/>
        </w:trPr>
        <w:tc>
          <w:tcPr>
            <w:tcW w:w="7915" w:type="dxa"/>
            <w:tcBorders>
              <w:top w:val="nil"/>
              <w:left w:val="single" w:sz="18" w:space="0" w:color="auto"/>
              <w:bottom w:val="nil"/>
              <w:right w:val="single" w:sz="18" w:space="0" w:color="auto"/>
            </w:tcBorders>
            <w:shd w:val="clear" w:color="auto" w:fill="auto"/>
            <w:noWrap/>
            <w:vAlign w:val="center"/>
            <w:hideMark/>
          </w:tcPr>
          <w:p w14:paraId="42A3705D" w14:textId="77777777" w:rsidR="003F7A29" w:rsidRPr="00377CF2" w:rsidRDefault="003F7A29" w:rsidP="003F7A29">
            <w:pPr>
              <w:jc w:val="left"/>
              <w:rPr>
                <w:rFonts w:eastAsia="Times New Roman"/>
                <w:color w:val="000000"/>
                <w:sz w:val="24"/>
                <w:szCs w:val="24"/>
              </w:rPr>
            </w:pPr>
            <w:r w:rsidRPr="00377CF2">
              <w:rPr>
                <w:rFonts w:eastAsia="Times New Roman"/>
                <w:color w:val="000000"/>
                <w:sz w:val="24"/>
                <w:szCs w:val="24"/>
              </w:rPr>
              <w:t>27R (reverse primer):</w:t>
            </w:r>
          </w:p>
        </w:tc>
      </w:tr>
      <w:tr w:rsidR="003F7A29" w:rsidRPr="00377CF2" w14:paraId="046B488E" w14:textId="77777777" w:rsidTr="003F7A29">
        <w:trPr>
          <w:trHeight w:val="300"/>
        </w:trPr>
        <w:tc>
          <w:tcPr>
            <w:tcW w:w="7915" w:type="dxa"/>
            <w:tcBorders>
              <w:top w:val="nil"/>
              <w:left w:val="single" w:sz="18" w:space="0" w:color="auto"/>
              <w:bottom w:val="nil"/>
              <w:right w:val="single" w:sz="18" w:space="0" w:color="auto"/>
            </w:tcBorders>
            <w:shd w:val="clear" w:color="auto" w:fill="auto"/>
            <w:noWrap/>
            <w:vAlign w:val="center"/>
            <w:hideMark/>
          </w:tcPr>
          <w:p w14:paraId="7B764CBF" w14:textId="77777777" w:rsidR="003F7A29" w:rsidRPr="00377CF2" w:rsidRDefault="003F7A29" w:rsidP="003F7A29">
            <w:pPr>
              <w:jc w:val="left"/>
              <w:rPr>
                <w:rFonts w:eastAsia="Times New Roman"/>
                <w:color w:val="FF0000"/>
                <w:sz w:val="24"/>
                <w:szCs w:val="24"/>
              </w:rPr>
            </w:pPr>
            <w:r w:rsidRPr="00377CF2">
              <w:rPr>
                <w:rFonts w:eastAsia="Times New Roman"/>
                <w:color w:val="FF0000"/>
                <w:sz w:val="24"/>
                <w:szCs w:val="24"/>
              </w:rPr>
              <w:t xml:space="preserve">CAAGCAGAAGACGGCATACGAGAT </w:t>
            </w:r>
            <w:r w:rsidRPr="00377CF2">
              <w:rPr>
                <w:rFonts w:eastAsia="Times New Roman"/>
                <w:color w:val="00B050"/>
                <w:sz w:val="24"/>
                <w:szCs w:val="24"/>
              </w:rPr>
              <w:t>AACTCTCG</w:t>
            </w:r>
            <w:r w:rsidRPr="00377CF2">
              <w:rPr>
                <w:rFonts w:eastAsia="Times New Roman"/>
                <w:color w:val="000000"/>
                <w:sz w:val="24"/>
                <w:szCs w:val="24"/>
              </w:rPr>
              <w:t xml:space="preserve"> </w:t>
            </w:r>
            <w:r w:rsidRPr="00377CF2">
              <w:rPr>
                <w:rFonts w:eastAsia="Times New Roman"/>
                <w:color w:val="00B0F0"/>
                <w:sz w:val="24"/>
                <w:szCs w:val="24"/>
              </w:rPr>
              <w:t>AGTCAGTCAG</w:t>
            </w:r>
            <w:r w:rsidRPr="00377CF2">
              <w:rPr>
                <w:rFonts w:eastAsia="Times New Roman"/>
                <w:b/>
                <w:bCs/>
                <w:color w:val="000000"/>
                <w:sz w:val="24"/>
                <w:szCs w:val="24"/>
              </w:rPr>
              <w:t>CCGAGTTTGATCMTGGCTCAG</w:t>
            </w:r>
          </w:p>
        </w:tc>
      </w:tr>
      <w:tr w:rsidR="003F7A29" w:rsidRPr="00377CF2" w14:paraId="67436084" w14:textId="77777777" w:rsidTr="003F7A29">
        <w:trPr>
          <w:trHeight w:val="300"/>
        </w:trPr>
        <w:tc>
          <w:tcPr>
            <w:tcW w:w="7915" w:type="dxa"/>
            <w:tcBorders>
              <w:top w:val="nil"/>
              <w:left w:val="single" w:sz="18" w:space="0" w:color="auto"/>
              <w:bottom w:val="single" w:sz="18" w:space="0" w:color="FFFFFF" w:themeColor="background1"/>
              <w:right w:val="single" w:sz="18" w:space="0" w:color="auto"/>
            </w:tcBorders>
            <w:shd w:val="clear" w:color="auto" w:fill="auto"/>
            <w:noWrap/>
            <w:vAlign w:val="bottom"/>
            <w:hideMark/>
          </w:tcPr>
          <w:p w14:paraId="22CB2B28" w14:textId="77777777" w:rsidR="003F7A29" w:rsidRPr="00377CF2" w:rsidRDefault="003F7A29" w:rsidP="003F7A29">
            <w:pPr>
              <w:jc w:val="left"/>
              <w:rPr>
                <w:rFonts w:eastAsia="Times New Roman"/>
                <w:color w:val="FF0000"/>
                <w:sz w:val="24"/>
                <w:szCs w:val="24"/>
              </w:rPr>
            </w:pPr>
            <w:bookmarkStart w:id="0" w:name="RANGE!A7"/>
            <w:bookmarkEnd w:id="0"/>
          </w:p>
        </w:tc>
      </w:tr>
      <w:tr w:rsidR="003F7A29" w:rsidRPr="00377CF2" w14:paraId="41EB40D0" w14:textId="77777777" w:rsidTr="003F7A29">
        <w:trPr>
          <w:trHeight w:val="300"/>
        </w:trPr>
        <w:tc>
          <w:tcPr>
            <w:tcW w:w="7915" w:type="dxa"/>
            <w:tcBorders>
              <w:top w:val="single" w:sz="18" w:space="0" w:color="FFFFFF" w:themeColor="background1"/>
              <w:left w:val="single" w:sz="18" w:space="0" w:color="auto"/>
              <w:bottom w:val="nil"/>
              <w:right w:val="single" w:sz="18" w:space="0" w:color="auto"/>
            </w:tcBorders>
            <w:shd w:val="clear" w:color="auto" w:fill="auto"/>
            <w:noWrap/>
            <w:vAlign w:val="center"/>
            <w:hideMark/>
          </w:tcPr>
          <w:p w14:paraId="1EDA90A1" w14:textId="77777777" w:rsidR="003F7A29" w:rsidRPr="00377CF2" w:rsidRDefault="003F7A29" w:rsidP="003F7A29">
            <w:pPr>
              <w:jc w:val="left"/>
              <w:rPr>
                <w:rFonts w:eastAsia="Times New Roman"/>
                <w:sz w:val="24"/>
                <w:szCs w:val="24"/>
                <w:u w:val="single"/>
              </w:rPr>
            </w:pPr>
            <w:r w:rsidRPr="00377CF2">
              <w:rPr>
                <w:rFonts w:eastAsia="Times New Roman"/>
                <w:sz w:val="24"/>
                <w:szCs w:val="24"/>
                <w:u w:val="single"/>
              </w:rPr>
              <w:t>Legend:</w:t>
            </w:r>
          </w:p>
        </w:tc>
      </w:tr>
      <w:tr w:rsidR="003F7A29" w:rsidRPr="00377CF2" w14:paraId="312F64B7" w14:textId="77777777" w:rsidTr="003F7A29">
        <w:trPr>
          <w:trHeight w:val="300"/>
        </w:trPr>
        <w:tc>
          <w:tcPr>
            <w:tcW w:w="7915" w:type="dxa"/>
            <w:tcBorders>
              <w:top w:val="nil"/>
              <w:left w:val="single" w:sz="18" w:space="0" w:color="auto"/>
              <w:bottom w:val="nil"/>
              <w:right w:val="single" w:sz="18" w:space="0" w:color="auto"/>
            </w:tcBorders>
            <w:shd w:val="clear" w:color="auto" w:fill="auto"/>
            <w:noWrap/>
            <w:vAlign w:val="center"/>
            <w:hideMark/>
          </w:tcPr>
          <w:p w14:paraId="79223A9C" w14:textId="77777777" w:rsidR="003F7A29" w:rsidRPr="00377CF2" w:rsidRDefault="003F7A29" w:rsidP="003F7A29">
            <w:pPr>
              <w:jc w:val="left"/>
              <w:rPr>
                <w:rFonts w:eastAsia="Times New Roman"/>
                <w:color w:val="FF0000"/>
                <w:sz w:val="24"/>
                <w:szCs w:val="24"/>
              </w:rPr>
            </w:pPr>
            <w:r w:rsidRPr="00377CF2">
              <w:rPr>
                <w:rFonts w:eastAsia="Times New Roman"/>
                <w:color w:val="FF0000"/>
                <w:sz w:val="24"/>
                <w:szCs w:val="24"/>
              </w:rPr>
              <w:t xml:space="preserve">     Illumina 5' or 3' adaptor</w:t>
            </w:r>
          </w:p>
        </w:tc>
      </w:tr>
      <w:tr w:rsidR="003F7A29" w:rsidRPr="00377CF2" w14:paraId="270EB128" w14:textId="77777777" w:rsidTr="003F7A29">
        <w:trPr>
          <w:trHeight w:val="300"/>
        </w:trPr>
        <w:tc>
          <w:tcPr>
            <w:tcW w:w="7915" w:type="dxa"/>
            <w:tcBorders>
              <w:top w:val="nil"/>
              <w:left w:val="single" w:sz="18" w:space="0" w:color="auto"/>
              <w:bottom w:val="nil"/>
              <w:right w:val="single" w:sz="18" w:space="0" w:color="auto"/>
            </w:tcBorders>
            <w:shd w:val="clear" w:color="auto" w:fill="auto"/>
            <w:noWrap/>
            <w:vAlign w:val="center"/>
            <w:hideMark/>
          </w:tcPr>
          <w:p w14:paraId="023785A5" w14:textId="77777777" w:rsidR="003F7A29" w:rsidRPr="00377CF2" w:rsidRDefault="003F7A29" w:rsidP="003F7A29">
            <w:pPr>
              <w:jc w:val="left"/>
              <w:rPr>
                <w:rFonts w:eastAsia="Times New Roman"/>
                <w:color w:val="00B050"/>
                <w:sz w:val="24"/>
                <w:szCs w:val="24"/>
              </w:rPr>
            </w:pPr>
            <w:r w:rsidRPr="00377CF2">
              <w:rPr>
                <w:rFonts w:eastAsia="Times New Roman"/>
                <w:color w:val="FF0000"/>
                <w:sz w:val="24"/>
                <w:szCs w:val="24"/>
              </w:rPr>
              <w:t xml:space="preserve">     </w:t>
            </w:r>
            <w:r w:rsidRPr="00377CF2">
              <w:rPr>
                <w:rFonts w:eastAsia="Times New Roman"/>
                <w:color w:val="00B050"/>
                <w:sz w:val="24"/>
                <w:szCs w:val="24"/>
              </w:rPr>
              <w:t>Barcode</w:t>
            </w:r>
          </w:p>
        </w:tc>
      </w:tr>
      <w:tr w:rsidR="003F7A29" w:rsidRPr="00377CF2" w14:paraId="4D22EE3E" w14:textId="77777777" w:rsidTr="003F7A29">
        <w:trPr>
          <w:trHeight w:val="300"/>
        </w:trPr>
        <w:tc>
          <w:tcPr>
            <w:tcW w:w="7915" w:type="dxa"/>
            <w:tcBorders>
              <w:top w:val="nil"/>
              <w:left w:val="single" w:sz="18" w:space="0" w:color="auto"/>
              <w:bottom w:val="nil"/>
              <w:right w:val="single" w:sz="18" w:space="0" w:color="auto"/>
            </w:tcBorders>
            <w:shd w:val="clear" w:color="auto" w:fill="auto"/>
            <w:noWrap/>
            <w:vAlign w:val="center"/>
            <w:hideMark/>
          </w:tcPr>
          <w:p w14:paraId="79AF176F" w14:textId="77777777" w:rsidR="003F7A29" w:rsidRPr="00377CF2" w:rsidRDefault="003F7A29" w:rsidP="003F7A29">
            <w:pPr>
              <w:jc w:val="left"/>
              <w:rPr>
                <w:rFonts w:eastAsia="Times New Roman"/>
                <w:color w:val="00B0F0"/>
                <w:sz w:val="24"/>
                <w:szCs w:val="24"/>
              </w:rPr>
            </w:pPr>
            <w:r w:rsidRPr="00377CF2">
              <w:rPr>
                <w:rFonts w:eastAsia="Times New Roman"/>
                <w:color w:val="FF0000"/>
                <w:sz w:val="24"/>
                <w:szCs w:val="24"/>
              </w:rPr>
              <w:t xml:space="preserve">     </w:t>
            </w:r>
            <w:r w:rsidRPr="00377CF2">
              <w:rPr>
                <w:rFonts w:eastAsia="Times New Roman"/>
                <w:color w:val="00B0F0"/>
                <w:sz w:val="24"/>
                <w:szCs w:val="24"/>
              </w:rPr>
              <w:t>Primer Pad Region (linker)</w:t>
            </w:r>
          </w:p>
        </w:tc>
      </w:tr>
      <w:tr w:rsidR="003F7A29" w:rsidRPr="00377CF2" w14:paraId="2619C50C" w14:textId="77777777" w:rsidTr="003F7A29">
        <w:trPr>
          <w:trHeight w:val="300"/>
        </w:trPr>
        <w:tc>
          <w:tcPr>
            <w:tcW w:w="7915" w:type="dxa"/>
            <w:tcBorders>
              <w:top w:val="nil"/>
              <w:left w:val="single" w:sz="18" w:space="0" w:color="auto"/>
              <w:bottom w:val="nil"/>
              <w:right w:val="single" w:sz="18" w:space="0" w:color="auto"/>
            </w:tcBorders>
            <w:shd w:val="clear" w:color="auto" w:fill="auto"/>
            <w:noWrap/>
            <w:vAlign w:val="center"/>
            <w:hideMark/>
          </w:tcPr>
          <w:p w14:paraId="501A902C" w14:textId="77777777" w:rsidR="003F7A29" w:rsidRPr="00377CF2" w:rsidRDefault="003F7A29" w:rsidP="003F7A29">
            <w:pPr>
              <w:jc w:val="left"/>
              <w:rPr>
                <w:rFonts w:eastAsia="Times New Roman"/>
                <w:b/>
                <w:bCs/>
                <w:sz w:val="24"/>
                <w:szCs w:val="24"/>
              </w:rPr>
            </w:pPr>
            <w:r w:rsidRPr="00377CF2">
              <w:rPr>
                <w:rFonts w:eastAsia="Times New Roman"/>
                <w:color w:val="FF0000"/>
                <w:sz w:val="24"/>
                <w:szCs w:val="24"/>
              </w:rPr>
              <w:t xml:space="preserve">     </w:t>
            </w:r>
            <w:r w:rsidRPr="00377CF2">
              <w:rPr>
                <w:rFonts w:eastAsia="Times New Roman"/>
                <w:b/>
                <w:bCs/>
                <w:sz w:val="24"/>
                <w:szCs w:val="24"/>
              </w:rPr>
              <w:t>16S Primer</w:t>
            </w:r>
          </w:p>
        </w:tc>
      </w:tr>
      <w:tr w:rsidR="003F7A29" w:rsidRPr="00377CF2" w14:paraId="05674BD8" w14:textId="77777777" w:rsidTr="003F7A29">
        <w:trPr>
          <w:trHeight w:val="300"/>
        </w:trPr>
        <w:tc>
          <w:tcPr>
            <w:tcW w:w="7915" w:type="dxa"/>
            <w:tcBorders>
              <w:top w:val="nil"/>
              <w:left w:val="single" w:sz="18" w:space="0" w:color="auto"/>
              <w:bottom w:val="single" w:sz="18" w:space="0" w:color="auto"/>
              <w:right w:val="single" w:sz="18" w:space="0" w:color="auto"/>
            </w:tcBorders>
            <w:shd w:val="clear" w:color="auto" w:fill="auto"/>
            <w:noWrap/>
            <w:vAlign w:val="center"/>
            <w:hideMark/>
          </w:tcPr>
          <w:p w14:paraId="45A927C3" w14:textId="77777777" w:rsidR="003F7A29" w:rsidRPr="00377CF2" w:rsidRDefault="003F7A29" w:rsidP="003F7A29">
            <w:pPr>
              <w:jc w:val="left"/>
              <w:rPr>
                <w:rFonts w:eastAsia="Times New Roman"/>
                <w:b/>
                <w:bCs/>
                <w:sz w:val="24"/>
                <w:szCs w:val="24"/>
              </w:rPr>
            </w:pPr>
          </w:p>
        </w:tc>
      </w:tr>
      <w:tr w:rsidR="003F7A29" w:rsidRPr="00377CF2" w14:paraId="3CFF3C69" w14:textId="77777777" w:rsidTr="003F7A29">
        <w:trPr>
          <w:trHeight w:val="380"/>
        </w:trPr>
        <w:tc>
          <w:tcPr>
            <w:tcW w:w="7915" w:type="dxa"/>
            <w:tcBorders>
              <w:top w:val="single" w:sz="18" w:space="0" w:color="auto"/>
              <w:left w:val="single" w:sz="18" w:space="0" w:color="auto"/>
              <w:bottom w:val="nil"/>
              <w:right w:val="single" w:sz="18" w:space="0" w:color="auto"/>
            </w:tcBorders>
            <w:shd w:val="clear" w:color="auto" w:fill="auto"/>
            <w:noWrap/>
            <w:vAlign w:val="center"/>
            <w:hideMark/>
          </w:tcPr>
          <w:p w14:paraId="66D55570" w14:textId="77777777" w:rsidR="003F7A29" w:rsidRPr="00377CF2" w:rsidRDefault="003F7A29" w:rsidP="003F7A29">
            <w:pPr>
              <w:jc w:val="center"/>
              <w:rPr>
                <w:rFonts w:eastAsia="Times New Roman"/>
                <w:b/>
                <w:bCs/>
                <w:color w:val="000000"/>
                <w:sz w:val="24"/>
                <w:szCs w:val="24"/>
                <w:u w:val="single"/>
              </w:rPr>
            </w:pPr>
          </w:p>
          <w:p w14:paraId="213B9DD4" w14:textId="77777777" w:rsidR="003F7A29" w:rsidRPr="00377CF2" w:rsidRDefault="003F7A29" w:rsidP="003F7A29">
            <w:pPr>
              <w:jc w:val="center"/>
              <w:rPr>
                <w:rFonts w:eastAsia="Times New Roman"/>
                <w:b/>
                <w:bCs/>
                <w:color w:val="000000"/>
                <w:sz w:val="24"/>
                <w:szCs w:val="24"/>
                <w:u w:val="single"/>
              </w:rPr>
            </w:pPr>
            <w:r w:rsidRPr="00377CF2">
              <w:rPr>
                <w:rFonts w:eastAsia="Times New Roman"/>
                <w:b/>
                <w:bCs/>
                <w:color w:val="000000"/>
                <w:sz w:val="24"/>
                <w:szCs w:val="24"/>
                <w:u w:val="single"/>
              </w:rPr>
              <w:t>Sequencing Primers</w:t>
            </w:r>
          </w:p>
          <w:p w14:paraId="07229653" w14:textId="77777777" w:rsidR="003F7A29" w:rsidRPr="00377CF2" w:rsidRDefault="003F7A29" w:rsidP="003F7A29">
            <w:pPr>
              <w:jc w:val="center"/>
              <w:rPr>
                <w:rFonts w:eastAsia="Times New Roman"/>
                <w:b/>
                <w:bCs/>
                <w:color w:val="000000"/>
                <w:sz w:val="24"/>
                <w:szCs w:val="24"/>
                <w:u w:val="single"/>
              </w:rPr>
            </w:pPr>
          </w:p>
          <w:p w14:paraId="54EDAC7E" w14:textId="77777777" w:rsidR="003F7A29" w:rsidRPr="00377CF2" w:rsidRDefault="003F7A29" w:rsidP="003F7A29">
            <w:pPr>
              <w:jc w:val="center"/>
              <w:rPr>
                <w:rFonts w:eastAsia="Times New Roman"/>
                <w:b/>
                <w:bCs/>
                <w:color w:val="000000"/>
                <w:sz w:val="24"/>
                <w:szCs w:val="24"/>
                <w:u w:val="single"/>
              </w:rPr>
            </w:pPr>
          </w:p>
        </w:tc>
      </w:tr>
      <w:tr w:rsidR="003F7A29" w:rsidRPr="00377CF2" w14:paraId="47039925" w14:textId="77777777" w:rsidTr="003F7A29">
        <w:trPr>
          <w:trHeight w:val="320"/>
        </w:trPr>
        <w:tc>
          <w:tcPr>
            <w:tcW w:w="7915" w:type="dxa"/>
            <w:tcBorders>
              <w:top w:val="nil"/>
              <w:left w:val="single" w:sz="18" w:space="0" w:color="auto"/>
              <w:bottom w:val="nil"/>
              <w:right w:val="single" w:sz="18" w:space="0" w:color="auto"/>
            </w:tcBorders>
            <w:shd w:val="clear" w:color="auto" w:fill="auto"/>
            <w:noWrap/>
            <w:vAlign w:val="bottom"/>
            <w:hideMark/>
          </w:tcPr>
          <w:p w14:paraId="26BD4B6F" w14:textId="77777777" w:rsidR="003F7A29" w:rsidRPr="00377CF2" w:rsidRDefault="003F7A29" w:rsidP="003F7A29">
            <w:pPr>
              <w:jc w:val="left"/>
              <w:rPr>
                <w:rFonts w:eastAsia="Times New Roman"/>
                <w:color w:val="000000"/>
                <w:sz w:val="24"/>
                <w:szCs w:val="24"/>
              </w:rPr>
            </w:pPr>
            <w:r w:rsidRPr="00377CF2">
              <w:rPr>
                <w:rFonts w:eastAsia="Times New Roman"/>
                <w:color w:val="000000"/>
                <w:sz w:val="24"/>
                <w:szCs w:val="24"/>
              </w:rPr>
              <w:t xml:space="preserve">Read 1 Sequencing Primer (V3_518): </w:t>
            </w:r>
          </w:p>
        </w:tc>
      </w:tr>
      <w:tr w:rsidR="003F7A29" w:rsidRPr="00377CF2" w14:paraId="3E66B87D" w14:textId="77777777" w:rsidTr="003F7A29">
        <w:trPr>
          <w:trHeight w:val="320"/>
        </w:trPr>
        <w:tc>
          <w:tcPr>
            <w:tcW w:w="7915" w:type="dxa"/>
            <w:tcBorders>
              <w:top w:val="nil"/>
              <w:left w:val="single" w:sz="18" w:space="0" w:color="auto"/>
              <w:bottom w:val="nil"/>
              <w:right w:val="single" w:sz="18" w:space="0" w:color="auto"/>
            </w:tcBorders>
            <w:shd w:val="clear" w:color="auto" w:fill="auto"/>
            <w:noWrap/>
            <w:vAlign w:val="bottom"/>
            <w:hideMark/>
          </w:tcPr>
          <w:p w14:paraId="701706A4" w14:textId="77777777" w:rsidR="003F7A29" w:rsidRPr="00377CF2" w:rsidRDefault="003F7A29" w:rsidP="003F7A29">
            <w:pPr>
              <w:jc w:val="left"/>
              <w:rPr>
                <w:rFonts w:eastAsia="Times New Roman"/>
                <w:sz w:val="24"/>
                <w:szCs w:val="24"/>
              </w:rPr>
            </w:pPr>
            <w:r w:rsidRPr="00377CF2">
              <w:rPr>
                <w:rFonts w:eastAsia="Times New Roman"/>
                <w:sz w:val="24"/>
                <w:szCs w:val="24"/>
              </w:rPr>
              <w:t>TATGGTAATTCAATTACCGCGGCTGCTGG</w:t>
            </w:r>
          </w:p>
        </w:tc>
      </w:tr>
      <w:tr w:rsidR="003F7A29" w:rsidRPr="00377CF2" w14:paraId="43B2F055" w14:textId="77777777" w:rsidTr="003F7A29">
        <w:trPr>
          <w:trHeight w:val="100"/>
        </w:trPr>
        <w:tc>
          <w:tcPr>
            <w:tcW w:w="7915" w:type="dxa"/>
            <w:tcBorders>
              <w:top w:val="nil"/>
              <w:left w:val="single" w:sz="18" w:space="0" w:color="auto"/>
              <w:bottom w:val="nil"/>
              <w:right w:val="single" w:sz="18" w:space="0" w:color="auto"/>
            </w:tcBorders>
            <w:shd w:val="clear" w:color="auto" w:fill="auto"/>
            <w:noWrap/>
            <w:vAlign w:val="bottom"/>
            <w:hideMark/>
          </w:tcPr>
          <w:p w14:paraId="05C07771" w14:textId="77777777" w:rsidR="003F7A29" w:rsidRPr="00377CF2" w:rsidRDefault="003F7A29" w:rsidP="003F7A29">
            <w:pPr>
              <w:jc w:val="left"/>
              <w:rPr>
                <w:rFonts w:eastAsia="Times New Roman"/>
                <w:sz w:val="24"/>
                <w:szCs w:val="24"/>
              </w:rPr>
            </w:pPr>
          </w:p>
        </w:tc>
      </w:tr>
      <w:tr w:rsidR="003F7A29" w:rsidRPr="00377CF2" w14:paraId="1493F96E" w14:textId="77777777" w:rsidTr="003F7A29">
        <w:trPr>
          <w:trHeight w:val="320"/>
        </w:trPr>
        <w:tc>
          <w:tcPr>
            <w:tcW w:w="7915" w:type="dxa"/>
            <w:tcBorders>
              <w:top w:val="nil"/>
              <w:left w:val="single" w:sz="18" w:space="0" w:color="auto"/>
              <w:bottom w:val="nil"/>
              <w:right w:val="single" w:sz="18" w:space="0" w:color="auto"/>
            </w:tcBorders>
            <w:shd w:val="clear" w:color="auto" w:fill="auto"/>
            <w:noWrap/>
            <w:vAlign w:val="bottom"/>
            <w:hideMark/>
          </w:tcPr>
          <w:p w14:paraId="42BAD541" w14:textId="77777777" w:rsidR="003F7A29" w:rsidRPr="00377CF2" w:rsidRDefault="003F7A29" w:rsidP="003F7A29">
            <w:pPr>
              <w:jc w:val="left"/>
              <w:rPr>
                <w:rFonts w:eastAsia="Times New Roman"/>
                <w:color w:val="000000"/>
                <w:sz w:val="24"/>
                <w:szCs w:val="24"/>
              </w:rPr>
            </w:pPr>
            <w:r w:rsidRPr="00377CF2">
              <w:rPr>
                <w:rFonts w:eastAsia="Times New Roman"/>
                <w:color w:val="000000"/>
                <w:sz w:val="24"/>
                <w:szCs w:val="24"/>
              </w:rPr>
              <w:t xml:space="preserve">Read 2 Sequencing Primer (V1_27): </w:t>
            </w:r>
          </w:p>
        </w:tc>
      </w:tr>
      <w:tr w:rsidR="003F7A29" w:rsidRPr="00377CF2" w14:paraId="788FA487" w14:textId="77777777" w:rsidTr="003F7A29">
        <w:trPr>
          <w:trHeight w:val="320"/>
        </w:trPr>
        <w:tc>
          <w:tcPr>
            <w:tcW w:w="7915" w:type="dxa"/>
            <w:tcBorders>
              <w:top w:val="nil"/>
              <w:left w:val="single" w:sz="18" w:space="0" w:color="auto"/>
              <w:bottom w:val="nil"/>
              <w:right w:val="single" w:sz="18" w:space="0" w:color="auto"/>
            </w:tcBorders>
            <w:shd w:val="clear" w:color="auto" w:fill="auto"/>
            <w:noWrap/>
            <w:vAlign w:val="bottom"/>
            <w:hideMark/>
          </w:tcPr>
          <w:p w14:paraId="0BD4AA22" w14:textId="77777777" w:rsidR="003F7A29" w:rsidRPr="00377CF2" w:rsidRDefault="003F7A29" w:rsidP="003F7A29">
            <w:pPr>
              <w:jc w:val="left"/>
              <w:rPr>
                <w:rFonts w:eastAsia="Times New Roman"/>
                <w:sz w:val="24"/>
                <w:szCs w:val="24"/>
              </w:rPr>
            </w:pPr>
            <w:r w:rsidRPr="00377CF2">
              <w:rPr>
                <w:rFonts w:eastAsia="Times New Roman"/>
                <w:sz w:val="24"/>
                <w:szCs w:val="24"/>
              </w:rPr>
              <w:t>AGTCAGTCAGCCGAGTTTGATCMTGGCTCAG</w:t>
            </w:r>
          </w:p>
        </w:tc>
      </w:tr>
      <w:tr w:rsidR="003F7A29" w:rsidRPr="00377CF2" w14:paraId="74C3C145" w14:textId="77777777" w:rsidTr="003F7A29">
        <w:trPr>
          <w:trHeight w:val="100"/>
        </w:trPr>
        <w:tc>
          <w:tcPr>
            <w:tcW w:w="7915" w:type="dxa"/>
            <w:tcBorders>
              <w:top w:val="nil"/>
              <w:left w:val="single" w:sz="18" w:space="0" w:color="auto"/>
              <w:bottom w:val="nil"/>
              <w:right w:val="single" w:sz="18" w:space="0" w:color="auto"/>
            </w:tcBorders>
            <w:shd w:val="clear" w:color="auto" w:fill="auto"/>
            <w:noWrap/>
            <w:vAlign w:val="bottom"/>
            <w:hideMark/>
          </w:tcPr>
          <w:p w14:paraId="39A7C881" w14:textId="77777777" w:rsidR="003F7A29" w:rsidRPr="00377CF2" w:rsidRDefault="003F7A29" w:rsidP="003F7A29">
            <w:pPr>
              <w:jc w:val="left"/>
              <w:rPr>
                <w:rFonts w:eastAsia="Times New Roman"/>
                <w:sz w:val="24"/>
                <w:szCs w:val="24"/>
              </w:rPr>
            </w:pPr>
          </w:p>
        </w:tc>
      </w:tr>
      <w:tr w:rsidR="003F7A29" w:rsidRPr="00377CF2" w14:paraId="1ABCB77A" w14:textId="77777777" w:rsidTr="003F7A29">
        <w:trPr>
          <w:trHeight w:val="320"/>
        </w:trPr>
        <w:tc>
          <w:tcPr>
            <w:tcW w:w="7915" w:type="dxa"/>
            <w:tcBorders>
              <w:top w:val="nil"/>
              <w:left w:val="single" w:sz="18" w:space="0" w:color="auto"/>
              <w:bottom w:val="nil"/>
              <w:right w:val="single" w:sz="18" w:space="0" w:color="auto"/>
            </w:tcBorders>
            <w:shd w:val="clear" w:color="auto" w:fill="auto"/>
            <w:noWrap/>
            <w:vAlign w:val="bottom"/>
            <w:hideMark/>
          </w:tcPr>
          <w:p w14:paraId="14DA6E0D" w14:textId="77777777" w:rsidR="003F7A29" w:rsidRPr="00377CF2" w:rsidRDefault="003F7A29" w:rsidP="003F7A29">
            <w:pPr>
              <w:jc w:val="left"/>
              <w:rPr>
                <w:rFonts w:eastAsia="Times New Roman"/>
                <w:color w:val="000000"/>
                <w:sz w:val="24"/>
                <w:szCs w:val="24"/>
              </w:rPr>
            </w:pPr>
            <w:r w:rsidRPr="00377CF2">
              <w:rPr>
                <w:rFonts w:eastAsia="Times New Roman"/>
                <w:color w:val="000000"/>
                <w:sz w:val="24"/>
                <w:szCs w:val="24"/>
              </w:rPr>
              <w:t xml:space="preserve">Index Sequencing Primer: </w:t>
            </w:r>
          </w:p>
        </w:tc>
      </w:tr>
      <w:tr w:rsidR="003F7A29" w:rsidRPr="00377CF2" w14:paraId="086F2A68" w14:textId="77777777" w:rsidTr="003F7A29">
        <w:trPr>
          <w:trHeight w:val="320"/>
        </w:trPr>
        <w:tc>
          <w:tcPr>
            <w:tcW w:w="7915" w:type="dxa"/>
            <w:tcBorders>
              <w:top w:val="nil"/>
              <w:left w:val="single" w:sz="18" w:space="0" w:color="auto"/>
              <w:bottom w:val="single" w:sz="18" w:space="0" w:color="auto"/>
              <w:right w:val="single" w:sz="18" w:space="0" w:color="auto"/>
            </w:tcBorders>
            <w:shd w:val="clear" w:color="auto" w:fill="auto"/>
            <w:noWrap/>
            <w:vAlign w:val="bottom"/>
            <w:hideMark/>
          </w:tcPr>
          <w:p w14:paraId="54D77320" w14:textId="77777777" w:rsidR="003F7A29" w:rsidRPr="00377CF2" w:rsidRDefault="003F7A29" w:rsidP="003F7A29">
            <w:pPr>
              <w:jc w:val="left"/>
              <w:rPr>
                <w:rFonts w:eastAsia="Times New Roman"/>
                <w:color w:val="000000"/>
                <w:sz w:val="24"/>
                <w:szCs w:val="24"/>
              </w:rPr>
            </w:pPr>
            <w:r w:rsidRPr="00377CF2">
              <w:rPr>
                <w:rFonts w:eastAsia="Times New Roman"/>
                <w:color w:val="000000"/>
                <w:sz w:val="24"/>
                <w:szCs w:val="24"/>
              </w:rPr>
              <w:t>CTGAGCCAKGATCAAACTCGGCTGACTGACT</w:t>
            </w:r>
          </w:p>
          <w:p w14:paraId="6868681E" w14:textId="77777777" w:rsidR="003F7A29" w:rsidRPr="00377CF2" w:rsidRDefault="003F7A29" w:rsidP="003F7A29">
            <w:pPr>
              <w:jc w:val="left"/>
              <w:rPr>
                <w:rFonts w:eastAsia="Times New Roman"/>
                <w:color w:val="000000"/>
                <w:sz w:val="24"/>
                <w:szCs w:val="24"/>
              </w:rPr>
            </w:pPr>
          </w:p>
        </w:tc>
      </w:tr>
    </w:tbl>
    <w:p w14:paraId="255B22BD" w14:textId="501D9859" w:rsidR="00926E8B" w:rsidRPr="00377CF2" w:rsidRDefault="0057779F" w:rsidP="004B2CB4">
      <w:pPr>
        <w:spacing w:before="100" w:beforeAutospacing="1" w:after="360" w:line="480" w:lineRule="auto"/>
        <w:rPr>
          <w:b/>
          <w:sz w:val="24"/>
          <w:szCs w:val="24"/>
        </w:rPr>
      </w:pPr>
      <w:r w:rsidRPr="00377CF2">
        <w:rPr>
          <w:b/>
          <w:sz w:val="24"/>
          <w:szCs w:val="24"/>
        </w:rPr>
        <w:t>Table A. Sequencing primers used to amplify the V1-V3 region of the 16S rRNA gene.</w:t>
      </w:r>
    </w:p>
    <w:p w14:paraId="2FBF262A" w14:textId="77777777" w:rsidR="003F7A29" w:rsidRPr="00377CF2" w:rsidRDefault="003F7A29" w:rsidP="003579E4">
      <w:pPr>
        <w:spacing w:before="100" w:beforeAutospacing="1" w:after="360" w:line="480" w:lineRule="auto"/>
        <w:rPr>
          <w:rFonts w:eastAsia="Times New Roman"/>
          <w:b/>
          <w:sz w:val="24"/>
          <w:szCs w:val="24"/>
        </w:rPr>
      </w:pPr>
    </w:p>
    <w:p w14:paraId="3E669A99" w14:textId="77777777" w:rsidR="003F7A29" w:rsidRPr="00377CF2" w:rsidRDefault="003F7A29" w:rsidP="003579E4">
      <w:pPr>
        <w:spacing w:before="100" w:beforeAutospacing="1" w:after="360" w:line="480" w:lineRule="auto"/>
        <w:rPr>
          <w:rFonts w:eastAsia="Times New Roman"/>
          <w:b/>
          <w:sz w:val="24"/>
          <w:szCs w:val="24"/>
        </w:rPr>
      </w:pPr>
    </w:p>
    <w:p w14:paraId="6CEC9EA0" w14:textId="77777777" w:rsidR="003F7A29" w:rsidRPr="00377CF2" w:rsidRDefault="003F7A29" w:rsidP="003579E4">
      <w:pPr>
        <w:spacing w:before="100" w:beforeAutospacing="1" w:after="360" w:line="480" w:lineRule="auto"/>
        <w:rPr>
          <w:rFonts w:eastAsia="Times New Roman"/>
          <w:b/>
          <w:sz w:val="24"/>
          <w:szCs w:val="24"/>
        </w:rPr>
      </w:pPr>
    </w:p>
    <w:p w14:paraId="0B12AAD3" w14:textId="77777777" w:rsidR="003F7A29" w:rsidRPr="00377CF2" w:rsidRDefault="003F7A29">
      <w:pPr>
        <w:rPr>
          <w:rFonts w:eastAsia="Times New Roman"/>
          <w:b/>
          <w:sz w:val="24"/>
          <w:szCs w:val="24"/>
        </w:rPr>
      </w:pPr>
      <w:r w:rsidRPr="00377CF2">
        <w:rPr>
          <w:rFonts w:eastAsia="Times New Roman"/>
          <w:b/>
          <w:sz w:val="24"/>
          <w:szCs w:val="24"/>
        </w:rPr>
        <w:br w:type="page"/>
      </w:r>
    </w:p>
    <w:p w14:paraId="4CBDBDFA" w14:textId="6CBE6CCF" w:rsidR="004B2CB4" w:rsidRPr="00377CF2" w:rsidRDefault="00456D61" w:rsidP="003579E4">
      <w:pPr>
        <w:spacing w:before="100" w:beforeAutospacing="1" w:after="360" w:line="480" w:lineRule="auto"/>
        <w:rPr>
          <w:rFonts w:eastAsia="Times New Roman"/>
          <w:b/>
          <w:bCs/>
          <w:color w:val="000000"/>
          <w:sz w:val="24"/>
          <w:szCs w:val="24"/>
        </w:rPr>
      </w:pPr>
      <w:r>
        <w:rPr>
          <w:rFonts w:eastAsia="Times New Roman"/>
          <w:b/>
          <w:sz w:val="24"/>
          <w:szCs w:val="24"/>
        </w:rPr>
        <w:lastRenderedPageBreak/>
        <w:t xml:space="preserve">Figures for </w:t>
      </w:r>
      <w:r w:rsidR="005D4745" w:rsidRPr="00377CF2">
        <w:rPr>
          <w:rFonts w:eastAsia="Times New Roman"/>
          <w:b/>
          <w:sz w:val="24"/>
          <w:szCs w:val="24"/>
        </w:rPr>
        <w:t xml:space="preserve">Additional File </w:t>
      </w:r>
      <w:r w:rsidR="003F7A29" w:rsidRPr="00377CF2">
        <w:rPr>
          <w:rFonts w:eastAsia="Times New Roman"/>
          <w:b/>
          <w:sz w:val="24"/>
          <w:szCs w:val="24"/>
        </w:rPr>
        <w:t>4</w:t>
      </w:r>
      <w:r w:rsidR="005D4745" w:rsidRPr="00377CF2">
        <w:rPr>
          <w:rFonts w:eastAsia="Times New Roman"/>
          <w:b/>
          <w:sz w:val="24"/>
          <w:szCs w:val="24"/>
        </w:rPr>
        <w:t xml:space="preserve"> </w:t>
      </w:r>
    </w:p>
    <w:p w14:paraId="25199DF4" w14:textId="6396A5A4" w:rsidR="009150B2" w:rsidRPr="00377CF2" w:rsidRDefault="00171877" w:rsidP="005B2C61">
      <w:pPr>
        <w:spacing w:before="100" w:beforeAutospacing="1" w:after="360" w:line="276" w:lineRule="auto"/>
        <w:rPr>
          <w:sz w:val="24"/>
          <w:szCs w:val="24"/>
        </w:rPr>
      </w:pPr>
      <w:r w:rsidRPr="00377CF2">
        <w:rPr>
          <w:b/>
          <w:sz w:val="24"/>
          <w:szCs w:val="24"/>
        </w:rPr>
        <w:t xml:space="preserve">Figure </w:t>
      </w:r>
      <w:r w:rsidR="005D4745" w:rsidRPr="00377CF2">
        <w:rPr>
          <w:b/>
          <w:sz w:val="24"/>
          <w:szCs w:val="24"/>
        </w:rPr>
        <w:t>A</w:t>
      </w:r>
      <w:r w:rsidRPr="00377CF2">
        <w:rPr>
          <w:b/>
          <w:sz w:val="24"/>
          <w:szCs w:val="24"/>
        </w:rPr>
        <w:t xml:space="preserve">. 16S rRNA gene V1-V3 region sequences do not require overlap to provide maximal information for human aerodigestive tract-associated bacteria. </w:t>
      </w:r>
      <w:r w:rsidRPr="00377CF2">
        <w:rPr>
          <w:bCs/>
          <w:sz w:val="24"/>
          <w:szCs w:val="24"/>
        </w:rPr>
        <w:t>(</w:t>
      </w:r>
      <w:r w:rsidR="005D4745" w:rsidRPr="00377CF2">
        <w:rPr>
          <w:b/>
          <w:sz w:val="24"/>
          <w:szCs w:val="24"/>
        </w:rPr>
        <w:t>i</w:t>
      </w:r>
      <w:r w:rsidRPr="00377CF2">
        <w:rPr>
          <w:bCs/>
          <w:sz w:val="24"/>
          <w:szCs w:val="24"/>
        </w:rPr>
        <w:t>) Rank order of eHOMD taxa based on the nucleotide length of regions V1-V3 (purple), V1-V2 (orange) and V3 of the 16S rRNA gene. (</w:t>
      </w:r>
      <w:r w:rsidR="005D4745" w:rsidRPr="00377CF2">
        <w:rPr>
          <w:b/>
          <w:sz w:val="24"/>
          <w:szCs w:val="24"/>
        </w:rPr>
        <w:t>ii</w:t>
      </w:r>
      <w:r w:rsidRPr="00377CF2">
        <w:rPr>
          <w:bCs/>
          <w:sz w:val="24"/>
          <w:szCs w:val="24"/>
        </w:rPr>
        <w:t>) Shannon Entropy (H)</w:t>
      </w:r>
      <w:r w:rsidRPr="00377CF2">
        <w:rPr>
          <w:sz w:val="24"/>
          <w:szCs w:val="24"/>
        </w:rPr>
        <w:t xml:space="preserve"> across the 16S rRNA gene V1-V3 region for all taxa in eHOMD. For easier visualization, bars are color-coded in gray scale based on their entropy values, i.e., the taller a bar is the darker it is. The percentage of eHOMD-derived simulated reads that can be classified with the </w:t>
      </w:r>
      <w:r w:rsidRPr="004C7376">
        <w:rPr>
          <w:bCs/>
          <w:iCs/>
          <w:color w:val="000000" w:themeColor="text1"/>
          <w:sz w:val="24"/>
          <w:szCs w:val="24"/>
        </w:rPr>
        <w:t>FL_eHOMDrefs</w:t>
      </w:r>
      <w:r w:rsidR="0046649B">
        <w:rPr>
          <w:bCs/>
          <w:iCs/>
          <w:color w:val="000000" w:themeColor="text1"/>
          <w:sz w:val="24"/>
          <w:szCs w:val="24"/>
        </w:rPr>
        <w:t>_TS</w:t>
      </w:r>
      <w:r w:rsidRPr="00377CF2">
        <w:rPr>
          <w:sz w:val="24"/>
          <w:szCs w:val="24"/>
        </w:rPr>
        <w:t xml:space="preserve"> training set at bootstrap values from 70 to 100 (see key) using </w:t>
      </w:r>
      <w:r w:rsidRPr="00377CF2">
        <w:rPr>
          <w:bCs/>
          <w:sz w:val="24"/>
          <w:szCs w:val="24"/>
        </w:rPr>
        <w:t>(</w:t>
      </w:r>
      <w:r w:rsidR="005D4745" w:rsidRPr="00377CF2">
        <w:rPr>
          <w:b/>
          <w:sz w:val="24"/>
          <w:szCs w:val="24"/>
        </w:rPr>
        <w:t>iii</w:t>
      </w:r>
      <w:r w:rsidRPr="00377CF2">
        <w:rPr>
          <w:bCs/>
          <w:sz w:val="24"/>
          <w:szCs w:val="24"/>
        </w:rPr>
        <w:t>)</w:t>
      </w:r>
      <w:r w:rsidRPr="00377CF2">
        <w:rPr>
          <w:b/>
          <w:sz w:val="24"/>
          <w:szCs w:val="24"/>
        </w:rPr>
        <w:t xml:space="preserve"> </w:t>
      </w:r>
      <w:r w:rsidRPr="00377CF2">
        <w:rPr>
          <w:sz w:val="24"/>
          <w:szCs w:val="24"/>
        </w:rPr>
        <w:t xml:space="preserve">a fixed read length of </w:t>
      </w:r>
      <w:r w:rsidRPr="00377CF2">
        <w:rPr>
          <w:color w:val="000000" w:themeColor="text1"/>
          <w:sz w:val="24"/>
          <w:szCs w:val="24"/>
        </w:rPr>
        <w:t>350 bp from primer V1 and variable read lengths from primer V3</w:t>
      </w:r>
      <w:r w:rsidRPr="00377CF2">
        <w:rPr>
          <w:sz w:val="24"/>
          <w:szCs w:val="24"/>
        </w:rPr>
        <w:t xml:space="preserve"> or </w:t>
      </w:r>
      <w:r w:rsidRPr="00377CF2">
        <w:rPr>
          <w:bCs/>
          <w:sz w:val="24"/>
          <w:szCs w:val="24"/>
        </w:rPr>
        <w:t>(</w:t>
      </w:r>
      <w:r w:rsidR="005D4745" w:rsidRPr="00377CF2">
        <w:rPr>
          <w:b/>
          <w:sz w:val="24"/>
          <w:szCs w:val="24"/>
        </w:rPr>
        <w:t>iv</w:t>
      </w:r>
      <w:r w:rsidRPr="00377CF2">
        <w:rPr>
          <w:bCs/>
          <w:sz w:val="24"/>
          <w:szCs w:val="24"/>
        </w:rPr>
        <w:t>)</w:t>
      </w:r>
      <w:r w:rsidRPr="00377CF2">
        <w:rPr>
          <w:sz w:val="24"/>
          <w:szCs w:val="24"/>
        </w:rPr>
        <w:t xml:space="preserve"> a fixed read length of </w:t>
      </w:r>
      <w:r w:rsidRPr="00377CF2">
        <w:rPr>
          <w:color w:val="000000" w:themeColor="text1"/>
          <w:sz w:val="24"/>
          <w:szCs w:val="24"/>
        </w:rPr>
        <w:t>200 bp from primer V3 and variable read lengths from primer V1</w:t>
      </w:r>
      <w:r w:rsidRPr="00377CF2">
        <w:rPr>
          <w:sz w:val="24"/>
          <w:szCs w:val="24"/>
        </w:rPr>
        <w:t>.</w:t>
      </w:r>
    </w:p>
    <w:p w14:paraId="79C6818D" w14:textId="6EA157E8" w:rsidR="009150B2" w:rsidRPr="00377CF2" w:rsidRDefault="005B2C61" w:rsidP="005B2C61">
      <w:pPr>
        <w:spacing w:before="100" w:beforeAutospacing="1" w:after="360" w:line="276" w:lineRule="auto"/>
        <w:rPr>
          <w:b/>
          <w:sz w:val="24"/>
          <w:szCs w:val="24"/>
        </w:rPr>
      </w:pPr>
      <w:r w:rsidRPr="00377CF2">
        <w:rPr>
          <w:b/>
          <w:noProof/>
          <w:sz w:val="24"/>
          <w:szCs w:val="24"/>
        </w:rPr>
        <w:drawing>
          <wp:inline distT="0" distB="0" distL="0" distR="0" wp14:anchorId="3EB65D76" wp14:editId="382B8F7F">
            <wp:extent cx="6240780" cy="552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A.pdf"/>
                    <pic:cNvPicPr/>
                  </pic:nvPicPr>
                  <pic:blipFill rotWithShape="1">
                    <a:blip r:embed="rId7">
                      <a:extLst>
                        <a:ext uri="{28A0092B-C50C-407E-A947-70E740481C1C}">
                          <a14:useLocalDpi xmlns:a14="http://schemas.microsoft.com/office/drawing/2010/main" val="0"/>
                        </a:ext>
                      </a:extLst>
                    </a:blip>
                    <a:srcRect l="3534" t="19792" b="19792"/>
                    <a:stretch/>
                  </pic:blipFill>
                  <pic:spPr bwMode="auto">
                    <a:xfrm>
                      <a:off x="0" y="0"/>
                      <a:ext cx="6240780" cy="5524500"/>
                    </a:xfrm>
                    <a:prstGeom prst="rect">
                      <a:avLst/>
                    </a:prstGeom>
                    <a:ln>
                      <a:noFill/>
                    </a:ln>
                    <a:extLst>
                      <a:ext uri="{53640926-AAD7-44D8-BBD7-CCE9431645EC}">
                        <a14:shadowObscured xmlns:a14="http://schemas.microsoft.com/office/drawing/2010/main"/>
                      </a:ext>
                    </a:extLst>
                  </pic:spPr>
                </pic:pic>
              </a:graphicData>
            </a:graphic>
          </wp:inline>
        </w:drawing>
      </w:r>
    </w:p>
    <w:p w14:paraId="1208E33A" w14:textId="24720247" w:rsidR="00077860" w:rsidRPr="00377CF2" w:rsidRDefault="005D4745" w:rsidP="005B2C61">
      <w:pPr>
        <w:spacing w:before="100" w:beforeAutospacing="1" w:after="360" w:line="276" w:lineRule="auto"/>
        <w:rPr>
          <w:sz w:val="24"/>
          <w:szCs w:val="24"/>
        </w:rPr>
      </w:pPr>
      <w:r w:rsidRPr="00377CF2">
        <w:rPr>
          <w:b/>
          <w:sz w:val="24"/>
          <w:szCs w:val="24"/>
        </w:rPr>
        <w:lastRenderedPageBreak/>
        <w:t>Figure B.</w:t>
      </w:r>
      <w:r w:rsidRPr="00377CF2">
        <w:rPr>
          <w:b/>
          <w:bCs/>
          <w:sz w:val="24"/>
          <w:szCs w:val="24"/>
        </w:rPr>
        <w:t xml:space="preserve"> Quality Phred score plots of representative 16S rRNA gene V1-V3 region Illumina runs.</w:t>
      </w:r>
      <w:r w:rsidR="00F93703" w:rsidRPr="00377CF2">
        <w:rPr>
          <w:sz w:val="24"/>
          <w:szCs w:val="24"/>
        </w:rPr>
        <w:t xml:space="preserve"> </w:t>
      </w:r>
      <w:r w:rsidR="00F93703" w:rsidRPr="00377CF2">
        <w:rPr>
          <w:bCs/>
          <w:sz w:val="24"/>
          <w:szCs w:val="24"/>
        </w:rPr>
        <w:t>(</w:t>
      </w:r>
      <w:r w:rsidR="00F93703" w:rsidRPr="00377CF2">
        <w:rPr>
          <w:b/>
          <w:sz w:val="24"/>
          <w:szCs w:val="24"/>
        </w:rPr>
        <w:t>i</w:t>
      </w:r>
      <w:r w:rsidR="00F93703" w:rsidRPr="00377CF2">
        <w:rPr>
          <w:bCs/>
          <w:sz w:val="24"/>
          <w:szCs w:val="24"/>
        </w:rPr>
        <w:t xml:space="preserve">) </w:t>
      </w:r>
      <w:r w:rsidR="00F93703" w:rsidRPr="00377CF2">
        <w:rPr>
          <w:sz w:val="24"/>
          <w:szCs w:val="24"/>
        </w:rPr>
        <w:t>Symmetrical sequencing run</w:t>
      </w:r>
      <w:r w:rsidR="00077860" w:rsidRPr="00377CF2">
        <w:rPr>
          <w:sz w:val="24"/>
          <w:szCs w:val="24"/>
        </w:rPr>
        <w:t xml:space="preserve"> (</w:t>
      </w:r>
      <w:r w:rsidR="00F93703" w:rsidRPr="00377CF2">
        <w:rPr>
          <w:sz w:val="24"/>
          <w:szCs w:val="24"/>
        </w:rPr>
        <w:t>R1 = 250 nt and R2 = 250 nt</w:t>
      </w:r>
      <w:r w:rsidR="00077860" w:rsidRPr="00377CF2">
        <w:rPr>
          <w:sz w:val="24"/>
          <w:szCs w:val="24"/>
        </w:rPr>
        <w:t>)</w:t>
      </w:r>
      <w:r w:rsidR="00F93703" w:rsidRPr="00377CF2">
        <w:rPr>
          <w:sz w:val="24"/>
          <w:szCs w:val="24"/>
        </w:rPr>
        <w:t xml:space="preserve"> and PhiX= 20%</w:t>
      </w:r>
      <w:r w:rsidR="00077860" w:rsidRPr="00377CF2">
        <w:rPr>
          <w:sz w:val="24"/>
          <w:szCs w:val="24"/>
        </w:rPr>
        <w:t xml:space="preserve">. </w:t>
      </w:r>
      <w:r w:rsidR="00077860" w:rsidRPr="00377CF2">
        <w:rPr>
          <w:bCs/>
          <w:sz w:val="24"/>
          <w:szCs w:val="24"/>
        </w:rPr>
        <w:t>(</w:t>
      </w:r>
      <w:r w:rsidR="00077860" w:rsidRPr="00377CF2">
        <w:rPr>
          <w:b/>
          <w:sz w:val="24"/>
          <w:szCs w:val="24"/>
        </w:rPr>
        <w:t>ii</w:t>
      </w:r>
      <w:r w:rsidR="00077860" w:rsidRPr="00377CF2">
        <w:rPr>
          <w:bCs/>
          <w:sz w:val="24"/>
          <w:szCs w:val="24"/>
        </w:rPr>
        <w:t>)</w:t>
      </w:r>
      <w:r w:rsidR="00077860" w:rsidRPr="00377CF2">
        <w:rPr>
          <w:sz w:val="24"/>
          <w:szCs w:val="24"/>
        </w:rPr>
        <w:t xml:space="preserve"> </w:t>
      </w:r>
      <w:r w:rsidR="00F93703" w:rsidRPr="00377CF2">
        <w:rPr>
          <w:sz w:val="24"/>
          <w:szCs w:val="24"/>
        </w:rPr>
        <w:t>Symmetrical sequencing run</w:t>
      </w:r>
      <w:r w:rsidR="00077860" w:rsidRPr="00377CF2">
        <w:rPr>
          <w:sz w:val="24"/>
          <w:szCs w:val="24"/>
        </w:rPr>
        <w:t xml:space="preserve"> (</w:t>
      </w:r>
      <w:r w:rsidR="00F93703" w:rsidRPr="00377CF2">
        <w:rPr>
          <w:sz w:val="24"/>
          <w:szCs w:val="24"/>
        </w:rPr>
        <w:t>R1 = 250 nt and R2 = 250 nt</w:t>
      </w:r>
      <w:r w:rsidR="00077860" w:rsidRPr="00377CF2">
        <w:rPr>
          <w:sz w:val="24"/>
          <w:szCs w:val="24"/>
        </w:rPr>
        <w:t>)</w:t>
      </w:r>
      <w:r w:rsidR="00F93703" w:rsidRPr="00377CF2">
        <w:rPr>
          <w:sz w:val="24"/>
          <w:szCs w:val="24"/>
        </w:rPr>
        <w:t xml:space="preserve"> and PhiX= 34%</w:t>
      </w:r>
      <w:r w:rsidR="00077860" w:rsidRPr="00377CF2">
        <w:rPr>
          <w:sz w:val="24"/>
          <w:szCs w:val="24"/>
        </w:rPr>
        <w:t xml:space="preserve">. </w:t>
      </w:r>
      <w:r w:rsidR="00077860" w:rsidRPr="00377CF2">
        <w:rPr>
          <w:bCs/>
          <w:sz w:val="24"/>
          <w:szCs w:val="24"/>
        </w:rPr>
        <w:t>(</w:t>
      </w:r>
      <w:r w:rsidR="00077860" w:rsidRPr="00377CF2">
        <w:rPr>
          <w:b/>
          <w:sz w:val="24"/>
          <w:szCs w:val="24"/>
        </w:rPr>
        <w:t>iii</w:t>
      </w:r>
      <w:r w:rsidR="00077860" w:rsidRPr="00377CF2">
        <w:rPr>
          <w:bCs/>
          <w:sz w:val="24"/>
          <w:szCs w:val="24"/>
        </w:rPr>
        <w:t>)</w:t>
      </w:r>
      <w:r w:rsidR="00077860" w:rsidRPr="00377CF2">
        <w:rPr>
          <w:sz w:val="24"/>
          <w:szCs w:val="24"/>
        </w:rPr>
        <w:t xml:space="preserve"> </w:t>
      </w:r>
      <w:r w:rsidR="00F93703" w:rsidRPr="00377CF2">
        <w:rPr>
          <w:sz w:val="24"/>
          <w:szCs w:val="24"/>
        </w:rPr>
        <w:t>Asymmetrical sequencing run</w:t>
      </w:r>
      <w:r w:rsidR="00077860" w:rsidRPr="00377CF2">
        <w:rPr>
          <w:sz w:val="24"/>
          <w:szCs w:val="24"/>
        </w:rPr>
        <w:t xml:space="preserve"> (</w:t>
      </w:r>
      <w:r w:rsidR="00F93703" w:rsidRPr="00377CF2">
        <w:rPr>
          <w:sz w:val="24"/>
          <w:szCs w:val="24"/>
        </w:rPr>
        <w:t>R1 = 100 nt and R2 = 400 nt</w:t>
      </w:r>
      <w:r w:rsidR="00077860" w:rsidRPr="00377CF2">
        <w:rPr>
          <w:sz w:val="24"/>
          <w:szCs w:val="24"/>
        </w:rPr>
        <w:t>)</w:t>
      </w:r>
      <w:r w:rsidR="00F93703" w:rsidRPr="00377CF2">
        <w:rPr>
          <w:sz w:val="24"/>
          <w:szCs w:val="24"/>
        </w:rPr>
        <w:t xml:space="preserve"> and PhiX= 47%</w:t>
      </w:r>
      <w:r w:rsidR="00077860" w:rsidRPr="00377CF2">
        <w:rPr>
          <w:sz w:val="24"/>
          <w:szCs w:val="24"/>
        </w:rPr>
        <w:t>.</w:t>
      </w:r>
    </w:p>
    <w:p w14:paraId="45062B38" w14:textId="77777777" w:rsidR="009150B2" w:rsidRPr="00377CF2" w:rsidRDefault="009150B2" w:rsidP="005B2C61">
      <w:pPr>
        <w:spacing w:before="100" w:beforeAutospacing="1" w:after="360" w:line="276" w:lineRule="auto"/>
        <w:rPr>
          <w:rFonts w:eastAsia="Times New Roman"/>
          <w:b/>
          <w:sz w:val="24"/>
          <w:szCs w:val="24"/>
        </w:rPr>
      </w:pPr>
    </w:p>
    <w:p w14:paraId="6E0640B3" w14:textId="700B7796" w:rsidR="009150B2" w:rsidRPr="00377CF2" w:rsidRDefault="005B2C61" w:rsidP="005B2C61">
      <w:pPr>
        <w:spacing w:before="100" w:beforeAutospacing="1" w:after="360" w:line="480" w:lineRule="auto"/>
        <w:jc w:val="center"/>
        <w:rPr>
          <w:rFonts w:eastAsia="Times New Roman"/>
          <w:b/>
          <w:sz w:val="24"/>
          <w:szCs w:val="24"/>
        </w:rPr>
      </w:pPr>
      <w:r w:rsidRPr="00377CF2">
        <w:rPr>
          <w:rFonts w:eastAsia="Times New Roman"/>
          <w:b/>
          <w:noProof/>
          <w:sz w:val="24"/>
          <w:szCs w:val="24"/>
        </w:rPr>
        <w:drawing>
          <wp:inline distT="0" distB="0" distL="0" distR="0" wp14:anchorId="02F7B865" wp14:editId="4AE9FAA9">
            <wp:extent cx="6183630" cy="563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B.pdf"/>
                    <pic:cNvPicPr/>
                  </pic:nvPicPr>
                  <pic:blipFill rotWithShape="1">
                    <a:blip r:embed="rId8">
                      <a:extLst>
                        <a:ext uri="{28A0092B-C50C-407E-A947-70E740481C1C}">
                          <a14:useLocalDpi xmlns:a14="http://schemas.microsoft.com/office/drawing/2010/main" val="0"/>
                        </a:ext>
                      </a:extLst>
                    </a:blip>
                    <a:srcRect l="4417" t="21042" b="17292"/>
                    <a:stretch/>
                  </pic:blipFill>
                  <pic:spPr bwMode="auto">
                    <a:xfrm>
                      <a:off x="0" y="0"/>
                      <a:ext cx="6183630" cy="5638800"/>
                    </a:xfrm>
                    <a:prstGeom prst="rect">
                      <a:avLst/>
                    </a:prstGeom>
                    <a:ln>
                      <a:noFill/>
                    </a:ln>
                    <a:extLst>
                      <a:ext uri="{53640926-AAD7-44D8-BBD7-CCE9431645EC}">
                        <a14:shadowObscured xmlns:a14="http://schemas.microsoft.com/office/drawing/2010/main"/>
                      </a:ext>
                    </a:extLst>
                  </pic:spPr>
                </pic:pic>
              </a:graphicData>
            </a:graphic>
          </wp:inline>
        </w:drawing>
      </w:r>
    </w:p>
    <w:p w14:paraId="20DF7D6E" w14:textId="77777777" w:rsidR="009150B2" w:rsidRPr="00377CF2" w:rsidRDefault="009150B2" w:rsidP="00077860">
      <w:pPr>
        <w:spacing w:before="100" w:beforeAutospacing="1" w:after="360" w:line="480" w:lineRule="auto"/>
        <w:rPr>
          <w:rFonts w:eastAsia="Times New Roman"/>
          <w:b/>
          <w:sz w:val="24"/>
          <w:szCs w:val="24"/>
        </w:rPr>
      </w:pPr>
    </w:p>
    <w:p w14:paraId="3F839745" w14:textId="77777777" w:rsidR="005B2C61" w:rsidRPr="00377CF2" w:rsidRDefault="005B2C61" w:rsidP="00077860">
      <w:pPr>
        <w:spacing w:before="100" w:beforeAutospacing="1" w:after="360" w:line="480" w:lineRule="auto"/>
        <w:rPr>
          <w:rFonts w:eastAsia="Times New Roman"/>
          <w:b/>
          <w:sz w:val="24"/>
          <w:szCs w:val="24"/>
        </w:rPr>
      </w:pPr>
    </w:p>
    <w:p w14:paraId="59E392E2" w14:textId="57A5902B" w:rsidR="002406B2" w:rsidRPr="00377CF2" w:rsidRDefault="00456D61" w:rsidP="003579E4">
      <w:pPr>
        <w:spacing w:before="100" w:beforeAutospacing="1" w:after="360" w:line="480" w:lineRule="auto"/>
        <w:rPr>
          <w:sz w:val="24"/>
          <w:szCs w:val="24"/>
        </w:rPr>
      </w:pPr>
      <w:r>
        <w:rPr>
          <w:rFonts w:eastAsia="Times New Roman"/>
          <w:b/>
          <w:sz w:val="24"/>
          <w:szCs w:val="24"/>
        </w:rPr>
        <w:lastRenderedPageBreak/>
        <w:t xml:space="preserve">References for </w:t>
      </w:r>
      <w:r w:rsidR="00077860" w:rsidRPr="00377CF2">
        <w:rPr>
          <w:rFonts w:eastAsia="Times New Roman"/>
          <w:b/>
          <w:sz w:val="24"/>
          <w:szCs w:val="24"/>
        </w:rPr>
        <w:t xml:space="preserve">Additional File </w:t>
      </w:r>
      <w:r w:rsidR="003F7A29" w:rsidRPr="00377CF2">
        <w:rPr>
          <w:rFonts w:eastAsia="Times New Roman"/>
          <w:b/>
          <w:sz w:val="24"/>
          <w:szCs w:val="24"/>
        </w:rPr>
        <w:t>4</w:t>
      </w:r>
    </w:p>
    <w:p w14:paraId="330687DD" w14:textId="786F0BD2" w:rsidR="00B4159B" w:rsidRPr="00377CF2" w:rsidRDefault="002406B2" w:rsidP="00377CF2">
      <w:pPr>
        <w:pStyle w:val="EndNoteBibliography"/>
        <w:ind w:left="720" w:hanging="720"/>
        <w:rPr>
          <w:noProof/>
          <w:sz w:val="24"/>
          <w:szCs w:val="24"/>
        </w:rPr>
      </w:pPr>
      <w:r w:rsidRPr="00377CF2">
        <w:rPr>
          <w:sz w:val="24"/>
          <w:szCs w:val="24"/>
        </w:rPr>
        <w:fldChar w:fldCharType="begin"/>
      </w:r>
      <w:r w:rsidRPr="00377CF2">
        <w:rPr>
          <w:sz w:val="24"/>
          <w:szCs w:val="24"/>
        </w:rPr>
        <w:instrText xml:space="preserve"> ADDIN EN.REFLIST </w:instrText>
      </w:r>
      <w:r w:rsidRPr="00377CF2">
        <w:rPr>
          <w:sz w:val="24"/>
          <w:szCs w:val="24"/>
        </w:rPr>
        <w:fldChar w:fldCharType="separate"/>
      </w:r>
      <w:r w:rsidR="00B4159B" w:rsidRPr="00377CF2">
        <w:rPr>
          <w:noProof/>
          <w:sz w:val="24"/>
          <w:szCs w:val="24"/>
        </w:rPr>
        <w:t>1.</w:t>
      </w:r>
      <w:r w:rsidR="00B4159B" w:rsidRPr="00377CF2">
        <w:rPr>
          <w:noProof/>
          <w:sz w:val="24"/>
          <w:szCs w:val="24"/>
        </w:rPr>
        <w:tab/>
      </w:r>
      <w:r w:rsidR="00B4159B" w:rsidRPr="00377CF2">
        <w:rPr>
          <w:b/>
          <w:noProof/>
          <w:sz w:val="24"/>
          <w:szCs w:val="24"/>
        </w:rPr>
        <w:t xml:space="preserve">Best practices for low diversity sequencing on the NextSeq and MiniSeq systems </w:t>
      </w:r>
      <w:r w:rsidR="00B4159B" w:rsidRPr="00377CF2">
        <w:rPr>
          <w:noProof/>
          <w:sz w:val="24"/>
          <w:szCs w:val="24"/>
        </w:rPr>
        <w:t>[</w:t>
      </w:r>
      <w:hyperlink r:id="rId9" w:history="1">
        <w:r w:rsidR="00B4159B" w:rsidRPr="00377CF2">
          <w:rPr>
            <w:rStyle w:val="Hyperlink"/>
            <w:noProof/>
            <w:sz w:val="24"/>
            <w:szCs w:val="24"/>
          </w:rPr>
          <w:t>https://support.illumina.com/bulletins/2016/03/best-practices-for-lowdiversity-sequencing-on-the-nextseq-and-miniseq-systems.html</w:t>
        </w:r>
      </w:hyperlink>
      <w:r w:rsidR="00B4159B" w:rsidRPr="00377CF2">
        <w:rPr>
          <w:noProof/>
          <w:sz w:val="24"/>
          <w:szCs w:val="24"/>
        </w:rPr>
        <w:t>]</w:t>
      </w:r>
    </w:p>
    <w:p w14:paraId="392A315D" w14:textId="77777777" w:rsidR="00B4159B" w:rsidRPr="00377CF2" w:rsidRDefault="00B4159B" w:rsidP="00377CF2">
      <w:pPr>
        <w:pStyle w:val="EndNoteBibliography"/>
        <w:ind w:left="720" w:hanging="720"/>
        <w:rPr>
          <w:noProof/>
          <w:sz w:val="24"/>
          <w:szCs w:val="24"/>
        </w:rPr>
      </w:pPr>
      <w:r w:rsidRPr="00377CF2">
        <w:rPr>
          <w:noProof/>
          <w:sz w:val="24"/>
          <w:szCs w:val="24"/>
        </w:rPr>
        <w:t>2.</w:t>
      </w:r>
      <w:r w:rsidRPr="00377CF2">
        <w:rPr>
          <w:noProof/>
          <w:sz w:val="24"/>
          <w:szCs w:val="24"/>
        </w:rPr>
        <w:tab/>
        <w:t xml:space="preserve">Mitra A, Skrzypczak M, Ginalski K, Rowicka M: </w:t>
      </w:r>
      <w:r w:rsidRPr="00377CF2">
        <w:rPr>
          <w:b/>
          <w:noProof/>
          <w:sz w:val="24"/>
          <w:szCs w:val="24"/>
        </w:rPr>
        <w:t>Strategies for achieving high sequencing accuracy for low diversity samples and avoiding sample bleeding using illumina platform.</w:t>
      </w:r>
      <w:r w:rsidRPr="00377CF2">
        <w:rPr>
          <w:noProof/>
          <w:sz w:val="24"/>
          <w:szCs w:val="24"/>
        </w:rPr>
        <w:t xml:space="preserve"> </w:t>
      </w:r>
      <w:r w:rsidRPr="00377CF2">
        <w:rPr>
          <w:i/>
          <w:noProof/>
          <w:sz w:val="24"/>
          <w:szCs w:val="24"/>
        </w:rPr>
        <w:t xml:space="preserve">PLoS One </w:t>
      </w:r>
      <w:r w:rsidRPr="00377CF2">
        <w:rPr>
          <w:noProof/>
          <w:sz w:val="24"/>
          <w:szCs w:val="24"/>
        </w:rPr>
        <w:t xml:space="preserve">2015, </w:t>
      </w:r>
      <w:r w:rsidRPr="00377CF2">
        <w:rPr>
          <w:b/>
          <w:noProof/>
          <w:sz w:val="24"/>
          <w:szCs w:val="24"/>
        </w:rPr>
        <w:t>10:</w:t>
      </w:r>
      <w:r w:rsidRPr="00377CF2">
        <w:rPr>
          <w:noProof/>
          <w:sz w:val="24"/>
          <w:szCs w:val="24"/>
        </w:rPr>
        <w:t>e0120520.</w:t>
      </w:r>
    </w:p>
    <w:p w14:paraId="44F7FD53" w14:textId="77777777" w:rsidR="00B4159B" w:rsidRPr="00377CF2" w:rsidRDefault="00B4159B" w:rsidP="00377CF2">
      <w:pPr>
        <w:pStyle w:val="EndNoteBibliography"/>
        <w:ind w:left="720" w:hanging="720"/>
        <w:rPr>
          <w:noProof/>
          <w:sz w:val="24"/>
          <w:szCs w:val="24"/>
        </w:rPr>
      </w:pPr>
      <w:r w:rsidRPr="00377CF2">
        <w:rPr>
          <w:noProof/>
          <w:sz w:val="24"/>
          <w:szCs w:val="24"/>
        </w:rPr>
        <w:t>3.</w:t>
      </w:r>
      <w:r w:rsidRPr="00377CF2">
        <w:rPr>
          <w:noProof/>
          <w:sz w:val="24"/>
          <w:szCs w:val="24"/>
        </w:rPr>
        <w:tab/>
        <w:t xml:space="preserve">Escapa IF, Chen T, Huang Y, Gajare P, Dewhirst FE, Lemon KP: </w:t>
      </w:r>
      <w:r w:rsidRPr="00377CF2">
        <w:rPr>
          <w:b/>
          <w:noProof/>
          <w:sz w:val="24"/>
          <w:szCs w:val="24"/>
        </w:rPr>
        <w:t>New Insights into Human Nostril Microbiome from the Expanded Human Oral Microbiome Database (eHOMD): a Resource for the Microbiome of the Human Aerodigestive Tract.</w:t>
      </w:r>
      <w:r w:rsidRPr="00377CF2">
        <w:rPr>
          <w:noProof/>
          <w:sz w:val="24"/>
          <w:szCs w:val="24"/>
        </w:rPr>
        <w:t xml:space="preserve"> </w:t>
      </w:r>
      <w:r w:rsidRPr="00377CF2">
        <w:rPr>
          <w:i/>
          <w:noProof/>
          <w:sz w:val="24"/>
          <w:szCs w:val="24"/>
        </w:rPr>
        <w:t xml:space="preserve">mSystems </w:t>
      </w:r>
      <w:r w:rsidRPr="00377CF2">
        <w:rPr>
          <w:noProof/>
          <w:sz w:val="24"/>
          <w:szCs w:val="24"/>
        </w:rPr>
        <w:t xml:space="preserve">2018, </w:t>
      </w:r>
      <w:r w:rsidRPr="00377CF2">
        <w:rPr>
          <w:b/>
          <w:noProof/>
          <w:sz w:val="24"/>
          <w:szCs w:val="24"/>
        </w:rPr>
        <w:t>3</w:t>
      </w:r>
      <w:r w:rsidRPr="00377CF2">
        <w:rPr>
          <w:noProof/>
          <w:sz w:val="24"/>
          <w:szCs w:val="24"/>
        </w:rPr>
        <w:t>.</w:t>
      </w:r>
    </w:p>
    <w:p w14:paraId="1E5D0765" w14:textId="77777777" w:rsidR="00B4159B" w:rsidRPr="00377CF2" w:rsidRDefault="00B4159B" w:rsidP="00377CF2">
      <w:pPr>
        <w:pStyle w:val="EndNoteBibliography"/>
        <w:ind w:left="720" w:hanging="720"/>
        <w:rPr>
          <w:noProof/>
          <w:sz w:val="24"/>
          <w:szCs w:val="24"/>
        </w:rPr>
      </w:pPr>
      <w:r w:rsidRPr="00377CF2">
        <w:rPr>
          <w:noProof/>
          <w:sz w:val="24"/>
          <w:szCs w:val="24"/>
        </w:rPr>
        <w:t>4.</w:t>
      </w:r>
      <w:r w:rsidRPr="00377CF2">
        <w:rPr>
          <w:noProof/>
          <w:sz w:val="24"/>
          <w:szCs w:val="24"/>
        </w:rPr>
        <w:tab/>
        <w:t xml:space="preserve">Hausser J, Strimmer K: </w:t>
      </w:r>
      <w:r w:rsidRPr="00377CF2">
        <w:rPr>
          <w:b/>
          <w:noProof/>
          <w:sz w:val="24"/>
          <w:szCs w:val="24"/>
        </w:rPr>
        <w:t>Entropy inference and the James-Stein estimator, with application to nonlinear gene association networks.</w:t>
      </w:r>
      <w:r w:rsidRPr="00377CF2">
        <w:rPr>
          <w:noProof/>
          <w:sz w:val="24"/>
          <w:szCs w:val="24"/>
        </w:rPr>
        <w:t xml:space="preserve"> </w:t>
      </w:r>
      <w:r w:rsidRPr="00377CF2">
        <w:rPr>
          <w:i/>
          <w:noProof/>
          <w:sz w:val="24"/>
          <w:szCs w:val="24"/>
        </w:rPr>
        <w:t xml:space="preserve">J Mach Learn Res </w:t>
      </w:r>
      <w:r w:rsidRPr="00377CF2">
        <w:rPr>
          <w:noProof/>
          <w:sz w:val="24"/>
          <w:szCs w:val="24"/>
        </w:rPr>
        <w:t>2009</w:t>
      </w:r>
      <w:r w:rsidRPr="00377CF2">
        <w:rPr>
          <w:b/>
          <w:noProof/>
          <w:sz w:val="24"/>
          <w:szCs w:val="24"/>
        </w:rPr>
        <w:t>:</w:t>
      </w:r>
      <w:r w:rsidRPr="00377CF2">
        <w:rPr>
          <w:noProof/>
          <w:sz w:val="24"/>
          <w:szCs w:val="24"/>
        </w:rPr>
        <w:t>1469-1484.</w:t>
      </w:r>
    </w:p>
    <w:p w14:paraId="7267A123" w14:textId="77777777" w:rsidR="00B4159B" w:rsidRPr="00377CF2" w:rsidRDefault="00B4159B" w:rsidP="00377CF2">
      <w:pPr>
        <w:pStyle w:val="EndNoteBibliography"/>
        <w:ind w:left="720" w:hanging="720"/>
        <w:rPr>
          <w:noProof/>
          <w:sz w:val="24"/>
          <w:szCs w:val="24"/>
        </w:rPr>
      </w:pPr>
      <w:r w:rsidRPr="00377CF2">
        <w:rPr>
          <w:noProof/>
          <w:sz w:val="24"/>
          <w:szCs w:val="24"/>
        </w:rPr>
        <w:t>5.</w:t>
      </w:r>
      <w:r w:rsidRPr="00377CF2">
        <w:rPr>
          <w:noProof/>
          <w:sz w:val="24"/>
          <w:szCs w:val="24"/>
        </w:rPr>
        <w:tab/>
        <w:t xml:space="preserve">Kozich JJ, Westcott SL, Baxter NT, Highlander SK, Schloss PD: </w:t>
      </w:r>
      <w:r w:rsidRPr="00377CF2">
        <w:rPr>
          <w:b/>
          <w:noProof/>
          <w:sz w:val="24"/>
          <w:szCs w:val="24"/>
        </w:rPr>
        <w:t>Development of a dual-index sequencing strategy and curation pipeline for analyzing amplicon sequence data on the MiSeq Illumina sequencing platform.</w:t>
      </w:r>
      <w:r w:rsidRPr="00377CF2">
        <w:rPr>
          <w:noProof/>
          <w:sz w:val="24"/>
          <w:szCs w:val="24"/>
        </w:rPr>
        <w:t xml:space="preserve"> </w:t>
      </w:r>
      <w:r w:rsidRPr="00377CF2">
        <w:rPr>
          <w:i/>
          <w:noProof/>
          <w:sz w:val="24"/>
          <w:szCs w:val="24"/>
        </w:rPr>
        <w:t xml:space="preserve">Appl Environ Microbiol </w:t>
      </w:r>
      <w:r w:rsidRPr="00377CF2">
        <w:rPr>
          <w:noProof/>
          <w:sz w:val="24"/>
          <w:szCs w:val="24"/>
        </w:rPr>
        <w:t xml:space="preserve">2013, </w:t>
      </w:r>
      <w:r w:rsidRPr="00377CF2">
        <w:rPr>
          <w:b/>
          <w:noProof/>
          <w:sz w:val="24"/>
          <w:szCs w:val="24"/>
        </w:rPr>
        <w:t>79:</w:t>
      </w:r>
      <w:r w:rsidRPr="00377CF2">
        <w:rPr>
          <w:noProof/>
          <w:sz w:val="24"/>
          <w:szCs w:val="24"/>
        </w:rPr>
        <w:t>5112-5120.</w:t>
      </w:r>
    </w:p>
    <w:p w14:paraId="36359645" w14:textId="77777777" w:rsidR="00B4159B" w:rsidRPr="00377CF2" w:rsidRDefault="00B4159B" w:rsidP="00377CF2">
      <w:pPr>
        <w:pStyle w:val="EndNoteBibliography"/>
        <w:ind w:left="720" w:hanging="720"/>
        <w:rPr>
          <w:noProof/>
          <w:sz w:val="24"/>
          <w:szCs w:val="24"/>
        </w:rPr>
      </w:pPr>
      <w:r w:rsidRPr="00377CF2">
        <w:rPr>
          <w:noProof/>
          <w:sz w:val="24"/>
          <w:szCs w:val="24"/>
        </w:rPr>
        <w:t>6.</w:t>
      </w:r>
      <w:r w:rsidRPr="00377CF2">
        <w:rPr>
          <w:noProof/>
          <w:sz w:val="24"/>
          <w:szCs w:val="24"/>
        </w:rPr>
        <w:tab/>
        <w:t xml:space="preserve">Allen HK, Bayles DO, Looft T, Trachsel J, Bass BE, Alt DP, Bearson SM, Nicholson T, Casey TA: </w:t>
      </w:r>
      <w:r w:rsidRPr="00377CF2">
        <w:rPr>
          <w:b/>
          <w:noProof/>
          <w:sz w:val="24"/>
          <w:szCs w:val="24"/>
        </w:rPr>
        <w:t>Pipeline for amplifying and analyzing amplicons of the V1-V3 region of the 16S rRNA gene.</w:t>
      </w:r>
      <w:r w:rsidRPr="00377CF2">
        <w:rPr>
          <w:noProof/>
          <w:sz w:val="24"/>
          <w:szCs w:val="24"/>
        </w:rPr>
        <w:t xml:space="preserve"> </w:t>
      </w:r>
      <w:r w:rsidRPr="00377CF2">
        <w:rPr>
          <w:i/>
          <w:noProof/>
          <w:sz w:val="24"/>
          <w:szCs w:val="24"/>
        </w:rPr>
        <w:t xml:space="preserve">BMC Res Notes </w:t>
      </w:r>
      <w:r w:rsidRPr="00377CF2">
        <w:rPr>
          <w:noProof/>
          <w:sz w:val="24"/>
          <w:szCs w:val="24"/>
        </w:rPr>
        <w:t xml:space="preserve">2016, </w:t>
      </w:r>
      <w:r w:rsidRPr="00377CF2">
        <w:rPr>
          <w:b/>
          <w:noProof/>
          <w:sz w:val="24"/>
          <w:szCs w:val="24"/>
        </w:rPr>
        <w:t>9:</w:t>
      </w:r>
      <w:r w:rsidRPr="00377CF2">
        <w:rPr>
          <w:noProof/>
          <w:sz w:val="24"/>
          <w:szCs w:val="24"/>
        </w:rPr>
        <w:t>380.</w:t>
      </w:r>
    </w:p>
    <w:p w14:paraId="6C959713" w14:textId="77777777" w:rsidR="00B4159B" w:rsidRPr="00377CF2" w:rsidRDefault="00B4159B" w:rsidP="00377CF2">
      <w:pPr>
        <w:pStyle w:val="EndNoteBibliography"/>
        <w:ind w:left="720" w:hanging="720"/>
        <w:rPr>
          <w:noProof/>
          <w:sz w:val="24"/>
          <w:szCs w:val="24"/>
        </w:rPr>
      </w:pPr>
      <w:r w:rsidRPr="00377CF2">
        <w:rPr>
          <w:noProof/>
          <w:sz w:val="24"/>
          <w:szCs w:val="24"/>
        </w:rPr>
        <w:t>7.</w:t>
      </w:r>
      <w:r w:rsidRPr="00377CF2">
        <w:rPr>
          <w:noProof/>
          <w:sz w:val="24"/>
          <w:szCs w:val="24"/>
        </w:rPr>
        <w:tab/>
        <w:t xml:space="preserve">Wingett SW, Andrews S: </w:t>
      </w:r>
      <w:r w:rsidRPr="00377CF2">
        <w:rPr>
          <w:b/>
          <w:noProof/>
          <w:sz w:val="24"/>
          <w:szCs w:val="24"/>
        </w:rPr>
        <w:t>FastQ Screen: A tool for multi-genome mapping and quality control.</w:t>
      </w:r>
      <w:r w:rsidRPr="00377CF2">
        <w:rPr>
          <w:noProof/>
          <w:sz w:val="24"/>
          <w:szCs w:val="24"/>
        </w:rPr>
        <w:t xml:space="preserve"> </w:t>
      </w:r>
      <w:r w:rsidRPr="00377CF2">
        <w:rPr>
          <w:i/>
          <w:noProof/>
          <w:sz w:val="24"/>
          <w:szCs w:val="24"/>
        </w:rPr>
        <w:t xml:space="preserve">F1000Res </w:t>
      </w:r>
      <w:r w:rsidRPr="00377CF2">
        <w:rPr>
          <w:noProof/>
          <w:sz w:val="24"/>
          <w:szCs w:val="24"/>
        </w:rPr>
        <w:t xml:space="preserve">2018, </w:t>
      </w:r>
      <w:r w:rsidRPr="00377CF2">
        <w:rPr>
          <w:b/>
          <w:noProof/>
          <w:sz w:val="24"/>
          <w:szCs w:val="24"/>
        </w:rPr>
        <w:t>7:</w:t>
      </w:r>
      <w:r w:rsidRPr="00377CF2">
        <w:rPr>
          <w:noProof/>
          <w:sz w:val="24"/>
          <w:szCs w:val="24"/>
        </w:rPr>
        <w:t>1338.</w:t>
      </w:r>
    </w:p>
    <w:p w14:paraId="792AFEA2" w14:textId="1940BD67" w:rsidR="005D4745" w:rsidRPr="00377CF2" w:rsidRDefault="002406B2" w:rsidP="00377CF2">
      <w:pPr>
        <w:spacing w:before="100" w:beforeAutospacing="1" w:after="360"/>
        <w:rPr>
          <w:sz w:val="24"/>
          <w:szCs w:val="24"/>
        </w:rPr>
      </w:pPr>
      <w:r w:rsidRPr="00377CF2">
        <w:rPr>
          <w:sz w:val="24"/>
          <w:szCs w:val="24"/>
        </w:rPr>
        <w:fldChar w:fldCharType="end"/>
      </w:r>
    </w:p>
    <w:sectPr w:rsidR="005D4745" w:rsidRPr="00377CF2" w:rsidSect="003F7A2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C1709"/>
    <w:rsid w:val="00040C12"/>
    <w:rsid w:val="0005687A"/>
    <w:rsid w:val="00077860"/>
    <w:rsid w:val="000828DE"/>
    <w:rsid w:val="00090EB1"/>
    <w:rsid w:val="000A1AFA"/>
    <w:rsid w:val="000C20AE"/>
    <w:rsid w:val="000D70D4"/>
    <w:rsid w:val="000E039C"/>
    <w:rsid w:val="000E28D4"/>
    <w:rsid w:val="000F78C9"/>
    <w:rsid w:val="00157CE3"/>
    <w:rsid w:val="00171877"/>
    <w:rsid w:val="001B1507"/>
    <w:rsid w:val="001B5E4C"/>
    <w:rsid w:val="001F2E08"/>
    <w:rsid w:val="001F67BD"/>
    <w:rsid w:val="00207497"/>
    <w:rsid w:val="00207BE6"/>
    <w:rsid w:val="00225A68"/>
    <w:rsid w:val="00233F73"/>
    <w:rsid w:val="002406B2"/>
    <w:rsid w:val="00264DAD"/>
    <w:rsid w:val="0027113F"/>
    <w:rsid w:val="00273586"/>
    <w:rsid w:val="00275576"/>
    <w:rsid w:val="002A010F"/>
    <w:rsid w:val="002A08FE"/>
    <w:rsid w:val="002C2250"/>
    <w:rsid w:val="002C7FB9"/>
    <w:rsid w:val="00304929"/>
    <w:rsid w:val="003579E4"/>
    <w:rsid w:val="00361FBF"/>
    <w:rsid w:val="003721FC"/>
    <w:rsid w:val="00377CF2"/>
    <w:rsid w:val="00391083"/>
    <w:rsid w:val="003937BC"/>
    <w:rsid w:val="00394220"/>
    <w:rsid w:val="0039581A"/>
    <w:rsid w:val="003E3A01"/>
    <w:rsid w:val="003F3CAE"/>
    <w:rsid w:val="003F7A29"/>
    <w:rsid w:val="00407E9D"/>
    <w:rsid w:val="00425507"/>
    <w:rsid w:val="00425FC7"/>
    <w:rsid w:val="004329C6"/>
    <w:rsid w:val="00436AEE"/>
    <w:rsid w:val="00456D61"/>
    <w:rsid w:val="00462856"/>
    <w:rsid w:val="0046649B"/>
    <w:rsid w:val="004852CA"/>
    <w:rsid w:val="00487227"/>
    <w:rsid w:val="004B26E1"/>
    <w:rsid w:val="004B2CB4"/>
    <w:rsid w:val="004C1709"/>
    <w:rsid w:val="004C7376"/>
    <w:rsid w:val="004E39C0"/>
    <w:rsid w:val="0051662B"/>
    <w:rsid w:val="00532DE5"/>
    <w:rsid w:val="00570D70"/>
    <w:rsid w:val="0057779F"/>
    <w:rsid w:val="005807A3"/>
    <w:rsid w:val="00592527"/>
    <w:rsid w:val="005963C3"/>
    <w:rsid w:val="005A6FC9"/>
    <w:rsid w:val="005B1489"/>
    <w:rsid w:val="005B2C61"/>
    <w:rsid w:val="005B336E"/>
    <w:rsid w:val="005C143B"/>
    <w:rsid w:val="005D4745"/>
    <w:rsid w:val="0061756F"/>
    <w:rsid w:val="00633180"/>
    <w:rsid w:val="00637118"/>
    <w:rsid w:val="006B0968"/>
    <w:rsid w:val="006B0A7E"/>
    <w:rsid w:val="006C13D0"/>
    <w:rsid w:val="006E6138"/>
    <w:rsid w:val="006E7C15"/>
    <w:rsid w:val="00707E08"/>
    <w:rsid w:val="00737C23"/>
    <w:rsid w:val="007767EA"/>
    <w:rsid w:val="007F64F9"/>
    <w:rsid w:val="008226EB"/>
    <w:rsid w:val="00845A3C"/>
    <w:rsid w:val="00846375"/>
    <w:rsid w:val="00846579"/>
    <w:rsid w:val="00853D56"/>
    <w:rsid w:val="00871F86"/>
    <w:rsid w:val="00885737"/>
    <w:rsid w:val="008A4C12"/>
    <w:rsid w:val="008C46C9"/>
    <w:rsid w:val="0090664F"/>
    <w:rsid w:val="00911681"/>
    <w:rsid w:val="00913FB4"/>
    <w:rsid w:val="009150B2"/>
    <w:rsid w:val="00926E8B"/>
    <w:rsid w:val="00955D65"/>
    <w:rsid w:val="0095795E"/>
    <w:rsid w:val="00957F3B"/>
    <w:rsid w:val="009A6893"/>
    <w:rsid w:val="009F1E3B"/>
    <w:rsid w:val="009F1F59"/>
    <w:rsid w:val="009F53AA"/>
    <w:rsid w:val="009F620F"/>
    <w:rsid w:val="00A1737C"/>
    <w:rsid w:val="00A46C7B"/>
    <w:rsid w:val="00A701AE"/>
    <w:rsid w:val="00AA29B3"/>
    <w:rsid w:val="00AD770A"/>
    <w:rsid w:val="00AE5380"/>
    <w:rsid w:val="00AF1541"/>
    <w:rsid w:val="00B30BF2"/>
    <w:rsid w:val="00B3103A"/>
    <w:rsid w:val="00B4159B"/>
    <w:rsid w:val="00B61577"/>
    <w:rsid w:val="00B63093"/>
    <w:rsid w:val="00B72B26"/>
    <w:rsid w:val="00B74ACE"/>
    <w:rsid w:val="00B776FB"/>
    <w:rsid w:val="00BA22E6"/>
    <w:rsid w:val="00BC0761"/>
    <w:rsid w:val="00BC4B62"/>
    <w:rsid w:val="00BC552D"/>
    <w:rsid w:val="00BC74AA"/>
    <w:rsid w:val="00BD1A09"/>
    <w:rsid w:val="00C02416"/>
    <w:rsid w:val="00C14B38"/>
    <w:rsid w:val="00C437C2"/>
    <w:rsid w:val="00C506E3"/>
    <w:rsid w:val="00C6627A"/>
    <w:rsid w:val="00C82576"/>
    <w:rsid w:val="00CA4815"/>
    <w:rsid w:val="00CF6BCB"/>
    <w:rsid w:val="00D14D6B"/>
    <w:rsid w:val="00D23A8D"/>
    <w:rsid w:val="00D32AA4"/>
    <w:rsid w:val="00D354AA"/>
    <w:rsid w:val="00D41426"/>
    <w:rsid w:val="00D71397"/>
    <w:rsid w:val="00D93B01"/>
    <w:rsid w:val="00DA3CD2"/>
    <w:rsid w:val="00DA5FB7"/>
    <w:rsid w:val="00DC243B"/>
    <w:rsid w:val="00DD325B"/>
    <w:rsid w:val="00DD5110"/>
    <w:rsid w:val="00E03D1C"/>
    <w:rsid w:val="00E11F4F"/>
    <w:rsid w:val="00E456C9"/>
    <w:rsid w:val="00E756A6"/>
    <w:rsid w:val="00E8370A"/>
    <w:rsid w:val="00E9608E"/>
    <w:rsid w:val="00EA5AF4"/>
    <w:rsid w:val="00EC581F"/>
    <w:rsid w:val="00EE1F9A"/>
    <w:rsid w:val="00F06343"/>
    <w:rsid w:val="00F20261"/>
    <w:rsid w:val="00F514A3"/>
    <w:rsid w:val="00F519BE"/>
    <w:rsid w:val="00F56221"/>
    <w:rsid w:val="00F84C5B"/>
    <w:rsid w:val="00F86C21"/>
    <w:rsid w:val="00F93703"/>
    <w:rsid w:val="00FF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7FD874"/>
  <w15:chartTrackingRefBased/>
  <w15:docId w15:val="{B0FE3087-50F4-3349-ABBD-E06A2F0A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170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C1709"/>
    <w:rPr>
      <w:rFonts w:ascii="Times New Roman" w:hAnsi="Times New Roman" w:cs="Times New Roman"/>
      <w:sz w:val="18"/>
      <w:szCs w:val="18"/>
    </w:rPr>
  </w:style>
  <w:style w:type="character" w:styleId="Hyperlink">
    <w:name w:val="Hyperlink"/>
    <w:basedOn w:val="DefaultParagraphFont"/>
    <w:uiPriority w:val="99"/>
    <w:unhideWhenUsed/>
    <w:rsid w:val="004B2CB4"/>
    <w:rPr>
      <w:color w:val="0563C1" w:themeColor="hyperlink"/>
      <w:u w:val="single"/>
    </w:rPr>
  </w:style>
  <w:style w:type="character" w:styleId="UnresolvedMention">
    <w:name w:val="Unresolved Mention"/>
    <w:basedOn w:val="DefaultParagraphFont"/>
    <w:uiPriority w:val="99"/>
    <w:semiHidden/>
    <w:unhideWhenUsed/>
    <w:rsid w:val="004B2CB4"/>
    <w:rPr>
      <w:color w:val="605E5C"/>
      <w:shd w:val="clear" w:color="auto" w:fill="E1DFDD"/>
    </w:rPr>
  </w:style>
  <w:style w:type="character" w:styleId="CommentReference">
    <w:name w:val="annotation reference"/>
    <w:basedOn w:val="DefaultParagraphFont"/>
    <w:uiPriority w:val="99"/>
    <w:semiHidden/>
    <w:unhideWhenUsed/>
    <w:rsid w:val="006C13D0"/>
    <w:rPr>
      <w:sz w:val="16"/>
      <w:szCs w:val="16"/>
    </w:rPr>
  </w:style>
  <w:style w:type="paragraph" w:styleId="CommentText">
    <w:name w:val="annotation text"/>
    <w:basedOn w:val="Normal"/>
    <w:link w:val="CommentTextChar"/>
    <w:uiPriority w:val="99"/>
    <w:semiHidden/>
    <w:unhideWhenUsed/>
    <w:rsid w:val="006C13D0"/>
    <w:rPr>
      <w:sz w:val="20"/>
      <w:szCs w:val="20"/>
    </w:rPr>
  </w:style>
  <w:style w:type="character" w:customStyle="1" w:styleId="CommentTextChar">
    <w:name w:val="Comment Text Char"/>
    <w:basedOn w:val="DefaultParagraphFont"/>
    <w:link w:val="CommentText"/>
    <w:uiPriority w:val="99"/>
    <w:semiHidden/>
    <w:rsid w:val="006C13D0"/>
    <w:rPr>
      <w:sz w:val="20"/>
      <w:szCs w:val="20"/>
    </w:rPr>
  </w:style>
  <w:style w:type="paragraph" w:styleId="CommentSubject">
    <w:name w:val="annotation subject"/>
    <w:basedOn w:val="CommentText"/>
    <w:next w:val="CommentText"/>
    <w:link w:val="CommentSubjectChar"/>
    <w:uiPriority w:val="99"/>
    <w:semiHidden/>
    <w:unhideWhenUsed/>
    <w:rsid w:val="006C13D0"/>
    <w:rPr>
      <w:b/>
      <w:bCs/>
    </w:rPr>
  </w:style>
  <w:style w:type="character" w:customStyle="1" w:styleId="CommentSubjectChar">
    <w:name w:val="Comment Subject Char"/>
    <w:basedOn w:val="CommentTextChar"/>
    <w:link w:val="CommentSubject"/>
    <w:uiPriority w:val="99"/>
    <w:semiHidden/>
    <w:rsid w:val="006C13D0"/>
    <w:rPr>
      <w:b/>
      <w:bCs/>
      <w:sz w:val="20"/>
      <w:szCs w:val="20"/>
    </w:rPr>
  </w:style>
  <w:style w:type="table" w:styleId="TableGrid">
    <w:name w:val="Table Grid"/>
    <w:basedOn w:val="TableNormal"/>
    <w:uiPriority w:val="39"/>
    <w:rsid w:val="002C7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B2C61"/>
    <w:rPr>
      <w:color w:val="954F72" w:themeColor="followedHyperlink"/>
      <w:u w:val="single"/>
    </w:rPr>
  </w:style>
  <w:style w:type="paragraph" w:customStyle="1" w:styleId="EndNoteBibliographyTitle">
    <w:name w:val="EndNote Bibliography Title"/>
    <w:basedOn w:val="Normal"/>
    <w:link w:val="EndNoteBibliographyTitleChar"/>
    <w:rsid w:val="002406B2"/>
    <w:pPr>
      <w:jc w:val="center"/>
    </w:pPr>
  </w:style>
  <w:style w:type="character" w:customStyle="1" w:styleId="EndNoteBibliographyTitleChar">
    <w:name w:val="EndNote Bibliography Title Char"/>
    <w:basedOn w:val="DefaultParagraphFont"/>
    <w:link w:val="EndNoteBibliographyTitle"/>
    <w:rsid w:val="002406B2"/>
  </w:style>
  <w:style w:type="paragraph" w:customStyle="1" w:styleId="EndNoteBibliography">
    <w:name w:val="EndNote Bibliography"/>
    <w:basedOn w:val="Normal"/>
    <w:link w:val="EndNoteBibliographyChar"/>
    <w:rsid w:val="002406B2"/>
  </w:style>
  <w:style w:type="character" w:customStyle="1" w:styleId="EndNoteBibliographyChar">
    <w:name w:val="EndNote Bibliography Char"/>
    <w:basedOn w:val="DefaultParagraphFont"/>
    <w:link w:val="EndNoteBibliography"/>
    <w:rsid w:val="002406B2"/>
  </w:style>
  <w:style w:type="paragraph" w:styleId="Revision">
    <w:name w:val="Revision"/>
    <w:hidden/>
    <w:uiPriority w:val="99"/>
    <w:semiHidden/>
    <w:rsid w:val="00425507"/>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887537">
      <w:bodyDiv w:val="1"/>
      <w:marLeft w:val="0"/>
      <w:marRight w:val="0"/>
      <w:marTop w:val="0"/>
      <w:marBottom w:val="0"/>
      <w:divBdr>
        <w:top w:val="none" w:sz="0" w:space="0" w:color="auto"/>
        <w:left w:val="none" w:sz="0" w:space="0" w:color="auto"/>
        <w:bottom w:val="none" w:sz="0" w:space="0" w:color="auto"/>
        <w:right w:val="none" w:sz="0" w:space="0" w:color="auto"/>
      </w:divBdr>
    </w:div>
    <w:div w:id="542864429">
      <w:bodyDiv w:val="1"/>
      <w:marLeft w:val="0"/>
      <w:marRight w:val="0"/>
      <w:marTop w:val="0"/>
      <w:marBottom w:val="0"/>
      <w:divBdr>
        <w:top w:val="none" w:sz="0" w:space="0" w:color="auto"/>
        <w:left w:val="none" w:sz="0" w:space="0" w:color="auto"/>
        <w:bottom w:val="none" w:sz="0" w:space="0" w:color="auto"/>
        <w:right w:val="none" w:sz="0" w:space="0" w:color="auto"/>
      </w:divBdr>
    </w:div>
    <w:div w:id="1479691228">
      <w:bodyDiv w:val="1"/>
      <w:marLeft w:val="0"/>
      <w:marRight w:val="0"/>
      <w:marTop w:val="0"/>
      <w:marBottom w:val="0"/>
      <w:divBdr>
        <w:top w:val="none" w:sz="0" w:space="0" w:color="auto"/>
        <w:left w:val="none" w:sz="0" w:space="0" w:color="auto"/>
        <w:bottom w:val="none" w:sz="0" w:space="0" w:color="auto"/>
        <w:right w:val="none" w:sz="0" w:space="0" w:color="auto"/>
      </w:divBdr>
    </w:div>
    <w:div w:id="1541823960">
      <w:bodyDiv w:val="1"/>
      <w:marLeft w:val="0"/>
      <w:marRight w:val="0"/>
      <w:marTop w:val="0"/>
      <w:marBottom w:val="0"/>
      <w:divBdr>
        <w:top w:val="none" w:sz="0" w:space="0" w:color="auto"/>
        <w:left w:val="none" w:sz="0" w:space="0" w:color="auto"/>
        <w:bottom w:val="none" w:sz="0" w:space="0" w:color="auto"/>
        <w:right w:val="none" w:sz="0" w:space="0" w:color="auto"/>
      </w:divBdr>
    </w:div>
    <w:div w:id="186366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homd.org/?name=seqDownload&amp;type=R" TargetMode="External"/><Relationship Id="rId11" Type="http://schemas.openxmlformats.org/officeDocument/2006/relationships/theme" Target="theme/theme1.xml"/><Relationship Id="rId5" Type="http://schemas.openxmlformats.org/officeDocument/2006/relationships/hyperlink" Target="http://www.homd.org/ftp/HOMD_phylogeny/curre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pport.illumina.com/bulletins/2016/03/best-practices-for-lowdiversity-sequencing-on-the-nextseq-and-miniseq-syste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C5A8FACF-C920-3F4A-B0A4-5E0872378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2816</Words>
  <Characters>16056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klemontyne klemontyne</dc:creator>
  <cp:keywords/>
  <dc:description/>
  <cp:lastModifiedBy>Fernandez Escapa, Isabel</cp:lastModifiedBy>
  <cp:revision>11</cp:revision>
  <dcterms:created xsi:type="dcterms:W3CDTF">2020-02-16T21:18:00Z</dcterms:created>
  <dcterms:modified xsi:type="dcterms:W3CDTF">2020-04-24T16:08:00Z</dcterms:modified>
</cp:coreProperties>
</file>