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2F551" w14:textId="6B957DC0" w:rsidR="006B2DAB" w:rsidRPr="00B33D2A" w:rsidRDefault="006B2DAB" w:rsidP="002A769C">
      <w:pPr>
        <w:widowControl/>
        <w:shd w:val="clear" w:color="auto" w:fill="FFFFFF"/>
        <w:adjustRightInd w:val="0"/>
        <w:snapToGrid w:val="0"/>
        <w:spacing w:line="480" w:lineRule="auto"/>
        <w:rPr>
          <w:rFonts w:ascii="Times New Roman" w:eastAsia="宋体" w:hAnsi="Times New Roman" w:cs="Times New Roman"/>
          <w:b/>
          <w:bCs/>
          <w:kern w:val="0"/>
          <w:szCs w:val="21"/>
        </w:rPr>
      </w:pPr>
      <w:r w:rsidRPr="00B33D2A">
        <w:rPr>
          <w:rFonts w:ascii="Times New Roman" w:eastAsia="宋体" w:hAnsi="Times New Roman" w:cs="Times New Roman"/>
          <w:b/>
          <w:bCs/>
          <w:kern w:val="0"/>
          <w:szCs w:val="21"/>
        </w:rPr>
        <w:t>Additional file 12:</w:t>
      </w:r>
    </w:p>
    <w:p w14:paraId="495DB783" w14:textId="01E4425C" w:rsidR="006B2DAB" w:rsidRDefault="006B2DAB" w:rsidP="002A769C">
      <w:pPr>
        <w:widowControl/>
        <w:shd w:val="clear" w:color="auto" w:fill="FFFFFF"/>
        <w:adjustRightInd w:val="0"/>
        <w:snapToGrid w:val="0"/>
        <w:spacing w:line="480" w:lineRule="auto"/>
        <w:rPr>
          <w:rFonts w:ascii="Times New Roman" w:eastAsia="宋体" w:hAnsi="Times New Roman" w:cs="Times New Roman"/>
          <w:kern w:val="0"/>
          <w:szCs w:val="21"/>
        </w:rPr>
      </w:pPr>
    </w:p>
    <w:p w14:paraId="60E34863" w14:textId="17B77859" w:rsidR="00C43C1B" w:rsidRPr="00C65F8C" w:rsidRDefault="00723E45" w:rsidP="002A769C">
      <w:pPr>
        <w:widowControl/>
        <w:shd w:val="clear" w:color="auto" w:fill="FFFFFF"/>
        <w:adjustRightInd w:val="0"/>
        <w:snapToGrid w:val="0"/>
        <w:spacing w:line="480" w:lineRule="auto"/>
        <w:ind w:firstLineChars="200" w:firstLine="420"/>
        <w:rPr>
          <w:rFonts w:ascii="Times New Roman" w:eastAsia="宋体" w:hAnsi="Times New Roman" w:cs="Times New Roman"/>
          <w:kern w:val="0"/>
          <w:szCs w:val="21"/>
        </w:rPr>
      </w:pPr>
      <w:r>
        <w:rPr>
          <w:rFonts w:ascii="Times New Roman" w:eastAsia="宋体" w:hAnsi="Times New Roman" w:cs="Times New Roman"/>
          <w:kern w:val="0"/>
          <w:szCs w:val="21"/>
        </w:rPr>
        <w:t>I</w:t>
      </w:r>
      <w:r w:rsidRPr="00C65F8C">
        <w:rPr>
          <w:rFonts w:ascii="Times New Roman" w:eastAsia="宋体" w:hAnsi="Times New Roman" w:cs="Times New Roman"/>
          <w:kern w:val="0"/>
          <w:szCs w:val="21"/>
        </w:rPr>
        <w:t>n the mouse experiment performed,</w:t>
      </w:r>
      <w:r w:rsidR="00CA5AA2">
        <w:rPr>
          <w:rFonts w:ascii="Times New Roman" w:eastAsia="宋体" w:hAnsi="Times New Roman" w:cs="Times New Roman"/>
          <w:kern w:val="0"/>
          <w:szCs w:val="21"/>
        </w:rPr>
        <w:t xml:space="preserve"> </w:t>
      </w:r>
      <w:r w:rsidR="00C86FB0">
        <w:rPr>
          <w:rFonts w:ascii="Times New Roman" w:eastAsia="宋体" w:hAnsi="Times New Roman" w:cs="Times New Roman"/>
          <w:kern w:val="0"/>
          <w:szCs w:val="21"/>
        </w:rPr>
        <w:t>t</w:t>
      </w:r>
      <w:r w:rsidR="00C43C1B" w:rsidRPr="00C65F8C">
        <w:rPr>
          <w:rFonts w:ascii="Times New Roman" w:eastAsia="宋体" w:hAnsi="Times New Roman" w:cs="Times New Roman"/>
          <w:kern w:val="0"/>
          <w:szCs w:val="21"/>
        </w:rPr>
        <w:t xml:space="preserve">he </w:t>
      </w:r>
      <w:r w:rsidR="00C86FB0">
        <w:rPr>
          <w:rFonts w:ascii="Times New Roman" w:eastAsia="宋体" w:hAnsi="Times New Roman" w:cs="Times New Roman"/>
          <w:kern w:val="0"/>
          <w:szCs w:val="21"/>
        </w:rPr>
        <w:t>result</w:t>
      </w:r>
      <w:r w:rsidR="00C43C1B" w:rsidRPr="00C65F8C">
        <w:rPr>
          <w:rFonts w:ascii="Times New Roman" w:eastAsia="宋体" w:hAnsi="Times New Roman" w:cs="Times New Roman"/>
          <w:kern w:val="0"/>
          <w:szCs w:val="21"/>
        </w:rPr>
        <w:t>s suggest</w:t>
      </w:r>
      <w:r w:rsidR="00595C02">
        <w:rPr>
          <w:rFonts w:ascii="Times New Roman" w:eastAsia="宋体" w:hAnsi="Times New Roman" w:cs="Times New Roman"/>
          <w:kern w:val="0"/>
          <w:szCs w:val="21"/>
        </w:rPr>
        <w:t>ed</w:t>
      </w:r>
      <w:r w:rsidR="00C43C1B" w:rsidRPr="00C65F8C">
        <w:rPr>
          <w:rFonts w:ascii="Times New Roman" w:eastAsia="宋体" w:hAnsi="Times New Roman" w:cs="Times New Roman"/>
          <w:kern w:val="0"/>
          <w:szCs w:val="21"/>
        </w:rPr>
        <w:t xml:space="preserve"> that the nitrogen recycling bacteria are responsible for the progression of MM through conversion of urea into glutamine, which then will be used by the tumor cells to proliferate. However, </w:t>
      </w:r>
      <w:r w:rsidR="00595C02">
        <w:rPr>
          <w:rFonts w:ascii="Times New Roman" w:eastAsia="宋体" w:hAnsi="Times New Roman" w:cs="Times New Roman"/>
          <w:kern w:val="0"/>
          <w:szCs w:val="21"/>
        </w:rPr>
        <w:t>we</w:t>
      </w:r>
      <w:r w:rsidR="00C43C1B" w:rsidRPr="00C65F8C">
        <w:rPr>
          <w:rFonts w:ascii="Times New Roman" w:eastAsia="宋体" w:hAnsi="Times New Roman" w:cs="Times New Roman"/>
          <w:kern w:val="0"/>
          <w:szCs w:val="21"/>
        </w:rPr>
        <w:t xml:space="preserve"> analyze</w:t>
      </w:r>
      <w:r w:rsidR="00595C02">
        <w:rPr>
          <w:rFonts w:ascii="Times New Roman" w:eastAsia="宋体" w:hAnsi="Times New Roman" w:cs="Times New Roman"/>
          <w:kern w:val="0"/>
          <w:szCs w:val="21"/>
        </w:rPr>
        <w:t>d</w:t>
      </w:r>
      <w:r w:rsidR="00C43C1B" w:rsidRPr="00C65F8C">
        <w:rPr>
          <w:rFonts w:ascii="Times New Roman" w:eastAsia="宋体" w:hAnsi="Times New Roman" w:cs="Times New Roman"/>
          <w:kern w:val="0"/>
          <w:szCs w:val="21"/>
        </w:rPr>
        <w:t xml:space="preserve"> the glutamine levels in the bone marrow at week 6 when the tumor has already progressed.</w:t>
      </w:r>
      <w:r w:rsidR="002D6CE6">
        <w:rPr>
          <w:rFonts w:ascii="Times New Roman" w:eastAsia="宋体" w:hAnsi="Times New Roman" w:cs="Times New Roman"/>
          <w:kern w:val="0"/>
          <w:szCs w:val="21"/>
        </w:rPr>
        <w:t xml:space="preserve"> </w:t>
      </w:r>
      <w:r w:rsidR="00C43C1B" w:rsidRPr="00C65F8C">
        <w:rPr>
          <w:rFonts w:ascii="Times New Roman" w:eastAsia="宋体" w:hAnsi="Times New Roman" w:cs="Times New Roman"/>
          <w:kern w:val="0"/>
          <w:szCs w:val="21"/>
        </w:rPr>
        <w:t>Taking into account the differences in tumor development and how the tumor will affect renal function, more urea will be accumulated in serum, excreted to the intestinal tract and used by the bacteria to produce glutamine and other amino</w:t>
      </w:r>
      <w:r w:rsidR="00C43C1B" w:rsidRPr="00C65F8C">
        <w:rPr>
          <w:rFonts w:ascii="Times New Roman" w:eastAsia="宋体" w:hAnsi="Times New Roman" w:cs="Times New Roman" w:hint="eastAsia"/>
          <w:kern w:val="0"/>
          <w:szCs w:val="21"/>
        </w:rPr>
        <w:t xml:space="preserve"> </w:t>
      </w:r>
      <w:r w:rsidR="00C43C1B" w:rsidRPr="00C65F8C">
        <w:rPr>
          <w:rFonts w:ascii="Times New Roman" w:eastAsia="宋体" w:hAnsi="Times New Roman" w:cs="Times New Roman"/>
          <w:kern w:val="0"/>
          <w:szCs w:val="21"/>
        </w:rPr>
        <w:t xml:space="preserve">acids. It is possible therefore that the microbiome in MM could be promoting tumor progression through a different mechanism and </w:t>
      </w:r>
      <w:r w:rsidR="00C43C1B" w:rsidRPr="002D6CE6">
        <w:rPr>
          <w:rFonts w:ascii="Times New Roman" w:eastAsia="宋体" w:hAnsi="Times New Roman" w:cs="Times New Roman"/>
          <w:bCs/>
          <w:kern w:val="0"/>
          <w:szCs w:val="21"/>
        </w:rPr>
        <w:t>the changes detected at the end of the experiment are consequence rather than cause of the tumor progression.</w:t>
      </w:r>
      <w:r w:rsidR="00C43C1B" w:rsidRPr="00C65F8C">
        <w:rPr>
          <w:rFonts w:ascii="Times New Roman" w:eastAsia="宋体" w:hAnsi="Times New Roman" w:cs="Times New Roman"/>
          <w:kern w:val="0"/>
          <w:szCs w:val="21"/>
        </w:rPr>
        <w:t xml:space="preserve"> Thus, to confirm the hypothesis, it will be important to analyze the levels of glutamine production, glutamine synthase and urease activities at week 0, before the tumor has been induced.</w:t>
      </w:r>
    </w:p>
    <w:p w14:paraId="0A5CE166" w14:textId="425F6BED" w:rsidR="00C43C1B" w:rsidRPr="00C65F8C" w:rsidRDefault="009E6004" w:rsidP="002A769C">
      <w:pPr>
        <w:widowControl/>
        <w:shd w:val="clear" w:color="auto" w:fill="FFFFFF"/>
        <w:adjustRightInd w:val="0"/>
        <w:snapToGrid w:val="0"/>
        <w:spacing w:line="480" w:lineRule="auto"/>
        <w:ind w:firstLineChars="200" w:firstLine="420"/>
        <w:rPr>
          <w:rFonts w:ascii="Times New Roman" w:eastAsia="宋体" w:hAnsi="Times New Roman" w:cs="Times New Roman"/>
          <w:kern w:val="0"/>
          <w:szCs w:val="21"/>
        </w:rPr>
      </w:pPr>
      <w:r>
        <w:rPr>
          <w:rFonts w:ascii="Times New Roman" w:eastAsia="宋体" w:hAnsi="Times New Roman" w:cs="Times New Roman"/>
          <w:szCs w:val="21"/>
        </w:rPr>
        <w:t>Subsequently</w:t>
      </w:r>
      <w:r w:rsidR="00C43C1B" w:rsidRPr="00C65F8C">
        <w:rPr>
          <w:rFonts w:ascii="Times New Roman" w:eastAsia="宋体" w:hAnsi="Times New Roman" w:cs="Times New Roman"/>
          <w:szCs w:val="21"/>
        </w:rPr>
        <w:t xml:space="preserve">, </w:t>
      </w:r>
      <w:r w:rsidR="00C43C1B" w:rsidRPr="00C65F8C">
        <w:rPr>
          <w:rFonts w:ascii="Times New Roman" w:eastAsia="宋体" w:hAnsi="Times New Roman" w:cs="Times New Roman" w:hint="eastAsia"/>
          <w:szCs w:val="21"/>
        </w:rPr>
        <w:t>w</w:t>
      </w:r>
      <w:r w:rsidR="00C43C1B" w:rsidRPr="00C65F8C">
        <w:rPr>
          <w:rFonts w:ascii="Times New Roman" w:eastAsia="宋体" w:hAnsi="Times New Roman" w:cs="Times New Roman"/>
          <w:szCs w:val="21"/>
        </w:rPr>
        <w:t>e performed supplemental FMT experiments using different stool donors from MM and HC subjects, respectively. T</w:t>
      </w:r>
      <w:r w:rsidR="00C43C1B" w:rsidRPr="00C65F8C">
        <w:rPr>
          <w:rFonts w:ascii="Times New Roman" w:eastAsia="宋体" w:hAnsi="Times New Roman" w:cs="Times New Roman" w:hint="eastAsia"/>
          <w:szCs w:val="21"/>
        </w:rPr>
        <w:t>he</w:t>
      </w:r>
      <w:r w:rsidR="00C43C1B" w:rsidRPr="00C65F8C">
        <w:rPr>
          <w:rFonts w:ascii="Times New Roman" w:eastAsia="宋体" w:hAnsi="Times New Roman" w:cs="Times New Roman"/>
          <w:szCs w:val="21"/>
        </w:rPr>
        <w:t xml:space="preserve"> clinical characteristics of fecal donors are presented in </w:t>
      </w:r>
      <w:r w:rsidR="00C43C1B" w:rsidRPr="00C65F8C">
        <w:rPr>
          <w:rFonts w:ascii="Times New Roman" w:eastAsia="宋体" w:hAnsi="Times New Roman" w:cs="Times New Roman"/>
          <w:b/>
          <w:bCs/>
          <w:szCs w:val="21"/>
        </w:rPr>
        <w:t xml:space="preserve">Table </w:t>
      </w:r>
      <w:r w:rsidR="005118B8">
        <w:rPr>
          <w:rFonts w:ascii="Times New Roman" w:eastAsia="宋体" w:hAnsi="Times New Roman" w:cs="Times New Roman"/>
          <w:b/>
          <w:bCs/>
          <w:szCs w:val="21"/>
        </w:rPr>
        <w:t>1</w:t>
      </w:r>
      <w:r w:rsidR="00C43C1B" w:rsidRPr="00C65F8C">
        <w:rPr>
          <w:rFonts w:ascii="Times New Roman" w:eastAsia="宋体" w:hAnsi="Times New Roman" w:cs="Times New Roman"/>
          <w:szCs w:val="21"/>
        </w:rPr>
        <w:t xml:space="preserve">. In these experiments, all mice were treated with a cocktail of broad-spectrum antibiotics in the drinking water for 1 week. Then, they were randomly assigned to one of the three groups (PBS, FMT_HC, FMT_MM), and FMT experiments were performed for 2 weeks (twice per week). Subsequently, all mice were euthanized without the induction of MM tumorigenesis. As expected, we detected higher concentrations of glutamine in the serum and </w:t>
      </w:r>
      <w:proofErr w:type="spellStart"/>
      <w:r w:rsidR="00C43C1B" w:rsidRPr="00C65F8C">
        <w:rPr>
          <w:rFonts w:ascii="Times New Roman" w:eastAsia="宋体" w:hAnsi="Times New Roman" w:cs="Times New Roman"/>
          <w:szCs w:val="21"/>
        </w:rPr>
        <w:t>cecal</w:t>
      </w:r>
      <w:proofErr w:type="spellEnd"/>
      <w:r w:rsidR="00C43C1B" w:rsidRPr="00C65F8C">
        <w:rPr>
          <w:rFonts w:ascii="Times New Roman" w:eastAsia="宋体" w:hAnsi="Times New Roman" w:cs="Times New Roman"/>
          <w:szCs w:val="21"/>
        </w:rPr>
        <w:t xml:space="preserve"> contents of FMT_MM mice (</w:t>
      </w:r>
      <w:r w:rsidR="00C43C1B" w:rsidRPr="00C65F8C">
        <w:rPr>
          <w:rFonts w:ascii="Times New Roman" w:eastAsia="宋体" w:hAnsi="Times New Roman" w:cs="Times New Roman" w:hint="eastAsia"/>
          <w:b/>
          <w:bCs/>
          <w:szCs w:val="21"/>
        </w:rPr>
        <w:t>F</w:t>
      </w:r>
      <w:r w:rsidR="00C43C1B" w:rsidRPr="00C65F8C">
        <w:rPr>
          <w:rFonts w:ascii="Times New Roman" w:eastAsia="宋体" w:hAnsi="Times New Roman" w:cs="Times New Roman"/>
          <w:b/>
          <w:bCs/>
          <w:szCs w:val="21"/>
        </w:rPr>
        <w:t>igure 1</w:t>
      </w:r>
      <w:r w:rsidR="00C43C1B" w:rsidRPr="00C65F8C">
        <w:rPr>
          <w:rFonts w:ascii="Times New Roman" w:eastAsia="宋体" w:hAnsi="Times New Roman" w:cs="Times New Roman" w:hint="eastAsia"/>
          <w:b/>
          <w:bCs/>
          <w:szCs w:val="21"/>
        </w:rPr>
        <w:t>a</w:t>
      </w:r>
      <w:r w:rsidR="00C43C1B" w:rsidRPr="00C65F8C">
        <w:rPr>
          <w:rFonts w:ascii="Times New Roman" w:eastAsia="宋体" w:hAnsi="Times New Roman" w:cs="Times New Roman"/>
          <w:b/>
          <w:bCs/>
          <w:szCs w:val="21"/>
        </w:rPr>
        <w:t>, b</w:t>
      </w:r>
      <w:r w:rsidR="00C43C1B" w:rsidRPr="00C65F8C">
        <w:rPr>
          <w:rFonts w:ascii="Times New Roman" w:eastAsia="宋体" w:hAnsi="Times New Roman" w:cs="Times New Roman" w:hint="eastAsia"/>
          <w:szCs w:val="21"/>
        </w:rPr>
        <w:t>)</w:t>
      </w:r>
      <w:r w:rsidR="00C43C1B" w:rsidRPr="00C65F8C">
        <w:rPr>
          <w:rFonts w:ascii="Times New Roman" w:eastAsia="宋体" w:hAnsi="Times New Roman" w:cs="Times New Roman"/>
          <w:szCs w:val="21"/>
        </w:rPr>
        <w:t xml:space="preserve"> and higher activities of urease and glutamine synthetase in the </w:t>
      </w:r>
      <w:proofErr w:type="spellStart"/>
      <w:r w:rsidR="00C43C1B" w:rsidRPr="00C65F8C">
        <w:rPr>
          <w:rFonts w:ascii="Times New Roman" w:eastAsia="宋体" w:hAnsi="Times New Roman" w:cs="Times New Roman"/>
          <w:szCs w:val="21"/>
        </w:rPr>
        <w:t>cecal</w:t>
      </w:r>
      <w:proofErr w:type="spellEnd"/>
      <w:r w:rsidR="00C43C1B" w:rsidRPr="00C65F8C">
        <w:rPr>
          <w:rFonts w:ascii="Times New Roman" w:eastAsia="宋体" w:hAnsi="Times New Roman" w:cs="Times New Roman"/>
          <w:szCs w:val="21"/>
        </w:rPr>
        <w:t xml:space="preserve"> contents of FMT_MM mice (</w:t>
      </w:r>
      <w:r w:rsidR="00C43C1B" w:rsidRPr="00C65F8C">
        <w:rPr>
          <w:rFonts w:ascii="Times New Roman" w:eastAsia="宋体" w:hAnsi="Times New Roman" w:cs="Times New Roman" w:hint="eastAsia"/>
          <w:b/>
          <w:bCs/>
          <w:szCs w:val="21"/>
        </w:rPr>
        <w:t>F</w:t>
      </w:r>
      <w:r w:rsidR="00C43C1B" w:rsidRPr="00C65F8C">
        <w:rPr>
          <w:rFonts w:ascii="Times New Roman" w:eastAsia="宋体" w:hAnsi="Times New Roman" w:cs="Times New Roman"/>
          <w:b/>
          <w:bCs/>
          <w:szCs w:val="21"/>
        </w:rPr>
        <w:t>igure 1c, d</w:t>
      </w:r>
      <w:r w:rsidR="00C43C1B" w:rsidRPr="00C65F8C">
        <w:rPr>
          <w:rFonts w:ascii="Times New Roman" w:eastAsia="宋体" w:hAnsi="Times New Roman" w:cs="Times New Roman" w:hint="eastAsia"/>
          <w:szCs w:val="21"/>
        </w:rPr>
        <w:t>)</w:t>
      </w:r>
      <w:r w:rsidR="00C43C1B" w:rsidRPr="00C65F8C">
        <w:rPr>
          <w:rFonts w:ascii="Times New Roman" w:eastAsia="宋体" w:hAnsi="Times New Roman" w:cs="Times New Roman"/>
          <w:szCs w:val="21"/>
        </w:rPr>
        <w:t>. The results implied</w:t>
      </w:r>
      <w:r w:rsidR="00C43C1B" w:rsidRPr="00C65F8C">
        <w:rPr>
          <w:rFonts w:ascii="Times New Roman" w:eastAsia="宋体" w:hAnsi="Times New Roman" w:cs="Times New Roman"/>
          <w:kern w:val="0"/>
          <w:szCs w:val="21"/>
        </w:rPr>
        <w:t> that the ability of microbiota to convert urea into glutamine was stronger in the gut of FMT_MM mice.</w:t>
      </w:r>
    </w:p>
    <w:p w14:paraId="283FBAF5" w14:textId="77777777" w:rsidR="00C43C1B" w:rsidRPr="00C65F8C" w:rsidRDefault="00C43C1B" w:rsidP="002A2A3E">
      <w:pPr>
        <w:widowControl/>
        <w:shd w:val="clear" w:color="auto" w:fill="FFFFFF"/>
        <w:adjustRightInd w:val="0"/>
        <w:snapToGrid w:val="0"/>
        <w:rPr>
          <w:rFonts w:ascii="Times New Roman" w:eastAsia="宋体" w:hAnsi="Times New Roman" w:cs="Times New Roman"/>
          <w:kern w:val="0"/>
          <w:szCs w:val="21"/>
        </w:rPr>
      </w:pPr>
    </w:p>
    <w:p w14:paraId="2FF4059F" w14:textId="77777777" w:rsidR="00C43C1B" w:rsidRPr="00152DB6" w:rsidRDefault="00C43C1B" w:rsidP="002A2A3E">
      <w:pPr>
        <w:widowControl/>
        <w:shd w:val="clear" w:color="auto" w:fill="FFFFFF"/>
        <w:adjustRightInd w:val="0"/>
        <w:snapToGrid w:val="0"/>
        <w:rPr>
          <w:rFonts w:ascii="Times New Roman" w:eastAsia="宋体" w:hAnsi="Times New Roman" w:cs="Times New Roman"/>
          <w:sz w:val="18"/>
          <w:szCs w:val="18"/>
        </w:rPr>
      </w:pPr>
      <w:r w:rsidRPr="00152DB6">
        <w:rPr>
          <w:rFonts w:ascii="Times New Roman" w:eastAsia="宋体" w:hAnsi="Times New Roman" w:cs="Times New Roman"/>
          <w:b/>
          <w:bCs/>
          <w:sz w:val="18"/>
          <w:szCs w:val="18"/>
        </w:rPr>
        <w:t xml:space="preserve">Table 1. </w:t>
      </w:r>
      <w:r w:rsidRPr="00152DB6">
        <w:rPr>
          <w:rFonts w:ascii="Times New Roman" w:eastAsia="宋体" w:hAnsi="Times New Roman" w:cs="Times New Roman"/>
          <w:sz w:val="18"/>
          <w:szCs w:val="18"/>
        </w:rPr>
        <w:t>T</w:t>
      </w:r>
      <w:r w:rsidRPr="00152DB6">
        <w:rPr>
          <w:rFonts w:ascii="Times New Roman" w:eastAsia="宋体" w:hAnsi="Times New Roman" w:cs="Times New Roman" w:hint="eastAsia"/>
          <w:sz w:val="18"/>
          <w:szCs w:val="18"/>
        </w:rPr>
        <w:t>he</w:t>
      </w:r>
      <w:r w:rsidRPr="00152DB6">
        <w:rPr>
          <w:rFonts w:ascii="Times New Roman" w:eastAsia="宋体" w:hAnsi="Times New Roman" w:cs="Times New Roman"/>
          <w:sz w:val="18"/>
          <w:szCs w:val="18"/>
        </w:rPr>
        <w:t xml:space="preserve"> clinical characteristics of fecal donors.</w:t>
      </w:r>
    </w:p>
    <w:tbl>
      <w:tblPr>
        <w:tblStyle w:val="a3"/>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620"/>
        <w:gridCol w:w="658"/>
        <w:gridCol w:w="675"/>
        <w:gridCol w:w="747"/>
        <w:gridCol w:w="689"/>
        <w:gridCol w:w="1004"/>
        <w:gridCol w:w="772"/>
        <w:gridCol w:w="728"/>
        <w:gridCol w:w="563"/>
        <w:gridCol w:w="559"/>
        <w:gridCol w:w="615"/>
        <w:gridCol w:w="892"/>
      </w:tblGrid>
      <w:tr w:rsidR="00C43C1B" w:rsidRPr="00C65F8C" w14:paraId="5C075D83" w14:textId="77777777" w:rsidTr="002A7FDC">
        <w:tc>
          <w:tcPr>
            <w:tcW w:w="620" w:type="dxa"/>
            <w:tcBorders>
              <w:bottom w:val="single" w:sz="4" w:space="0" w:color="auto"/>
            </w:tcBorders>
            <w:vAlign w:val="center"/>
          </w:tcPr>
          <w:p w14:paraId="3F887C94"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Fecal donor</w:t>
            </w:r>
          </w:p>
        </w:tc>
        <w:tc>
          <w:tcPr>
            <w:tcW w:w="658" w:type="dxa"/>
            <w:tcBorders>
              <w:bottom w:val="single" w:sz="4" w:space="0" w:color="auto"/>
            </w:tcBorders>
            <w:vAlign w:val="center"/>
          </w:tcPr>
          <w:p w14:paraId="72200F1B"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Gender</w:t>
            </w:r>
          </w:p>
        </w:tc>
        <w:tc>
          <w:tcPr>
            <w:tcW w:w="675" w:type="dxa"/>
            <w:tcBorders>
              <w:bottom w:val="single" w:sz="4" w:space="0" w:color="auto"/>
            </w:tcBorders>
            <w:vAlign w:val="center"/>
          </w:tcPr>
          <w:p w14:paraId="52F07ABD"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Age (years)</w:t>
            </w:r>
          </w:p>
        </w:tc>
        <w:tc>
          <w:tcPr>
            <w:tcW w:w="747" w:type="dxa"/>
            <w:tcBorders>
              <w:bottom w:val="single" w:sz="4" w:space="0" w:color="auto"/>
            </w:tcBorders>
            <w:vAlign w:val="center"/>
          </w:tcPr>
          <w:p w14:paraId="6EA18F48"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BMI (kg/m2)</w:t>
            </w:r>
          </w:p>
        </w:tc>
        <w:tc>
          <w:tcPr>
            <w:tcW w:w="689" w:type="dxa"/>
            <w:tcBorders>
              <w:bottom w:val="single" w:sz="4" w:space="0" w:color="auto"/>
            </w:tcBorders>
            <w:vAlign w:val="center"/>
          </w:tcPr>
          <w:p w14:paraId="4702A934"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Urease (U/L)</w:t>
            </w:r>
          </w:p>
        </w:tc>
        <w:tc>
          <w:tcPr>
            <w:tcW w:w="1004" w:type="dxa"/>
            <w:tcBorders>
              <w:bottom w:val="single" w:sz="4" w:space="0" w:color="auto"/>
            </w:tcBorders>
            <w:vAlign w:val="center"/>
          </w:tcPr>
          <w:p w14:paraId="4C220708"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Glutamine synthetase (U/L)</w:t>
            </w:r>
          </w:p>
        </w:tc>
        <w:tc>
          <w:tcPr>
            <w:tcW w:w="772" w:type="dxa"/>
            <w:tcBorders>
              <w:bottom w:val="single" w:sz="4" w:space="0" w:color="auto"/>
            </w:tcBorders>
            <w:vAlign w:val="center"/>
          </w:tcPr>
          <w:p w14:paraId="5074A143"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Plasma cell ratio (%)</w:t>
            </w:r>
          </w:p>
        </w:tc>
        <w:tc>
          <w:tcPr>
            <w:tcW w:w="728" w:type="dxa"/>
            <w:tcBorders>
              <w:bottom w:val="single" w:sz="4" w:space="0" w:color="auto"/>
            </w:tcBorders>
            <w:vAlign w:val="center"/>
          </w:tcPr>
          <w:p w14:paraId="255B5BA3"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Subtype</w:t>
            </w:r>
          </w:p>
        </w:tc>
        <w:tc>
          <w:tcPr>
            <w:tcW w:w="563" w:type="dxa"/>
            <w:tcBorders>
              <w:bottom w:val="single" w:sz="4" w:space="0" w:color="auto"/>
            </w:tcBorders>
            <w:vAlign w:val="center"/>
          </w:tcPr>
          <w:p w14:paraId="3CD73CF4"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ISS stage</w:t>
            </w:r>
          </w:p>
        </w:tc>
        <w:tc>
          <w:tcPr>
            <w:tcW w:w="559" w:type="dxa"/>
            <w:tcBorders>
              <w:bottom w:val="single" w:sz="4" w:space="0" w:color="auto"/>
            </w:tcBorders>
            <w:vAlign w:val="bottom"/>
          </w:tcPr>
          <w:p w14:paraId="284A3415"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DS stage</w:t>
            </w:r>
          </w:p>
        </w:tc>
        <w:tc>
          <w:tcPr>
            <w:tcW w:w="615" w:type="dxa"/>
            <w:tcBorders>
              <w:bottom w:val="single" w:sz="4" w:space="0" w:color="auto"/>
            </w:tcBorders>
            <w:vAlign w:val="bottom"/>
          </w:tcPr>
          <w:p w14:paraId="41BCE27E"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Urea (mM)</w:t>
            </w:r>
          </w:p>
        </w:tc>
        <w:tc>
          <w:tcPr>
            <w:tcW w:w="892" w:type="dxa"/>
            <w:tcBorders>
              <w:bottom w:val="single" w:sz="4" w:space="0" w:color="auto"/>
            </w:tcBorders>
            <w:vAlign w:val="bottom"/>
          </w:tcPr>
          <w:p w14:paraId="0649E5F3"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Creatinine (</w:t>
            </w:r>
            <w:proofErr w:type="spellStart"/>
            <w:r w:rsidRPr="00C65F8C">
              <w:rPr>
                <w:rFonts w:ascii="Times New Roman" w:hAnsi="Times New Roman" w:cs="Times New Roman"/>
                <w:sz w:val="15"/>
                <w:szCs w:val="15"/>
              </w:rPr>
              <w:t>uM</w:t>
            </w:r>
            <w:proofErr w:type="spellEnd"/>
            <w:r w:rsidRPr="00C65F8C">
              <w:rPr>
                <w:rFonts w:ascii="Times New Roman" w:hAnsi="Times New Roman" w:cs="Times New Roman"/>
                <w:sz w:val="15"/>
                <w:szCs w:val="15"/>
              </w:rPr>
              <w:t>)</w:t>
            </w:r>
          </w:p>
        </w:tc>
      </w:tr>
      <w:tr w:rsidR="00C43C1B" w:rsidRPr="00C65F8C" w14:paraId="3126C407" w14:textId="77777777" w:rsidTr="002A7FDC">
        <w:tc>
          <w:tcPr>
            <w:tcW w:w="620" w:type="dxa"/>
            <w:tcBorders>
              <w:bottom w:val="nil"/>
            </w:tcBorders>
            <w:vAlign w:val="center"/>
          </w:tcPr>
          <w:p w14:paraId="219B5A4F"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MM</w:t>
            </w:r>
          </w:p>
        </w:tc>
        <w:tc>
          <w:tcPr>
            <w:tcW w:w="658" w:type="dxa"/>
            <w:tcBorders>
              <w:bottom w:val="nil"/>
            </w:tcBorders>
            <w:vAlign w:val="center"/>
          </w:tcPr>
          <w:p w14:paraId="5FE45BDE"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male</w:t>
            </w:r>
          </w:p>
        </w:tc>
        <w:tc>
          <w:tcPr>
            <w:tcW w:w="675" w:type="dxa"/>
            <w:tcBorders>
              <w:bottom w:val="nil"/>
            </w:tcBorders>
            <w:vAlign w:val="center"/>
          </w:tcPr>
          <w:p w14:paraId="56A54550"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58</w:t>
            </w:r>
          </w:p>
        </w:tc>
        <w:tc>
          <w:tcPr>
            <w:tcW w:w="747" w:type="dxa"/>
            <w:tcBorders>
              <w:bottom w:val="nil"/>
            </w:tcBorders>
            <w:vAlign w:val="center"/>
          </w:tcPr>
          <w:p w14:paraId="1D60FCF5"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21.05</w:t>
            </w:r>
          </w:p>
        </w:tc>
        <w:tc>
          <w:tcPr>
            <w:tcW w:w="689" w:type="dxa"/>
            <w:tcBorders>
              <w:bottom w:val="nil"/>
            </w:tcBorders>
            <w:vAlign w:val="center"/>
          </w:tcPr>
          <w:p w14:paraId="2CD51640"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 xml:space="preserve">51.23 </w:t>
            </w:r>
          </w:p>
        </w:tc>
        <w:tc>
          <w:tcPr>
            <w:tcW w:w="1004" w:type="dxa"/>
            <w:tcBorders>
              <w:bottom w:val="nil"/>
            </w:tcBorders>
            <w:vAlign w:val="center"/>
          </w:tcPr>
          <w:p w14:paraId="05C36786"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 xml:space="preserve">36.49 </w:t>
            </w:r>
          </w:p>
        </w:tc>
        <w:tc>
          <w:tcPr>
            <w:tcW w:w="772" w:type="dxa"/>
            <w:tcBorders>
              <w:bottom w:val="nil"/>
            </w:tcBorders>
            <w:vAlign w:val="center"/>
          </w:tcPr>
          <w:p w14:paraId="34674417"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40.5</w:t>
            </w:r>
          </w:p>
        </w:tc>
        <w:tc>
          <w:tcPr>
            <w:tcW w:w="728" w:type="dxa"/>
            <w:tcBorders>
              <w:bottom w:val="nil"/>
            </w:tcBorders>
            <w:vAlign w:val="center"/>
          </w:tcPr>
          <w:p w14:paraId="78ABF9F9"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 xml:space="preserve">IgG </w:t>
            </w:r>
            <w:proofErr w:type="spellStart"/>
            <w:r w:rsidRPr="00C65F8C">
              <w:rPr>
                <w:rFonts w:ascii="Times New Roman" w:hAnsi="Times New Roman" w:cs="Times New Roman"/>
                <w:sz w:val="15"/>
                <w:szCs w:val="15"/>
              </w:rPr>
              <w:t>κappa</w:t>
            </w:r>
            <w:proofErr w:type="spellEnd"/>
          </w:p>
        </w:tc>
        <w:tc>
          <w:tcPr>
            <w:tcW w:w="563" w:type="dxa"/>
            <w:tcBorders>
              <w:bottom w:val="nil"/>
            </w:tcBorders>
            <w:vAlign w:val="center"/>
          </w:tcPr>
          <w:p w14:paraId="78A1BA91"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III</w:t>
            </w:r>
          </w:p>
        </w:tc>
        <w:tc>
          <w:tcPr>
            <w:tcW w:w="559" w:type="dxa"/>
            <w:tcBorders>
              <w:bottom w:val="nil"/>
            </w:tcBorders>
            <w:vAlign w:val="center"/>
          </w:tcPr>
          <w:p w14:paraId="6F7F4947"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IIIA</w:t>
            </w:r>
          </w:p>
        </w:tc>
        <w:tc>
          <w:tcPr>
            <w:tcW w:w="615" w:type="dxa"/>
            <w:tcBorders>
              <w:bottom w:val="nil"/>
            </w:tcBorders>
            <w:vAlign w:val="center"/>
          </w:tcPr>
          <w:p w14:paraId="012B2BB2"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4.27</w:t>
            </w:r>
          </w:p>
        </w:tc>
        <w:tc>
          <w:tcPr>
            <w:tcW w:w="892" w:type="dxa"/>
            <w:tcBorders>
              <w:bottom w:val="nil"/>
            </w:tcBorders>
            <w:vAlign w:val="center"/>
          </w:tcPr>
          <w:p w14:paraId="70380BBA"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92</w:t>
            </w:r>
          </w:p>
        </w:tc>
      </w:tr>
      <w:tr w:rsidR="00C43C1B" w:rsidRPr="00C65F8C" w14:paraId="7EF51A1B" w14:textId="77777777" w:rsidTr="002A7FDC">
        <w:tc>
          <w:tcPr>
            <w:tcW w:w="620" w:type="dxa"/>
            <w:tcBorders>
              <w:top w:val="nil"/>
            </w:tcBorders>
            <w:vAlign w:val="center"/>
          </w:tcPr>
          <w:p w14:paraId="373AFD50"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HC</w:t>
            </w:r>
          </w:p>
        </w:tc>
        <w:tc>
          <w:tcPr>
            <w:tcW w:w="658" w:type="dxa"/>
            <w:tcBorders>
              <w:top w:val="nil"/>
            </w:tcBorders>
            <w:vAlign w:val="center"/>
          </w:tcPr>
          <w:p w14:paraId="6D14A573"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male</w:t>
            </w:r>
          </w:p>
        </w:tc>
        <w:tc>
          <w:tcPr>
            <w:tcW w:w="675" w:type="dxa"/>
            <w:tcBorders>
              <w:top w:val="nil"/>
            </w:tcBorders>
            <w:vAlign w:val="center"/>
          </w:tcPr>
          <w:p w14:paraId="4C1C203E"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55</w:t>
            </w:r>
          </w:p>
        </w:tc>
        <w:tc>
          <w:tcPr>
            <w:tcW w:w="747" w:type="dxa"/>
            <w:tcBorders>
              <w:top w:val="nil"/>
            </w:tcBorders>
            <w:vAlign w:val="center"/>
          </w:tcPr>
          <w:p w14:paraId="6E0DC0EA"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24.81</w:t>
            </w:r>
          </w:p>
        </w:tc>
        <w:tc>
          <w:tcPr>
            <w:tcW w:w="689" w:type="dxa"/>
            <w:tcBorders>
              <w:top w:val="nil"/>
            </w:tcBorders>
            <w:vAlign w:val="center"/>
          </w:tcPr>
          <w:p w14:paraId="20AEBB69"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 xml:space="preserve">8.19 </w:t>
            </w:r>
          </w:p>
        </w:tc>
        <w:tc>
          <w:tcPr>
            <w:tcW w:w="1004" w:type="dxa"/>
            <w:tcBorders>
              <w:top w:val="nil"/>
            </w:tcBorders>
            <w:vAlign w:val="center"/>
          </w:tcPr>
          <w:p w14:paraId="6A585BEC"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 xml:space="preserve">6.68 </w:t>
            </w:r>
          </w:p>
        </w:tc>
        <w:tc>
          <w:tcPr>
            <w:tcW w:w="772" w:type="dxa"/>
            <w:tcBorders>
              <w:top w:val="nil"/>
            </w:tcBorders>
            <w:vAlign w:val="center"/>
          </w:tcPr>
          <w:p w14:paraId="5ACB5017"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w:t>
            </w:r>
          </w:p>
        </w:tc>
        <w:tc>
          <w:tcPr>
            <w:tcW w:w="728" w:type="dxa"/>
            <w:tcBorders>
              <w:top w:val="nil"/>
            </w:tcBorders>
            <w:vAlign w:val="center"/>
          </w:tcPr>
          <w:p w14:paraId="44CC56A6"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w:t>
            </w:r>
          </w:p>
        </w:tc>
        <w:tc>
          <w:tcPr>
            <w:tcW w:w="563" w:type="dxa"/>
            <w:tcBorders>
              <w:top w:val="nil"/>
            </w:tcBorders>
            <w:vAlign w:val="center"/>
          </w:tcPr>
          <w:p w14:paraId="6E250567"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w:t>
            </w:r>
          </w:p>
        </w:tc>
        <w:tc>
          <w:tcPr>
            <w:tcW w:w="559" w:type="dxa"/>
            <w:tcBorders>
              <w:top w:val="nil"/>
            </w:tcBorders>
            <w:vAlign w:val="center"/>
          </w:tcPr>
          <w:p w14:paraId="1D4D3E3A"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w:t>
            </w:r>
          </w:p>
        </w:tc>
        <w:tc>
          <w:tcPr>
            <w:tcW w:w="615" w:type="dxa"/>
            <w:tcBorders>
              <w:top w:val="nil"/>
            </w:tcBorders>
            <w:vAlign w:val="center"/>
          </w:tcPr>
          <w:p w14:paraId="3758E9A6"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w:t>
            </w:r>
          </w:p>
        </w:tc>
        <w:tc>
          <w:tcPr>
            <w:tcW w:w="892" w:type="dxa"/>
            <w:tcBorders>
              <w:top w:val="nil"/>
            </w:tcBorders>
            <w:vAlign w:val="center"/>
          </w:tcPr>
          <w:p w14:paraId="69085015" w14:textId="77777777" w:rsidR="00C43C1B" w:rsidRPr="00C65F8C" w:rsidRDefault="00C43C1B" w:rsidP="002A7FDC">
            <w:pPr>
              <w:widowControl/>
              <w:adjustRightInd w:val="0"/>
              <w:snapToGrid w:val="0"/>
              <w:rPr>
                <w:rFonts w:ascii="Times New Roman" w:eastAsia="宋体" w:hAnsi="Times New Roman" w:cs="Times New Roman"/>
                <w:sz w:val="15"/>
                <w:szCs w:val="15"/>
              </w:rPr>
            </w:pPr>
            <w:r w:rsidRPr="00C65F8C">
              <w:rPr>
                <w:rFonts w:ascii="Times New Roman" w:hAnsi="Times New Roman" w:cs="Times New Roman"/>
                <w:sz w:val="15"/>
                <w:szCs w:val="15"/>
              </w:rPr>
              <w:t>/</w:t>
            </w:r>
          </w:p>
        </w:tc>
      </w:tr>
    </w:tbl>
    <w:p w14:paraId="1BF76DE7" w14:textId="77777777" w:rsidR="00C43C1B" w:rsidRPr="00C65F8C" w:rsidRDefault="00C43C1B" w:rsidP="002A769C">
      <w:pPr>
        <w:widowControl/>
        <w:shd w:val="clear" w:color="auto" w:fill="FFFFFF"/>
        <w:adjustRightInd w:val="0"/>
        <w:snapToGrid w:val="0"/>
        <w:spacing w:line="480" w:lineRule="auto"/>
        <w:rPr>
          <w:rFonts w:ascii="Times New Roman" w:eastAsia="宋体" w:hAnsi="Times New Roman" w:cs="Times New Roman"/>
          <w:szCs w:val="21"/>
        </w:rPr>
      </w:pPr>
    </w:p>
    <w:p w14:paraId="7E400690" w14:textId="77777777" w:rsidR="00C43C1B" w:rsidRPr="00C65F8C" w:rsidRDefault="00C43C1B" w:rsidP="002A769C">
      <w:pPr>
        <w:widowControl/>
        <w:shd w:val="clear" w:color="auto" w:fill="FFFFFF"/>
        <w:adjustRightInd w:val="0"/>
        <w:snapToGrid w:val="0"/>
        <w:spacing w:line="480" w:lineRule="auto"/>
        <w:jc w:val="center"/>
        <w:rPr>
          <w:rFonts w:ascii="Times New Roman" w:eastAsia="宋体" w:hAnsi="Times New Roman" w:cs="Times New Roman"/>
          <w:szCs w:val="21"/>
        </w:rPr>
      </w:pPr>
      <w:r w:rsidRPr="00C65F8C">
        <w:rPr>
          <w:rFonts w:ascii="Times New Roman" w:eastAsia="宋体" w:hAnsi="Times New Roman" w:cs="Times New Roman"/>
          <w:noProof/>
          <w:szCs w:val="21"/>
        </w:rPr>
        <w:lastRenderedPageBreak/>
        <w:drawing>
          <wp:inline distT="0" distB="0" distL="0" distR="0" wp14:anchorId="01E643A2" wp14:editId="4E85DFCC">
            <wp:extent cx="4219506" cy="333512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46295" cy="3435337"/>
                    </a:xfrm>
                    <a:prstGeom prst="rect">
                      <a:avLst/>
                    </a:prstGeom>
                    <a:noFill/>
                  </pic:spPr>
                </pic:pic>
              </a:graphicData>
            </a:graphic>
          </wp:inline>
        </w:drawing>
      </w:r>
    </w:p>
    <w:p w14:paraId="7948C5BC" w14:textId="77777777" w:rsidR="00C43C1B" w:rsidRPr="00152DB6" w:rsidRDefault="00C43C1B" w:rsidP="002A769C">
      <w:pPr>
        <w:adjustRightInd w:val="0"/>
        <w:snapToGrid w:val="0"/>
        <w:spacing w:line="480" w:lineRule="auto"/>
        <w:rPr>
          <w:rFonts w:ascii="Times New Roman" w:hAnsi="Times New Roman" w:cs="Times New Roman"/>
          <w:sz w:val="18"/>
          <w:szCs w:val="18"/>
        </w:rPr>
      </w:pPr>
      <w:r w:rsidRPr="00152DB6">
        <w:rPr>
          <w:rFonts w:ascii="Times New Roman" w:eastAsia="宋体" w:hAnsi="Times New Roman" w:cs="Times New Roman" w:hint="eastAsia"/>
          <w:b/>
          <w:bCs/>
          <w:sz w:val="18"/>
          <w:szCs w:val="18"/>
        </w:rPr>
        <w:t>F</w:t>
      </w:r>
      <w:r w:rsidRPr="00152DB6">
        <w:rPr>
          <w:rFonts w:ascii="Times New Roman" w:eastAsia="宋体" w:hAnsi="Times New Roman" w:cs="Times New Roman"/>
          <w:b/>
          <w:bCs/>
          <w:sz w:val="18"/>
          <w:szCs w:val="18"/>
        </w:rPr>
        <w:t>igure 1</w:t>
      </w:r>
      <w:r w:rsidRPr="00152DB6">
        <w:rPr>
          <w:rFonts w:ascii="Times New Roman" w:eastAsia="宋体" w:hAnsi="Times New Roman" w:cs="Times New Roman"/>
          <w:sz w:val="18"/>
          <w:szCs w:val="18"/>
        </w:rPr>
        <w:t xml:space="preserve">. FMT mice experiments without inducing MM tumorigenesis. </w:t>
      </w:r>
      <w:r w:rsidRPr="00152DB6">
        <w:rPr>
          <w:rFonts w:ascii="Times New Roman" w:eastAsia="宋体" w:hAnsi="Times New Roman" w:cs="Times New Roman"/>
          <w:b/>
          <w:bCs/>
          <w:sz w:val="18"/>
          <w:szCs w:val="18"/>
        </w:rPr>
        <w:t>a,</w:t>
      </w:r>
      <w:r w:rsidRPr="00152DB6">
        <w:rPr>
          <w:rFonts w:ascii="Times New Roman" w:eastAsia="宋体" w:hAnsi="Times New Roman" w:cs="Times New Roman"/>
          <w:sz w:val="18"/>
          <w:szCs w:val="18"/>
        </w:rPr>
        <w:t xml:space="preserve"> </w:t>
      </w:r>
      <w:r w:rsidRPr="00152DB6">
        <w:rPr>
          <w:rFonts w:ascii="Times New Roman" w:hAnsi="Times New Roman" w:cs="Times New Roman"/>
          <w:b/>
          <w:sz w:val="18"/>
          <w:szCs w:val="18"/>
        </w:rPr>
        <w:t xml:space="preserve">b </w:t>
      </w:r>
      <w:proofErr w:type="gramStart"/>
      <w:r w:rsidRPr="00152DB6">
        <w:rPr>
          <w:rFonts w:ascii="Times New Roman" w:hAnsi="Times New Roman" w:cs="Times New Roman"/>
          <w:bCs/>
          <w:sz w:val="18"/>
          <w:szCs w:val="18"/>
        </w:rPr>
        <w:t>T</w:t>
      </w:r>
      <w:r w:rsidRPr="00152DB6">
        <w:rPr>
          <w:rFonts w:ascii="Times New Roman" w:hAnsi="Times New Roman" w:cs="Times New Roman"/>
          <w:sz w:val="18"/>
          <w:szCs w:val="18"/>
        </w:rPr>
        <w:t>he</w:t>
      </w:r>
      <w:proofErr w:type="gramEnd"/>
      <w:r w:rsidRPr="00152DB6">
        <w:rPr>
          <w:rFonts w:ascii="Times New Roman" w:hAnsi="Times New Roman" w:cs="Times New Roman"/>
          <w:sz w:val="18"/>
          <w:szCs w:val="18"/>
        </w:rPr>
        <w:t xml:space="preserve"> concentration of glutamine in the serum (</w:t>
      </w:r>
      <w:r w:rsidRPr="00152DB6">
        <w:rPr>
          <w:rFonts w:ascii="Times New Roman" w:hAnsi="Times New Roman" w:cs="Times New Roman"/>
          <w:b/>
          <w:bCs/>
          <w:sz w:val="18"/>
          <w:szCs w:val="18"/>
        </w:rPr>
        <w:t>a</w:t>
      </w:r>
      <w:r w:rsidRPr="00152DB6">
        <w:rPr>
          <w:rFonts w:ascii="Times New Roman" w:hAnsi="Times New Roman" w:cs="Times New Roman"/>
          <w:sz w:val="18"/>
          <w:szCs w:val="18"/>
        </w:rPr>
        <w:t xml:space="preserve">) and </w:t>
      </w:r>
      <w:proofErr w:type="spellStart"/>
      <w:r w:rsidRPr="00152DB6">
        <w:rPr>
          <w:rFonts w:ascii="Times New Roman" w:hAnsi="Times New Roman" w:cs="Times New Roman"/>
          <w:sz w:val="18"/>
          <w:szCs w:val="18"/>
        </w:rPr>
        <w:t>cecal</w:t>
      </w:r>
      <w:proofErr w:type="spellEnd"/>
      <w:r w:rsidRPr="00152DB6">
        <w:rPr>
          <w:rFonts w:ascii="Times New Roman" w:hAnsi="Times New Roman" w:cs="Times New Roman"/>
          <w:sz w:val="18"/>
          <w:szCs w:val="18"/>
        </w:rPr>
        <w:t xml:space="preserve"> contents (</w:t>
      </w:r>
      <w:r w:rsidRPr="00152DB6">
        <w:rPr>
          <w:rFonts w:ascii="Times New Roman" w:hAnsi="Times New Roman" w:cs="Times New Roman"/>
          <w:b/>
          <w:bCs/>
          <w:sz w:val="18"/>
          <w:szCs w:val="18"/>
        </w:rPr>
        <w:t>b</w:t>
      </w:r>
      <w:r w:rsidRPr="00152DB6">
        <w:rPr>
          <w:rFonts w:ascii="Times New Roman" w:hAnsi="Times New Roman" w:cs="Times New Roman"/>
          <w:sz w:val="18"/>
          <w:szCs w:val="18"/>
        </w:rPr>
        <w:t xml:space="preserve">) of PBS, FMT_HC, and FMT_MM mice, respectively. </w:t>
      </w:r>
      <w:r w:rsidRPr="00152DB6">
        <w:rPr>
          <w:rFonts w:ascii="Times New Roman" w:hAnsi="Times New Roman" w:cs="Times New Roman"/>
          <w:b/>
          <w:sz w:val="18"/>
          <w:szCs w:val="18"/>
        </w:rPr>
        <w:t>c</w:t>
      </w:r>
      <w:r w:rsidRPr="00152DB6">
        <w:rPr>
          <w:rFonts w:ascii="Times New Roman" w:hAnsi="Times New Roman" w:cs="Times New Roman"/>
          <w:sz w:val="18"/>
          <w:szCs w:val="18"/>
        </w:rPr>
        <w:t>,</w:t>
      </w:r>
      <w:r w:rsidRPr="00152DB6">
        <w:rPr>
          <w:rFonts w:ascii="Times New Roman" w:hAnsi="Times New Roman" w:cs="Times New Roman"/>
          <w:b/>
          <w:sz w:val="18"/>
          <w:szCs w:val="18"/>
        </w:rPr>
        <w:t xml:space="preserve"> d</w:t>
      </w:r>
      <w:r w:rsidRPr="00152DB6">
        <w:rPr>
          <w:rFonts w:ascii="Times New Roman" w:hAnsi="Times New Roman" w:cs="Times New Roman"/>
          <w:sz w:val="18"/>
          <w:szCs w:val="18"/>
        </w:rPr>
        <w:t xml:space="preserve"> </w:t>
      </w:r>
      <w:proofErr w:type="gramStart"/>
      <w:r w:rsidRPr="00152DB6">
        <w:rPr>
          <w:rFonts w:ascii="Times New Roman" w:hAnsi="Times New Roman" w:cs="Times New Roman"/>
          <w:sz w:val="18"/>
          <w:szCs w:val="18"/>
        </w:rPr>
        <w:t>The</w:t>
      </w:r>
      <w:proofErr w:type="gramEnd"/>
      <w:r w:rsidRPr="00152DB6">
        <w:rPr>
          <w:rFonts w:ascii="Times New Roman" w:hAnsi="Times New Roman" w:cs="Times New Roman"/>
          <w:sz w:val="18"/>
          <w:szCs w:val="18"/>
        </w:rPr>
        <w:t xml:space="preserve"> activities of </w:t>
      </w:r>
      <w:proofErr w:type="spellStart"/>
      <w:r w:rsidRPr="00152DB6">
        <w:rPr>
          <w:rFonts w:ascii="Times New Roman" w:hAnsi="Times New Roman" w:cs="Times New Roman"/>
          <w:sz w:val="18"/>
          <w:szCs w:val="18"/>
        </w:rPr>
        <w:t>cecal</w:t>
      </w:r>
      <w:proofErr w:type="spellEnd"/>
      <w:r w:rsidRPr="00152DB6">
        <w:rPr>
          <w:rFonts w:ascii="Times New Roman" w:hAnsi="Times New Roman" w:cs="Times New Roman"/>
          <w:sz w:val="18"/>
          <w:szCs w:val="18"/>
        </w:rPr>
        <w:t xml:space="preserve"> urease (</w:t>
      </w:r>
      <w:r w:rsidRPr="00152DB6">
        <w:rPr>
          <w:rFonts w:ascii="Times New Roman" w:hAnsi="Times New Roman" w:cs="Times New Roman"/>
          <w:b/>
          <w:sz w:val="18"/>
          <w:szCs w:val="18"/>
        </w:rPr>
        <w:t>c</w:t>
      </w:r>
      <w:r w:rsidRPr="00152DB6">
        <w:rPr>
          <w:rFonts w:ascii="Times New Roman" w:hAnsi="Times New Roman" w:cs="Times New Roman"/>
          <w:sz w:val="18"/>
          <w:szCs w:val="18"/>
        </w:rPr>
        <w:t>) and glutamine synthase (</w:t>
      </w:r>
      <w:r w:rsidRPr="00152DB6">
        <w:rPr>
          <w:rFonts w:ascii="Times New Roman" w:hAnsi="Times New Roman" w:cs="Times New Roman"/>
          <w:b/>
          <w:sz w:val="18"/>
          <w:szCs w:val="18"/>
        </w:rPr>
        <w:t>d</w:t>
      </w:r>
      <w:r w:rsidRPr="00152DB6">
        <w:rPr>
          <w:rFonts w:ascii="Times New Roman" w:hAnsi="Times New Roman" w:cs="Times New Roman"/>
          <w:sz w:val="18"/>
          <w:szCs w:val="18"/>
        </w:rPr>
        <w:t xml:space="preserve">) in the </w:t>
      </w:r>
      <w:proofErr w:type="spellStart"/>
      <w:r w:rsidRPr="00152DB6">
        <w:rPr>
          <w:rFonts w:ascii="Times New Roman" w:hAnsi="Times New Roman" w:cs="Times New Roman"/>
          <w:sz w:val="18"/>
          <w:szCs w:val="18"/>
        </w:rPr>
        <w:t>cecal</w:t>
      </w:r>
      <w:proofErr w:type="spellEnd"/>
      <w:r w:rsidRPr="00152DB6">
        <w:rPr>
          <w:rFonts w:ascii="Times New Roman" w:hAnsi="Times New Roman" w:cs="Times New Roman"/>
          <w:sz w:val="18"/>
          <w:szCs w:val="18"/>
        </w:rPr>
        <w:t xml:space="preserve"> contents of PBS, FMT_HC, and FMT_MM mice, respectively. </w:t>
      </w:r>
      <w:r w:rsidRPr="00152DB6">
        <w:rPr>
          <w:rFonts w:ascii="Times New Roman" w:hAnsi="Times New Roman" w:cs="Times New Roman"/>
          <w:i/>
          <w:sz w:val="18"/>
          <w:szCs w:val="18"/>
        </w:rPr>
        <w:t>P</w:t>
      </w:r>
      <w:r w:rsidRPr="00152DB6">
        <w:rPr>
          <w:rFonts w:ascii="Times New Roman" w:hAnsi="Times New Roman" w:cs="Times New Roman"/>
          <w:sz w:val="18"/>
          <w:szCs w:val="18"/>
        </w:rPr>
        <w:t xml:space="preserve">-value was determined by using two-tailed unpaired t-test. * </w:t>
      </w:r>
      <w:r w:rsidRPr="00152DB6">
        <w:rPr>
          <w:rFonts w:ascii="Times New Roman" w:hAnsi="Times New Roman" w:cs="Times New Roman"/>
          <w:i/>
          <w:sz w:val="18"/>
          <w:szCs w:val="18"/>
        </w:rPr>
        <w:t>P</w:t>
      </w:r>
      <w:r w:rsidRPr="00152DB6">
        <w:rPr>
          <w:rFonts w:ascii="Times New Roman" w:hAnsi="Times New Roman" w:cs="Times New Roman"/>
          <w:sz w:val="18"/>
          <w:szCs w:val="18"/>
        </w:rPr>
        <w:t xml:space="preserve">&lt;0.05, ** </w:t>
      </w:r>
      <w:r w:rsidRPr="00152DB6">
        <w:rPr>
          <w:rFonts w:ascii="Times New Roman" w:hAnsi="Times New Roman" w:cs="Times New Roman"/>
          <w:i/>
          <w:sz w:val="18"/>
          <w:szCs w:val="18"/>
        </w:rPr>
        <w:t>P</w:t>
      </w:r>
      <w:r w:rsidRPr="00152DB6">
        <w:rPr>
          <w:rFonts w:ascii="Times New Roman" w:hAnsi="Times New Roman" w:cs="Times New Roman"/>
          <w:sz w:val="18"/>
          <w:szCs w:val="18"/>
        </w:rPr>
        <w:t xml:space="preserve">&lt;0.01, *** </w:t>
      </w:r>
      <w:r w:rsidRPr="00152DB6">
        <w:rPr>
          <w:rFonts w:ascii="Times New Roman" w:hAnsi="Times New Roman" w:cs="Times New Roman"/>
          <w:i/>
          <w:sz w:val="18"/>
          <w:szCs w:val="18"/>
        </w:rPr>
        <w:t>P</w:t>
      </w:r>
      <w:r w:rsidRPr="00152DB6">
        <w:rPr>
          <w:rFonts w:ascii="Times New Roman" w:hAnsi="Times New Roman" w:cs="Times New Roman"/>
          <w:sz w:val="18"/>
          <w:szCs w:val="18"/>
        </w:rPr>
        <w:t>&lt;0.001.</w:t>
      </w:r>
    </w:p>
    <w:p w14:paraId="34D98E2A" w14:textId="192FAB4A" w:rsidR="007B7A34" w:rsidRDefault="007B7A34" w:rsidP="002A769C">
      <w:pPr>
        <w:adjustRightInd w:val="0"/>
        <w:snapToGrid w:val="0"/>
        <w:spacing w:line="480" w:lineRule="auto"/>
      </w:pPr>
    </w:p>
    <w:sectPr w:rsidR="007B7A3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286D5" w14:textId="77777777" w:rsidR="006917F9" w:rsidRDefault="006917F9" w:rsidP="006917F9">
      <w:r>
        <w:separator/>
      </w:r>
    </w:p>
  </w:endnote>
  <w:endnote w:type="continuationSeparator" w:id="0">
    <w:p w14:paraId="2197084A" w14:textId="77777777" w:rsidR="006917F9" w:rsidRDefault="006917F9" w:rsidP="00691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D86E0E" w14:textId="77777777" w:rsidR="006917F9" w:rsidRDefault="006917F9" w:rsidP="006917F9">
      <w:r>
        <w:separator/>
      </w:r>
    </w:p>
  </w:footnote>
  <w:footnote w:type="continuationSeparator" w:id="0">
    <w:p w14:paraId="379E0C96" w14:textId="77777777" w:rsidR="006917F9" w:rsidRDefault="006917F9" w:rsidP="006917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5FB7"/>
    <w:rsid w:val="00006A64"/>
    <w:rsid w:val="000E5221"/>
    <w:rsid w:val="000F5AAA"/>
    <w:rsid w:val="00120F37"/>
    <w:rsid w:val="001B12D4"/>
    <w:rsid w:val="001C1375"/>
    <w:rsid w:val="001E2569"/>
    <w:rsid w:val="002A2A3E"/>
    <w:rsid w:val="002A769C"/>
    <w:rsid w:val="002A7FDC"/>
    <w:rsid w:val="002D6CE6"/>
    <w:rsid w:val="00305FB7"/>
    <w:rsid w:val="003134A4"/>
    <w:rsid w:val="00364330"/>
    <w:rsid w:val="003B2882"/>
    <w:rsid w:val="00444F39"/>
    <w:rsid w:val="005118B8"/>
    <w:rsid w:val="00583E58"/>
    <w:rsid w:val="00595C02"/>
    <w:rsid w:val="006917F9"/>
    <w:rsid w:val="006B2DAB"/>
    <w:rsid w:val="00723E45"/>
    <w:rsid w:val="007B7A34"/>
    <w:rsid w:val="007D27A9"/>
    <w:rsid w:val="009E6004"/>
    <w:rsid w:val="00A54AE0"/>
    <w:rsid w:val="00A83A1F"/>
    <w:rsid w:val="00AE7F83"/>
    <w:rsid w:val="00B33D2A"/>
    <w:rsid w:val="00B52BED"/>
    <w:rsid w:val="00C05F88"/>
    <w:rsid w:val="00C43C1B"/>
    <w:rsid w:val="00C86FB0"/>
    <w:rsid w:val="00CA5AA2"/>
    <w:rsid w:val="00D37723"/>
    <w:rsid w:val="00E70278"/>
    <w:rsid w:val="00E8617E"/>
    <w:rsid w:val="00EA18C9"/>
    <w:rsid w:val="00FB7D9F"/>
    <w:rsid w:val="00FD3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7AD28C"/>
  <w15:docId w15:val="{572FF9FE-33C3-44B0-9F87-E73793B8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6A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06A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06A64"/>
    <w:rPr>
      <w:sz w:val="18"/>
      <w:szCs w:val="18"/>
    </w:rPr>
  </w:style>
  <w:style w:type="character" w:customStyle="1" w:styleId="a5">
    <w:name w:val="批注框文本 字符"/>
    <w:basedOn w:val="a0"/>
    <w:link w:val="a4"/>
    <w:uiPriority w:val="99"/>
    <w:semiHidden/>
    <w:rsid w:val="00006A64"/>
    <w:rPr>
      <w:sz w:val="18"/>
      <w:szCs w:val="18"/>
    </w:rPr>
  </w:style>
  <w:style w:type="paragraph" w:styleId="a6">
    <w:name w:val="header"/>
    <w:basedOn w:val="a"/>
    <w:link w:val="a7"/>
    <w:uiPriority w:val="99"/>
    <w:unhideWhenUsed/>
    <w:rsid w:val="006917F9"/>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6917F9"/>
    <w:rPr>
      <w:sz w:val="18"/>
      <w:szCs w:val="18"/>
    </w:rPr>
  </w:style>
  <w:style w:type="paragraph" w:styleId="a8">
    <w:name w:val="footer"/>
    <w:basedOn w:val="a"/>
    <w:link w:val="a9"/>
    <w:uiPriority w:val="99"/>
    <w:unhideWhenUsed/>
    <w:rsid w:val="006917F9"/>
    <w:pPr>
      <w:tabs>
        <w:tab w:val="center" w:pos="4153"/>
        <w:tab w:val="right" w:pos="8306"/>
      </w:tabs>
      <w:snapToGrid w:val="0"/>
      <w:jc w:val="left"/>
    </w:pPr>
    <w:rPr>
      <w:sz w:val="18"/>
      <w:szCs w:val="18"/>
    </w:rPr>
  </w:style>
  <w:style w:type="character" w:customStyle="1" w:styleId="a9">
    <w:name w:val="页脚 字符"/>
    <w:basedOn w:val="a0"/>
    <w:link w:val="a8"/>
    <w:uiPriority w:val="99"/>
    <w:rsid w:val="006917F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400</Words>
  <Characters>2282</Characters>
  <Application>Microsoft Office Word</Application>
  <DocSecurity>0</DocSecurity>
  <Lines>19</Lines>
  <Paragraphs>5</Paragraphs>
  <ScaleCrop>false</ScaleCrop>
  <Company>www.win10ghost.net</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dc:creator>
  <cp:keywords/>
  <dc:description/>
  <cp:lastModifiedBy>China</cp:lastModifiedBy>
  <cp:revision>34</cp:revision>
  <dcterms:created xsi:type="dcterms:W3CDTF">2020-04-26T13:26:00Z</dcterms:created>
  <dcterms:modified xsi:type="dcterms:W3CDTF">2020-04-27T06:50:00Z</dcterms:modified>
</cp:coreProperties>
</file>