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9A2D4" w14:textId="00F1034B" w:rsidR="00364330" w:rsidRPr="00D8736D" w:rsidRDefault="00D8736D" w:rsidP="00006A64">
      <w:pPr>
        <w:adjustRightInd w:val="0"/>
        <w:snapToGrid w:val="0"/>
        <w:spacing w:line="480" w:lineRule="auto"/>
        <w:rPr>
          <w:rFonts w:ascii="Times New Roman" w:eastAsia="宋体" w:hAnsi="Times New Roman" w:cs="Times New Roman"/>
          <w:b/>
          <w:bCs/>
          <w:szCs w:val="21"/>
        </w:rPr>
      </w:pPr>
      <w:r w:rsidRPr="00D8736D">
        <w:rPr>
          <w:rFonts w:ascii="Times New Roman" w:eastAsia="宋体" w:hAnsi="Times New Roman" w:cs="Times New Roman" w:hint="eastAsia"/>
          <w:b/>
          <w:bCs/>
          <w:szCs w:val="21"/>
        </w:rPr>
        <w:t>A</w:t>
      </w:r>
      <w:r w:rsidRPr="00D8736D">
        <w:rPr>
          <w:rFonts w:ascii="Times New Roman" w:eastAsia="宋体" w:hAnsi="Times New Roman" w:cs="Times New Roman"/>
          <w:b/>
          <w:bCs/>
          <w:szCs w:val="21"/>
        </w:rPr>
        <w:t>dditional file 13:</w:t>
      </w:r>
    </w:p>
    <w:p w14:paraId="73805C05" w14:textId="1E57273A" w:rsidR="00D8736D" w:rsidRDefault="00D8736D" w:rsidP="00006A64">
      <w:pPr>
        <w:adjustRightInd w:val="0"/>
        <w:snapToGrid w:val="0"/>
        <w:spacing w:line="480" w:lineRule="auto"/>
        <w:rPr>
          <w:rFonts w:ascii="Times New Roman" w:eastAsia="宋体" w:hAnsi="Times New Roman" w:cs="Times New Roman"/>
          <w:szCs w:val="21"/>
        </w:rPr>
      </w:pPr>
    </w:p>
    <w:p w14:paraId="184891E2" w14:textId="3CF2FC8B" w:rsidR="00C05F88" w:rsidRPr="005C3E1C" w:rsidRDefault="005A63CF" w:rsidP="005E50CE">
      <w:pPr>
        <w:adjustRightInd w:val="0"/>
        <w:snapToGrid w:val="0"/>
        <w:spacing w:line="480" w:lineRule="auto"/>
        <w:ind w:firstLineChars="200" w:firstLine="420"/>
        <w:rPr>
          <w:rFonts w:ascii="Times New Roman" w:eastAsia="宋体" w:hAnsi="Times New Roman" w:cs="Times New Roman"/>
          <w:szCs w:val="21"/>
        </w:rPr>
      </w:pPr>
      <w:r>
        <w:rPr>
          <w:rFonts w:ascii="Times New Roman" w:eastAsia="宋体" w:hAnsi="Times New Roman" w:cs="Times New Roman"/>
          <w:kern w:val="0"/>
          <w:szCs w:val="21"/>
        </w:rPr>
        <w:t>I</w:t>
      </w:r>
      <w:r w:rsidRPr="00C65F8C">
        <w:rPr>
          <w:rFonts w:ascii="Times New Roman" w:eastAsia="宋体" w:hAnsi="Times New Roman" w:cs="Times New Roman"/>
          <w:kern w:val="0"/>
          <w:szCs w:val="21"/>
        </w:rPr>
        <w:t>n the mouse experiment performed,</w:t>
      </w:r>
      <w:r>
        <w:rPr>
          <w:rFonts w:ascii="Times New Roman" w:eastAsia="宋体" w:hAnsi="Times New Roman" w:cs="Times New Roman"/>
          <w:kern w:val="0"/>
          <w:szCs w:val="21"/>
        </w:rPr>
        <w:t xml:space="preserve"> </w:t>
      </w:r>
      <w:r w:rsidRPr="005A63CF">
        <w:rPr>
          <w:rFonts w:ascii="Times New Roman" w:eastAsia="宋体" w:hAnsi="Times New Roman" w:cs="Times New Roman"/>
          <w:szCs w:val="21"/>
        </w:rPr>
        <w:t>only one donor was used to analyze the effect of FMT on MM progression in mice. Although the results obtained were the expected ones, it will strength the conclusions of the manuscript to repeat the experiment with other donors in order to show that the result is reproducible.</w:t>
      </w:r>
      <w:r w:rsidR="005E50CE">
        <w:rPr>
          <w:rFonts w:ascii="Times New Roman" w:eastAsia="宋体" w:hAnsi="Times New Roman" w:cs="Times New Roman"/>
          <w:szCs w:val="21"/>
        </w:rPr>
        <w:t xml:space="preserve"> Therefore, </w:t>
      </w:r>
      <w:r w:rsidR="00C05F88" w:rsidRPr="00C65F8C">
        <w:rPr>
          <w:rFonts w:ascii="Times New Roman" w:eastAsia="宋体" w:hAnsi="Times New Roman" w:cs="Times New Roman"/>
          <w:szCs w:val="21"/>
        </w:rPr>
        <w:t>we repeated the FMT experiment twice, in which fecal donors from two multiple myeloma (MM) patients and two healthy controls (HCs) were separately applied to mice of different genders</w:t>
      </w:r>
      <w:r w:rsidR="004F77A5">
        <w:rPr>
          <w:rFonts w:ascii="Times New Roman" w:eastAsia="宋体" w:hAnsi="Times New Roman" w:cs="Times New Roman"/>
          <w:szCs w:val="21"/>
        </w:rPr>
        <w:t xml:space="preserve"> (female, male)</w:t>
      </w:r>
      <w:r w:rsidR="00C05F88" w:rsidRPr="00C65F8C">
        <w:rPr>
          <w:rFonts w:ascii="Times New Roman" w:eastAsia="宋体" w:hAnsi="Times New Roman" w:cs="Times New Roman"/>
          <w:szCs w:val="21"/>
        </w:rPr>
        <w:t>. T</w:t>
      </w:r>
      <w:r w:rsidR="00C05F88" w:rsidRPr="00C65F8C">
        <w:rPr>
          <w:rFonts w:ascii="Times New Roman" w:eastAsia="宋体" w:hAnsi="Times New Roman" w:cs="Times New Roman" w:hint="eastAsia"/>
          <w:szCs w:val="21"/>
        </w:rPr>
        <w:t>he</w:t>
      </w:r>
      <w:r w:rsidR="00C05F88" w:rsidRPr="00C65F8C">
        <w:rPr>
          <w:rFonts w:ascii="Times New Roman" w:eastAsia="宋体" w:hAnsi="Times New Roman" w:cs="Times New Roman"/>
          <w:szCs w:val="21"/>
        </w:rPr>
        <w:t xml:space="preserve"> clinical characteristics of fecal donors were prese</w:t>
      </w:r>
      <w:r w:rsidR="00C05F88" w:rsidRPr="005C3E1C">
        <w:rPr>
          <w:rFonts w:ascii="Times New Roman" w:eastAsia="宋体" w:hAnsi="Times New Roman" w:cs="Times New Roman"/>
          <w:szCs w:val="21"/>
        </w:rPr>
        <w:t xml:space="preserve">nt in </w:t>
      </w:r>
      <w:r w:rsidR="00C05F88" w:rsidRPr="000A2C4B">
        <w:rPr>
          <w:rFonts w:ascii="Times New Roman" w:eastAsia="宋体" w:hAnsi="Times New Roman" w:cs="Times New Roman"/>
          <w:b/>
          <w:bCs/>
          <w:szCs w:val="21"/>
        </w:rPr>
        <w:t xml:space="preserve">Table </w:t>
      </w:r>
      <w:r w:rsidR="00D761B0" w:rsidRPr="000A2C4B">
        <w:rPr>
          <w:rFonts w:ascii="Times New Roman" w:eastAsia="宋体" w:hAnsi="Times New Roman" w:cs="Times New Roman"/>
          <w:b/>
          <w:bCs/>
          <w:szCs w:val="21"/>
        </w:rPr>
        <w:t>1</w:t>
      </w:r>
      <w:r w:rsidR="006C05B2">
        <w:rPr>
          <w:rFonts w:ascii="Times New Roman" w:eastAsia="宋体" w:hAnsi="Times New Roman" w:cs="Times New Roman"/>
          <w:szCs w:val="21"/>
        </w:rPr>
        <w:t>.</w:t>
      </w:r>
      <w:r w:rsidR="00C05F88" w:rsidRPr="005C3E1C">
        <w:rPr>
          <w:rFonts w:ascii="Times New Roman" w:eastAsia="宋体" w:hAnsi="Times New Roman" w:cs="Times New Roman"/>
          <w:szCs w:val="21"/>
        </w:rPr>
        <w:t xml:space="preserve"> </w:t>
      </w:r>
      <w:r w:rsidR="006C05B2">
        <w:rPr>
          <w:rFonts w:ascii="Times New Roman" w:eastAsia="宋体" w:hAnsi="Times New Roman" w:cs="Times New Roman"/>
          <w:szCs w:val="21"/>
        </w:rPr>
        <w:t xml:space="preserve">Here, </w:t>
      </w:r>
      <w:r w:rsidR="00297C8B">
        <w:rPr>
          <w:rFonts w:ascii="Times New Roman" w:eastAsia="宋体" w:hAnsi="Times New Roman" w:cs="Times New Roman" w:hint="eastAsia"/>
          <w:szCs w:val="21"/>
        </w:rPr>
        <w:t>w</w:t>
      </w:r>
      <w:r w:rsidR="00297C8B" w:rsidRPr="00297C8B">
        <w:rPr>
          <w:rFonts w:ascii="Times New Roman" w:eastAsia="宋体" w:hAnsi="Times New Roman" w:cs="Times New Roman"/>
          <w:szCs w:val="21"/>
        </w:rPr>
        <w:t xml:space="preserve">e </w:t>
      </w:r>
      <w:r w:rsidR="00297C8B">
        <w:rPr>
          <w:rFonts w:ascii="Times New Roman" w:eastAsia="宋体" w:hAnsi="Times New Roman" w:cs="Times New Roman"/>
          <w:szCs w:val="21"/>
        </w:rPr>
        <w:t>detecte</w:t>
      </w:r>
      <w:r w:rsidR="00297C8B" w:rsidRPr="00297C8B">
        <w:rPr>
          <w:rFonts w:ascii="Times New Roman" w:eastAsia="宋体" w:hAnsi="Times New Roman" w:cs="Times New Roman"/>
          <w:szCs w:val="21"/>
        </w:rPr>
        <w:t>d the same results as in previous experiment</w:t>
      </w:r>
      <w:r w:rsidR="009B0364">
        <w:rPr>
          <w:rFonts w:ascii="Times New Roman" w:eastAsia="宋体" w:hAnsi="Times New Roman" w:cs="Times New Roman"/>
          <w:szCs w:val="21"/>
        </w:rPr>
        <w:t xml:space="preserve"> (</w:t>
      </w:r>
      <w:r w:rsidR="009B0364" w:rsidRPr="000A2C4B">
        <w:rPr>
          <w:rFonts w:ascii="Times New Roman" w:eastAsia="宋体" w:hAnsi="Times New Roman" w:cs="Times New Roman"/>
          <w:b/>
          <w:bCs/>
          <w:szCs w:val="21"/>
        </w:rPr>
        <w:t>Figure 1 and Figure 2</w:t>
      </w:r>
      <w:r w:rsidR="009B0364">
        <w:rPr>
          <w:rFonts w:ascii="Times New Roman" w:eastAsia="宋体" w:hAnsi="Times New Roman" w:cs="Times New Roman"/>
          <w:szCs w:val="21"/>
        </w:rPr>
        <w:t xml:space="preserve">), </w:t>
      </w:r>
      <w:r w:rsidR="007B672E" w:rsidRPr="005C3E1C">
        <w:rPr>
          <w:rFonts w:ascii="Times New Roman" w:eastAsia="宋体" w:hAnsi="Times New Roman" w:cs="Times New Roman"/>
          <w:szCs w:val="21"/>
        </w:rPr>
        <w:t xml:space="preserve">suggesting our experimental results are </w:t>
      </w:r>
      <w:r w:rsidR="00C574B1" w:rsidRPr="005C3E1C">
        <w:rPr>
          <w:rFonts w:ascii="Times New Roman" w:eastAsia="宋体" w:hAnsi="Times New Roman" w:cs="Times New Roman"/>
          <w:szCs w:val="21"/>
        </w:rPr>
        <w:t>reproducible</w:t>
      </w:r>
      <w:r w:rsidR="007B672E" w:rsidRPr="005C3E1C">
        <w:rPr>
          <w:rFonts w:ascii="Times New Roman" w:eastAsia="宋体" w:hAnsi="Times New Roman" w:cs="Times New Roman" w:hint="eastAsia"/>
          <w:szCs w:val="21"/>
        </w:rPr>
        <w:t>.</w:t>
      </w:r>
    </w:p>
    <w:p w14:paraId="33115009" w14:textId="77777777" w:rsidR="00C05F88" w:rsidRPr="00C65F8C" w:rsidRDefault="00C05F88" w:rsidP="00C05F88">
      <w:pPr>
        <w:adjustRightInd w:val="0"/>
        <w:snapToGrid w:val="0"/>
        <w:spacing w:line="480" w:lineRule="auto"/>
        <w:rPr>
          <w:rFonts w:ascii="Times New Roman" w:eastAsia="宋体" w:hAnsi="Times New Roman" w:cs="Times New Roman"/>
          <w:szCs w:val="21"/>
        </w:rPr>
      </w:pPr>
    </w:p>
    <w:p w14:paraId="3A38474E" w14:textId="29F0F616" w:rsidR="00C05F88" w:rsidRPr="00912C6D" w:rsidRDefault="00C05F88" w:rsidP="00C05F88">
      <w:pPr>
        <w:adjustRightInd w:val="0"/>
        <w:snapToGrid w:val="0"/>
        <w:rPr>
          <w:rFonts w:ascii="Times New Roman" w:eastAsia="宋体" w:hAnsi="Times New Roman" w:cs="Times New Roman"/>
          <w:sz w:val="18"/>
          <w:szCs w:val="18"/>
        </w:rPr>
      </w:pPr>
      <w:r w:rsidRPr="00912C6D">
        <w:rPr>
          <w:rFonts w:ascii="Times New Roman" w:eastAsia="宋体" w:hAnsi="Times New Roman" w:cs="Times New Roman" w:hint="eastAsia"/>
          <w:b/>
          <w:bCs/>
          <w:sz w:val="18"/>
          <w:szCs w:val="18"/>
        </w:rPr>
        <w:t>T</w:t>
      </w:r>
      <w:r w:rsidRPr="00912C6D">
        <w:rPr>
          <w:rFonts w:ascii="Times New Roman" w:eastAsia="宋体" w:hAnsi="Times New Roman" w:cs="Times New Roman"/>
          <w:b/>
          <w:bCs/>
          <w:sz w:val="18"/>
          <w:szCs w:val="18"/>
        </w:rPr>
        <w:t xml:space="preserve">able </w:t>
      </w:r>
      <w:r w:rsidR="00D761B0">
        <w:rPr>
          <w:rFonts w:ascii="Times New Roman" w:eastAsia="宋体" w:hAnsi="Times New Roman" w:cs="Times New Roman"/>
          <w:b/>
          <w:bCs/>
          <w:sz w:val="18"/>
          <w:szCs w:val="18"/>
        </w:rPr>
        <w:t>1</w:t>
      </w:r>
      <w:r w:rsidRPr="00912C6D">
        <w:rPr>
          <w:rFonts w:ascii="Times New Roman" w:eastAsia="宋体" w:hAnsi="Times New Roman" w:cs="Times New Roman"/>
          <w:b/>
          <w:bCs/>
          <w:sz w:val="18"/>
          <w:szCs w:val="18"/>
        </w:rPr>
        <w:t xml:space="preserve">. </w:t>
      </w:r>
      <w:r w:rsidRPr="00912C6D">
        <w:rPr>
          <w:rFonts w:ascii="Times New Roman" w:eastAsia="宋体" w:hAnsi="Times New Roman" w:cs="Times New Roman"/>
          <w:sz w:val="18"/>
          <w:szCs w:val="18"/>
        </w:rPr>
        <w:t>The clinical characteristics of fecal donors.</w:t>
      </w:r>
    </w:p>
    <w:tbl>
      <w:tblPr>
        <w:tblStyle w:val="a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70"/>
        <w:gridCol w:w="658"/>
        <w:gridCol w:w="636"/>
        <w:gridCol w:w="703"/>
        <w:gridCol w:w="636"/>
        <w:gridCol w:w="859"/>
        <w:gridCol w:w="657"/>
        <w:gridCol w:w="708"/>
        <w:gridCol w:w="527"/>
        <w:gridCol w:w="527"/>
        <w:gridCol w:w="569"/>
        <w:gridCol w:w="844"/>
        <w:gridCol w:w="628"/>
      </w:tblGrid>
      <w:tr w:rsidR="00C05F88" w:rsidRPr="00C65F8C" w14:paraId="11CDB9FA" w14:textId="77777777" w:rsidTr="007E6961">
        <w:tc>
          <w:tcPr>
            <w:tcW w:w="0" w:type="auto"/>
            <w:tcBorders>
              <w:bottom w:val="single" w:sz="4" w:space="0" w:color="auto"/>
            </w:tcBorders>
            <w:vAlign w:val="center"/>
          </w:tcPr>
          <w:p w14:paraId="1C14539B"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Fecal donor</w:t>
            </w:r>
          </w:p>
        </w:tc>
        <w:tc>
          <w:tcPr>
            <w:tcW w:w="0" w:type="auto"/>
            <w:tcBorders>
              <w:bottom w:val="single" w:sz="4" w:space="0" w:color="auto"/>
            </w:tcBorders>
            <w:vAlign w:val="center"/>
          </w:tcPr>
          <w:p w14:paraId="52D813BC"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Gender</w:t>
            </w:r>
          </w:p>
        </w:tc>
        <w:tc>
          <w:tcPr>
            <w:tcW w:w="0" w:type="auto"/>
            <w:tcBorders>
              <w:bottom w:val="single" w:sz="4" w:space="0" w:color="auto"/>
            </w:tcBorders>
            <w:vAlign w:val="center"/>
          </w:tcPr>
          <w:p w14:paraId="4679F680"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Age (years)</w:t>
            </w:r>
          </w:p>
        </w:tc>
        <w:tc>
          <w:tcPr>
            <w:tcW w:w="0" w:type="auto"/>
            <w:tcBorders>
              <w:bottom w:val="single" w:sz="4" w:space="0" w:color="auto"/>
            </w:tcBorders>
            <w:vAlign w:val="center"/>
          </w:tcPr>
          <w:p w14:paraId="4FF27938"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BMI (kg/m2)</w:t>
            </w:r>
          </w:p>
        </w:tc>
        <w:tc>
          <w:tcPr>
            <w:tcW w:w="0" w:type="auto"/>
            <w:tcBorders>
              <w:bottom w:val="single" w:sz="4" w:space="0" w:color="auto"/>
            </w:tcBorders>
            <w:vAlign w:val="center"/>
          </w:tcPr>
          <w:p w14:paraId="242148B0"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Urease (U/L)</w:t>
            </w:r>
          </w:p>
        </w:tc>
        <w:tc>
          <w:tcPr>
            <w:tcW w:w="0" w:type="auto"/>
            <w:tcBorders>
              <w:bottom w:val="single" w:sz="4" w:space="0" w:color="auto"/>
            </w:tcBorders>
            <w:vAlign w:val="center"/>
          </w:tcPr>
          <w:p w14:paraId="2BEE5EA2"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Glutamine synthetase (U/L)</w:t>
            </w:r>
          </w:p>
        </w:tc>
        <w:tc>
          <w:tcPr>
            <w:tcW w:w="0" w:type="auto"/>
            <w:tcBorders>
              <w:bottom w:val="single" w:sz="4" w:space="0" w:color="auto"/>
            </w:tcBorders>
            <w:vAlign w:val="center"/>
          </w:tcPr>
          <w:p w14:paraId="72B12665"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Plasma cell ratio (%)</w:t>
            </w:r>
          </w:p>
        </w:tc>
        <w:tc>
          <w:tcPr>
            <w:tcW w:w="0" w:type="auto"/>
            <w:tcBorders>
              <w:bottom w:val="single" w:sz="4" w:space="0" w:color="auto"/>
            </w:tcBorders>
            <w:vAlign w:val="center"/>
          </w:tcPr>
          <w:p w14:paraId="111ADDB7"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Subtype</w:t>
            </w:r>
          </w:p>
        </w:tc>
        <w:tc>
          <w:tcPr>
            <w:tcW w:w="0" w:type="auto"/>
            <w:tcBorders>
              <w:bottom w:val="single" w:sz="4" w:space="0" w:color="auto"/>
            </w:tcBorders>
            <w:vAlign w:val="center"/>
          </w:tcPr>
          <w:p w14:paraId="4EB8740C"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ISS stage</w:t>
            </w:r>
          </w:p>
        </w:tc>
        <w:tc>
          <w:tcPr>
            <w:tcW w:w="0" w:type="auto"/>
            <w:tcBorders>
              <w:bottom w:val="single" w:sz="4" w:space="0" w:color="auto"/>
            </w:tcBorders>
            <w:vAlign w:val="bottom"/>
          </w:tcPr>
          <w:p w14:paraId="1548BD8A"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DS stage</w:t>
            </w:r>
          </w:p>
        </w:tc>
        <w:tc>
          <w:tcPr>
            <w:tcW w:w="0" w:type="auto"/>
            <w:tcBorders>
              <w:bottom w:val="single" w:sz="4" w:space="0" w:color="auto"/>
            </w:tcBorders>
            <w:vAlign w:val="bottom"/>
          </w:tcPr>
          <w:p w14:paraId="229C0E0F"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Urea (mM)</w:t>
            </w:r>
          </w:p>
        </w:tc>
        <w:tc>
          <w:tcPr>
            <w:tcW w:w="0" w:type="auto"/>
            <w:tcBorders>
              <w:bottom w:val="single" w:sz="4" w:space="0" w:color="auto"/>
            </w:tcBorders>
            <w:vAlign w:val="bottom"/>
          </w:tcPr>
          <w:p w14:paraId="57D40E65"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Creatinine (uM)</w:t>
            </w:r>
          </w:p>
        </w:tc>
        <w:tc>
          <w:tcPr>
            <w:tcW w:w="0" w:type="auto"/>
            <w:tcBorders>
              <w:bottom w:val="single" w:sz="4" w:space="0" w:color="auto"/>
            </w:tcBorders>
            <w:vAlign w:val="center"/>
          </w:tcPr>
          <w:p w14:paraId="7D391453"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Mice gender</w:t>
            </w:r>
          </w:p>
        </w:tc>
      </w:tr>
      <w:tr w:rsidR="00C05F88" w:rsidRPr="00C65F8C" w14:paraId="61437D47" w14:textId="77777777" w:rsidTr="007E6961">
        <w:tc>
          <w:tcPr>
            <w:tcW w:w="0" w:type="auto"/>
            <w:tcBorders>
              <w:bottom w:val="nil"/>
            </w:tcBorders>
            <w:vAlign w:val="center"/>
          </w:tcPr>
          <w:p w14:paraId="1C646F2F"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MM1</w:t>
            </w:r>
          </w:p>
        </w:tc>
        <w:tc>
          <w:tcPr>
            <w:tcW w:w="0" w:type="auto"/>
            <w:tcBorders>
              <w:bottom w:val="nil"/>
            </w:tcBorders>
            <w:vAlign w:val="center"/>
          </w:tcPr>
          <w:p w14:paraId="540A1CDD"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female</w:t>
            </w:r>
          </w:p>
        </w:tc>
        <w:tc>
          <w:tcPr>
            <w:tcW w:w="0" w:type="auto"/>
            <w:tcBorders>
              <w:bottom w:val="nil"/>
            </w:tcBorders>
            <w:vAlign w:val="center"/>
          </w:tcPr>
          <w:p w14:paraId="23022C5E"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69</w:t>
            </w:r>
          </w:p>
        </w:tc>
        <w:tc>
          <w:tcPr>
            <w:tcW w:w="0" w:type="auto"/>
            <w:tcBorders>
              <w:bottom w:val="nil"/>
            </w:tcBorders>
            <w:vAlign w:val="bottom"/>
          </w:tcPr>
          <w:p w14:paraId="256CE313"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15.82 </w:t>
            </w:r>
          </w:p>
        </w:tc>
        <w:tc>
          <w:tcPr>
            <w:tcW w:w="0" w:type="auto"/>
            <w:tcBorders>
              <w:bottom w:val="nil"/>
            </w:tcBorders>
            <w:vAlign w:val="bottom"/>
          </w:tcPr>
          <w:p w14:paraId="5D5009F8"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25.82 </w:t>
            </w:r>
          </w:p>
        </w:tc>
        <w:tc>
          <w:tcPr>
            <w:tcW w:w="0" w:type="auto"/>
            <w:tcBorders>
              <w:bottom w:val="nil"/>
            </w:tcBorders>
            <w:vAlign w:val="bottom"/>
          </w:tcPr>
          <w:p w14:paraId="629B6687"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24.81 </w:t>
            </w:r>
          </w:p>
        </w:tc>
        <w:tc>
          <w:tcPr>
            <w:tcW w:w="0" w:type="auto"/>
            <w:tcBorders>
              <w:bottom w:val="nil"/>
            </w:tcBorders>
            <w:vAlign w:val="center"/>
          </w:tcPr>
          <w:p w14:paraId="7EB93769"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　</w:t>
            </w:r>
          </w:p>
        </w:tc>
        <w:tc>
          <w:tcPr>
            <w:tcW w:w="0" w:type="auto"/>
            <w:tcBorders>
              <w:bottom w:val="nil"/>
            </w:tcBorders>
            <w:vAlign w:val="center"/>
          </w:tcPr>
          <w:p w14:paraId="228FA657"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Lamda</w:t>
            </w:r>
          </w:p>
        </w:tc>
        <w:tc>
          <w:tcPr>
            <w:tcW w:w="0" w:type="auto"/>
            <w:tcBorders>
              <w:bottom w:val="nil"/>
            </w:tcBorders>
            <w:vAlign w:val="center"/>
          </w:tcPr>
          <w:p w14:paraId="7BED205C"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III</w:t>
            </w:r>
          </w:p>
        </w:tc>
        <w:tc>
          <w:tcPr>
            <w:tcW w:w="0" w:type="auto"/>
            <w:tcBorders>
              <w:bottom w:val="nil"/>
            </w:tcBorders>
            <w:vAlign w:val="center"/>
          </w:tcPr>
          <w:p w14:paraId="52FF5192"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IIIA</w:t>
            </w:r>
          </w:p>
        </w:tc>
        <w:tc>
          <w:tcPr>
            <w:tcW w:w="0" w:type="auto"/>
            <w:tcBorders>
              <w:bottom w:val="nil"/>
            </w:tcBorders>
            <w:vAlign w:val="center"/>
          </w:tcPr>
          <w:p w14:paraId="27E93A76"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4.48</w:t>
            </w:r>
          </w:p>
        </w:tc>
        <w:tc>
          <w:tcPr>
            <w:tcW w:w="0" w:type="auto"/>
            <w:tcBorders>
              <w:bottom w:val="nil"/>
            </w:tcBorders>
            <w:vAlign w:val="center"/>
          </w:tcPr>
          <w:p w14:paraId="39749457"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86</w:t>
            </w:r>
          </w:p>
        </w:tc>
        <w:tc>
          <w:tcPr>
            <w:tcW w:w="0" w:type="auto"/>
            <w:tcBorders>
              <w:bottom w:val="nil"/>
            </w:tcBorders>
            <w:vAlign w:val="center"/>
          </w:tcPr>
          <w:p w14:paraId="486B8E6B"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male</w:t>
            </w:r>
          </w:p>
        </w:tc>
      </w:tr>
      <w:tr w:rsidR="00C05F88" w:rsidRPr="00C65F8C" w14:paraId="212C204C" w14:textId="77777777" w:rsidTr="007E6961">
        <w:tc>
          <w:tcPr>
            <w:tcW w:w="0" w:type="auto"/>
            <w:tcBorders>
              <w:top w:val="nil"/>
              <w:bottom w:val="nil"/>
            </w:tcBorders>
            <w:vAlign w:val="center"/>
          </w:tcPr>
          <w:p w14:paraId="752A07E6"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sz w:val="15"/>
                <w:szCs w:val="15"/>
              </w:rPr>
              <w:t>HC1</w:t>
            </w:r>
          </w:p>
        </w:tc>
        <w:tc>
          <w:tcPr>
            <w:tcW w:w="0" w:type="auto"/>
            <w:tcBorders>
              <w:top w:val="nil"/>
              <w:bottom w:val="nil"/>
            </w:tcBorders>
            <w:vAlign w:val="center"/>
          </w:tcPr>
          <w:p w14:paraId="687DED1A"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sz w:val="15"/>
                <w:szCs w:val="15"/>
              </w:rPr>
              <w:t>male</w:t>
            </w:r>
          </w:p>
        </w:tc>
        <w:tc>
          <w:tcPr>
            <w:tcW w:w="0" w:type="auto"/>
            <w:tcBorders>
              <w:top w:val="nil"/>
              <w:bottom w:val="nil"/>
            </w:tcBorders>
            <w:vAlign w:val="center"/>
          </w:tcPr>
          <w:p w14:paraId="41FDE3AC"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sz w:val="15"/>
                <w:szCs w:val="15"/>
              </w:rPr>
              <w:t>54</w:t>
            </w:r>
          </w:p>
        </w:tc>
        <w:tc>
          <w:tcPr>
            <w:tcW w:w="0" w:type="auto"/>
            <w:tcBorders>
              <w:top w:val="nil"/>
              <w:bottom w:val="nil"/>
            </w:tcBorders>
            <w:vAlign w:val="center"/>
          </w:tcPr>
          <w:p w14:paraId="44142689"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sz w:val="15"/>
                <w:szCs w:val="15"/>
              </w:rPr>
              <w:t xml:space="preserve">22.10 </w:t>
            </w:r>
          </w:p>
        </w:tc>
        <w:tc>
          <w:tcPr>
            <w:tcW w:w="0" w:type="auto"/>
            <w:tcBorders>
              <w:top w:val="nil"/>
              <w:bottom w:val="nil"/>
            </w:tcBorders>
            <w:vAlign w:val="bottom"/>
          </w:tcPr>
          <w:p w14:paraId="54172292"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sz w:val="15"/>
                <w:szCs w:val="15"/>
              </w:rPr>
              <w:t xml:space="preserve">12.67 </w:t>
            </w:r>
          </w:p>
        </w:tc>
        <w:tc>
          <w:tcPr>
            <w:tcW w:w="0" w:type="auto"/>
            <w:tcBorders>
              <w:top w:val="nil"/>
              <w:bottom w:val="nil"/>
            </w:tcBorders>
            <w:vAlign w:val="bottom"/>
          </w:tcPr>
          <w:p w14:paraId="16961BD9"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sz w:val="15"/>
                <w:szCs w:val="15"/>
              </w:rPr>
              <w:t xml:space="preserve">12.02 </w:t>
            </w:r>
          </w:p>
        </w:tc>
        <w:tc>
          <w:tcPr>
            <w:tcW w:w="0" w:type="auto"/>
            <w:tcBorders>
              <w:top w:val="nil"/>
              <w:bottom w:val="nil"/>
            </w:tcBorders>
            <w:vAlign w:val="bottom"/>
          </w:tcPr>
          <w:p w14:paraId="17B72163"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b/>
                <w:bCs/>
                <w:sz w:val="15"/>
                <w:szCs w:val="15"/>
              </w:rPr>
              <w:t>/</w:t>
            </w:r>
          </w:p>
        </w:tc>
        <w:tc>
          <w:tcPr>
            <w:tcW w:w="0" w:type="auto"/>
            <w:tcBorders>
              <w:top w:val="nil"/>
              <w:bottom w:val="nil"/>
            </w:tcBorders>
            <w:vAlign w:val="bottom"/>
          </w:tcPr>
          <w:p w14:paraId="6788865D"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b/>
                <w:bCs/>
                <w:sz w:val="15"/>
                <w:szCs w:val="15"/>
              </w:rPr>
              <w:t>/</w:t>
            </w:r>
          </w:p>
        </w:tc>
        <w:tc>
          <w:tcPr>
            <w:tcW w:w="0" w:type="auto"/>
            <w:tcBorders>
              <w:top w:val="nil"/>
              <w:bottom w:val="nil"/>
            </w:tcBorders>
            <w:vAlign w:val="bottom"/>
          </w:tcPr>
          <w:p w14:paraId="7B978ED9"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b/>
                <w:bCs/>
                <w:sz w:val="15"/>
                <w:szCs w:val="15"/>
              </w:rPr>
              <w:t>/</w:t>
            </w:r>
          </w:p>
        </w:tc>
        <w:tc>
          <w:tcPr>
            <w:tcW w:w="0" w:type="auto"/>
            <w:tcBorders>
              <w:top w:val="nil"/>
              <w:bottom w:val="nil"/>
            </w:tcBorders>
            <w:vAlign w:val="bottom"/>
          </w:tcPr>
          <w:p w14:paraId="00501EB6"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b/>
                <w:bCs/>
                <w:sz w:val="15"/>
                <w:szCs w:val="15"/>
              </w:rPr>
              <w:t>/</w:t>
            </w:r>
          </w:p>
        </w:tc>
        <w:tc>
          <w:tcPr>
            <w:tcW w:w="0" w:type="auto"/>
            <w:tcBorders>
              <w:top w:val="nil"/>
              <w:bottom w:val="nil"/>
            </w:tcBorders>
            <w:vAlign w:val="bottom"/>
          </w:tcPr>
          <w:p w14:paraId="1CB6D39B"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b/>
                <w:bCs/>
                <w:sz w:val="15"/>
                <w:szCs w:val="15"/>
              </w:rPr>
              <w:t>/</w:t>
            </w:r>
          </w:p>
        </w:tc>
        <w:tc>
          <w:tcPr>
            <w:tcW w:w="0" w:type="auto"/>
            <w:tcBorders>
              <w:top w:val="nil"/>
              <w:bottom w:val="nil"/>
            </w:tcBorders>
            <w:vAlign w:val="bottom"/>
          </w:tcPr>
          <w:p w14:paraId="2CE0B096"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b/>
                <w:bCs/>
                <w:sz w:val="15"/>
                <w:szCs w:val="15"/>
              </w:rPr>
              <w:t>/</w:t>
            </w:r>
          </w:p>
        </w:tc>
        <w:tc>
          <w:tcPr>
            <w:tcW w:w="0" w:type="auto"/>
            <w:tcBorders>
              <w:top w:val="nil"/>
              <w:bottom w:val="nil"/>
            </w:tcBorders>
            <w:vAlign w:val="center"/>
          </w:tcPr>
          <w:p w14:paraId="42E33319" w14:textId="77777777" w:rsidR="00C05F88" w:rsidRPr="00C65F8C" w:rsidRDefault="00C05F88" w:rsidP="00451E7E">
            <w:pPr>
              <w:adjustRightInd w:val="0"/>
              <w:snapToGrid w:val="0"/>
              <w:spacing w:line="276" w:lineRule="auto"/>
              <w:rPr>
                <w:rFonts w:ascii="Times New Roman" w:hAnsi="Times New Roman" w:cs="Times New Roman"/>
                <w:sz w:val="15"/>
                <w:szCs w:val="15"/>
              </w:rPr>
            </w:pPr>
            <w:r w:rsidRPr="00C65F8C">
              <w:rPr>
                <w:rFonts w:ascii="Times New Roman" w:hAnsi="Times New Roman" w:cs="Times New Roman"/>
                <w:sz w:val="15"/>
                <w:szCs w:val="15"/>
              </w:rPr>
              <w:t>male</w:t>
            </w:r>
          </w:p>
        </w:tc>
      </w:tr>
      <w:tr w:rsidR="00C05F88" w:rsidRPr="00C65F8C" w14:paraId="2C7F4960" w14:textId="77777777" w:rsidTr="007E6961">
        <w:tc>
          <w:tcPr>
            <w:tcW w:w="0" w:type="auto"/>
            <w:tcBorders>
              <w:top w:val="nil"/>
              <w:bottom w:val="nil"/>
            </w:tcBorders>
            <w:vAlign w:val="center"/>
          </w:tcPr>
          <w:p w14:paraId="34DFD1C3"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MM2</w:t>
            </w:r>
          </w:p>
        </w:tc>
        <w:tc>
          <w:tcPr>
            <w:tcW w:w="0" w:type="auto"/>
            <w:tcBorders>
              <w:top w:val="nil"/>
              <w:bottom w:val="nil"/>
            </w:tcBorders>
            <w:vAlign w:val="center"/>
          </w:tcPr>
          <w:p w14:paraId="097EEAA1"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female</w:t>
            </w:r>
          </w:p>
        </w:tc>
        <w:tc>
          <w:tcPr>
            <w:tcW w:w="0" w:type="auto"/>
            <w:tcBorders>
              <w:top w:val="nil"/>
              <w:bottom w:val="nil"/>
            </w:tcBorders>
            <w:vAlign w:val="center"/>
          </w:tcPr>
          <w:p w14:paraId="64FBCC39"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61</w:t>
            </w:r>
          </w:p>
        </w:tc>
        <w:tc>
          <w:tcPr>
            <w:tcW w:w="0" w:type="auto"/>
            <w:tcBorders>
              <w:top w:val="nil"/>
              <w:bottom w:val="nil"/>
            </w:tcBorders>
            <w:vAlign w:val="center"/>
          </w:tcPr>
          <w:p w14:paraId="2AD68737"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19.43 </w:t>
            </w:r>
          </w:p>
        </w:tc>
        <w:tc>
          <w:tcPr>
            <w:tcW w:w="0" w:type="auto"/>
            <w:tcBorders>
              <w:top w:val="nil"/>
              <w:bottom w:val="nil"/>
            </w:tcBorders>
            <w:vAlign w:val="bottom"/>
          </w:tcPr>
          <w:p w14:paraId="030E2106"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13.07 </w:t>
            </w:r>
          </w:p>
        </w:tc>
        <w:tc>
          <w:tcPr>
            <w:tcW w:w="0" w:type="auto"/>
            <w:tcBorders>
              <w:top w:val="nil"/>
              <w:bottom w:val="nil"/>
            </w:tcBorders>
            <w:vAlign w:val="bottom"/>
          </w:tcPr>
          <w:p w14:paraId="5015A710"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15.80 </w:t>
            </w:r>
          </w:p>
        </w:tc>
        <w:tc>
          <w:tcPr>
            <w:tcW w:w="0" w:type="auto"/>
            <w:tcBorders>
              <w:top w:val="nil"/>
              <w:bottom w:val="nil"/>
            </w:tcBorders>
            <w:vAlign w:val="center"/>
          </w:tcPr>
          <w:p w14:paraId="69B70061"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26</w:t>
            </w:r>
          </w:p>
        </w:tc>
        <w:tc>
          <w:tcPr>
            <w:tcW w:w="0" w:type="auto"/>
            <w:tcBorders>
              <w:top w:val="nil"/>
              <w:bottom w:val="nil"/>
            </w:tcBorders>
            <w:vAlign w:val="center"/>
          </w:tcPr>
          <w:p w14:paraId="2C968BD7"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Lamda</w:t>
            </w:r>
          </w:p>
        </w:tc>
        <w:tc>
          <w:tcPr>
            <w:tcW w:w="0" w:type="auto"/>
            <w:tcBorders>
              <w:top w:val="nil"/>
              <w:bottom w:val="nil"/>
            </w:tcBorders>
            <w:vAlign w:val="center"/>
          </w:tcPr>
          <w:p w14:paraId="267F8196"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III</w:t>
            </w:r>
          </w:p>
        </w:tc>
        <w:tc>
          <w:tcPr>
            <w:tcW w:w="0" w:type="auto"/>
            <w:tcBorders>
              <w:top w:val="nil"/>
              <w:bottom w:val="nil"/>
            </w:tcBorders>
            <w:vAlign w:val="center"/>
          </w:tcPr>
          <w:p w14:paraId="049B201A"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IIIB</w:t>
            </w:r>
          </w:p>
        </w:tc>
        <w:tc>
          <w:tcPr>
            <w:tcW w:w="0" w:type="auto"/>
            <w:tcBorders>
              <w:top w:val="nil"/>
              <w:bottom w:val="nil"/>
            </w:tcBorders>
            <w:vAlign w:val="center"/>
          </w:tcPr>
          <w:p w14:paraId="4E2B394C"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10.67</w:t>
            </w:r>
          </w:p>
        </w:tc>
        <w:tc>
          <w:tcPr>
            <w:tcW w:w="0" w:type="auto"/>
            <w:tcBorders>
              <w:top w:val="nil"/>
              <w:bottom w:val="nil"/>
            </w:tcBorders>
            <w:vAlign w:val="center"/>
          </w:tcPr>
          <w:p w14:paraId="6B41E6C2"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313</w:t>
            </w:r>
          </w:p>
        </w:tc>
        <w:tc>
          <w:tcPr>
            <w:tcW w:w="0" w:type="auto"/>
            <w:tcBorders>
              <w:top w:val="nil"/>
              <w:bottom w:val="nil"/>
            </w:tcBorders>
            <w:vAlign w:val="center"/>
          </w:tcPr>
          <w:p w14:paraId="5A3E8B9F"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female</w:t>
            </w:r>
          </w:p>
        </w:tc>
      </w:tr>
      <w:tr w:rsidR="00C05F88" w:rsidRPr="00C65F8C" w14:paraId="4E142968" w14:textId="77777777" w:rsidTr="007E6961">
        <w:tc>
          <w:tcPr>
            <w:tcW w:w="0" w:type="auto"/>
            <w:tcBorders>
              <w:top w:val="nil"/>
            </w:tcBorders>
            <w:vAlign w:val="center"/>
          </w:tcPr>
          <w:p w14:paraId="2A2EAFF5"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HC2</w:t>
            </w:r>
          </w:p>
        </w:tc>
        <w:tc>
          <w:tcPr>
            <w:tcW w:w="0" w:type="auto"/>
            <w:tcBorders>
              <w:top w:val="nil"/>
            </w:tcBorders>
            <w:vAlign w:val="center"/>
          </w:tcPr>
          <w:p w14:paraId="5C2119CD"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male</w:t>
            </w:r>
          </w:p>
        </w:tc>
        <w:tc>
          <w:tcPr>
            <w:tcW w:w="0" w:type="auto"/>
            <w:tcBorders>
              <w:top w:val="nil"/>
            </w:tcBorders>
            <w:vAlign w:val="center"/>
          </w:tcPr>
          <w:p w14:paraId="7CE7B878"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55</w:t>
            </w:r>
          </w:p>
        </w:tc>
        <w:tc>
          <w:tcPr>
            <w:tcW w:w="0" w:type="auto"/>
            <w:tcBorders>
              <w:top w:val="nil"/>
            </w:tcBorders>
            <w:vAlign w:val="center"/>
          </w:tcPr>
          <w:p w14:paraId="609CBC1E"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24.80 </w:t>
            </w:r>
          </w:p>
        </w:tc>
        <w:tc>
          <w:tcPr>
            <w:tcW w:w="0" w:type="auto"/>
            <w:tcBorders>
              <w:top w:val="nil"/>
            </w:tcBorders>
            <w:vAlign w:val="bottom"/>
          </w:tcPr>
          <w:p w14:paraId="77E9B3B8"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8.19 </w:t>
            </w:r>
          </w:p>
        </w:tc>
        <w:tc>
          <w:tcPr>
            <w:tcW w:w="0" w:type="auto"/>
            <w:tcBorders>
              <w:top w:val="nil"/>
            </w:tcBorders>
            <w:vAlign w:val="bottom"/>
          </w:tcPr>
          <w:p w14:paraId="5BA09E77"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 xml:space="preserve">6.68 </w:t>
            </w:r>
          </w:p>
        </w:tc>
        <w:tc>
          <w:tcPr>
            <w:tcW w:w="0" w:type="auto"/>
            <w:tcBorders>
              <w:top w:val="nil"/>
            </w:tcBorders>
            <w:vAlign w:val="bottom"/>
          </w:tcPr>
          <w:p w14:paraId="3BEC288D"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b/>
                <w:bCs/>
                <w:sz w:val="15"/>
                <w:szCs w:val="15"/>
              </w:rPr>
              <w:t>/</w:t>
            </w:r>
          </w:p>
        </w:tc>
        <w:tc>
          <w:tcPr>
            <w:tcW w:w="0" w:type="auto"/>
            <w:tcBorders>
              <w:top w:val="nil"/>
            </w:tcBorders>
            <w:vAlign w:val="bottom"/>
          </w:tcPr>
          <w:p w14:paraId="6DDC8395"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b/>
                <w:bCs/>
                <w:sz w:val="15"/>
                <w:szCs w:val="15"/>
              </w:rPr>
              <w:t>/</w:t>
            </w:r>
          </w:p>
        </w:tc>
        <w:tc>
          <w:tcPr>
            <w:tcW w:w="0" w:type="auto"/>
            <w:tcBorders>
              <w:top w:val="nil"/>
            </w:tcBorders>
            <w:vAlign w:val="bottom"/>
          </w:tcPr>
          <w:p w14:paraId="3FB0ED94"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b/>
                <w:bCs/>
                <w:sz w:val="15"/>
                <w:szCs w:val="15"/>
              </w:rPr>
              <w:t>/</w:t>
            </w:r>
          </w:p>
        </w:tc>
        <w:tc>
          <w:tcPr>
            <w:tcW w:w="0" w:type="auto"/>
            <w:tcBorders>
              <w:top w:val="nil"/>
            </w:tcBorders>
            <w:vAlign w:val="bottom"/>
          </w:tcPr>
          <w:p w14:paraId="019729C0"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b/>
                <w:bCs/>
                <w:sz w:val="15"/>
                <w:szCs w:val="15"/>
              </w:rPr>
              <w:t>/</w:t>
            </w:r>
          </w:p>
        </w:tc>
        <w:tc>
          <w:tcPr>
            <w:tcW w:w="0" w:type="auto"/>
            <w:tcBorders>
              <w:top w:val="nil"/>
            </w:tcBorders>
            <w:vAlign w:val="bottom"/>
          </w:tcPr>
          <w:p w14:paraId="1F295C34"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b/>
                <w:bCs/>
                <w:sz w:val="15"/>
                <w:szCs w:val="15"/>
              </w:rPr>
              <w:t>/</w:t>
            </w:r>
          </w:p>
        </w:tc>
        <w:tc>
          <w:tcPr>
            <w:tcW w:w="0" w:type="auto"/>
            <w:tcBorders>
              <w:top w:val="nil"/>
            </w:tcBorders>
            <w:vAlign w:val="bottom"/>
          </w:tcPr>
          <w:p w14:paraId="10C30C3D"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b/>
                <w:bCs/>
                <w:sz w:val="15"/>
                <w:szCs w:val="15"/>
              </w:rPr>
              <w:t>/</w:t>
            </w:r>
          </w:p>
        </w:tc>
        <w:tc>
          <w:tcPr>
            <w:tcW w:w="0" w:type="auto"/>
            <w:tcBorders>
              <w:top w:val="nil"/>
            </w:tcBorders>
            <w:vAlign w:val="center"/>
          </w:tcPr>
          <w:p w14:paraId="25B93ADE" w14:textId="77777777" w:rsidR="00C05F88" w:rsidRPr="00C65F8C" w:rsidRDefault="00C05F88" w:rsidP="00451E7E">
            <w:pPr>
              <w:adjustRightInd w:val="0"/>
              <w:snapToGrid w:val="0"/>
              <w:spacing w:line="276" w:lineRule="auto"/>
              <w:rPr>
                <w:rFonts w:ascii="Times New Roman" w:eastAsia="宋体" w:hAnsi="Times New Roman" w:cs="Times New Roman"/>
                <w:sz w:val="15"/>
                <w:szCs w:val="15"/>
              </w:rPr>
            </w:pPr>
            <w:r w:rsidRPr="00C65F8C">
              <w:rPr>
                <w:rFonts w:ascii="Times New Roman" w:hAnsi="Times New Roman" w:cs="Times New Roman"/>
                <w:sz w:val="15"/>
                <w:szCs w:val="15"/>
              </w:rPr>
              <w:t>female</w:t>
            </w:r>
          </w:p>
        </w:tc>
      </w:tr>
    </w:tbl>
    <w:p w14:paraId="7685594D" w14:textId="79061B27" w:rsidR="00C05F88" w:rsidRPr="00C65F8C" w:rsidRDefault="00C05F88" w:rsidP="00C05F88">
      <w:pPr>
        <w:adjustRightInd w:val="0"/>
        <w:snapToGrid w:val="0"/>
        <w:spacing w:line="480" w:lineRule="auto"/>
        <w:rPr>
          <w:rFonts w:ascii="Times New Roman" w:eastAsia="宋体" w:hAnsi="Times New Roman" w:cs="Times New Roman"/>
          <w:szCs w:val="21"/>
        </w:rPr>
      </w:pPr>
    </w:p>
    <w:p w14:paraId="74BFD14F" w14:textId="019CD78E" w:rsidR="00C05F88" w:rsidRPr="00C65F8C" w:rsidRDefault="00C05F88" w:rsidP="00C05F88">
      <w:pPr>
        <w:adjustRightInd w:val="0"/>
        <w:snapToGrid w:val="0"/>
        <w:spacing w:line="480" w:lineRule="auto"/>
        <w:jc w:val="center"/>
        <w:rPr>
          <w:rFonts w:ascii="Times New Roman" w:eastAsia="宋体" w:hAnsi="Times New Roman" w:cs="Times New Roman"/>
          <w:szCs w:val="21"/>
        </w:rPr>
      </w:pPr>
      <w:r w:rsidRPr="00C65F8C">
        <w:rPr>
          <w:rFonts w:ascii="Times New Roman" w:eastAsia="宋体" w:hAnsi="Times New Roman" w:cs="Times New Roman"/>
          <w:noProof/>
          <w:szCs w:val="21"/>
        </w:rPr>
        <w:drawing>
          <wp:inline distT="0" distB="0" distL="0" distR="0" wp14:anchorId="0A93DC7C" wp14:editId="77BFFB1F">
            <wp:extent cx="4429250" cy="3918857"/>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33561" cy="3922671"/>
                    </a:xfrm>
                    <a:prstGeom prst="rect">
                      <a:avLst/>
                    </a:prstGeom>
                    <a:noFill/>
                  </pic:spPr>
                </pic:pic>
              </a:graphicData>
            </a:graphic>
          </wp:inline>
        </w:drawing>
      </w:r>
    </w:p>
    <w:p w14:paraId="7DCDCB17" w14:textId="5CD68431" w:rsidR="00C05F88" w:rsidRPr="00912C6D" w:rsidRDefault="00C05F88" w:rsidP="000D35E9">
      <w:pPr>
        <w:adjustRightInd w:val="0"/>
        <w:snapToGrid w:val="0"/>
        <w:spacing w:line="480" w:lineRule="auto"/>
        <w:rPr>
          <w:rFonts w:ascii="Times New Roman" w:hAnsi="Times New Roman" w:cs="Times New Roman"/>
          <w:sz w:val="18"/>
          <w:szCs w:val="18"/>
        </w:rPr>
      </w:pPr>
      <w:r w:rsidRPr="00912C6D">
        <w:rPr>
          <w:rFonts w:ascii="Times New Roman" w:eastAsia="宋体" w:hAnsi="Times New Roman" w:cs="Times New Roman"/>
          <w:b/>
          <w:bCs/>
          <w:sz w:val="18"/>
          <w:szCs w:val="18"/>
        </w:rPr>
        <w:lastRenderedPageBreak/>
        <w:t xml:space="preserve">Figure </w:t>
      </w:r>
      <w:r w:rsidR="008774D5">
        <w:rPr>
          <w:rFonts w:ascii="Times New Roman" w:eastAsia="宋体" w:hAnsi="Times New Roman" w:cs="Times New Roman" w:hint="eastAsia"/>
          <w:b/>
          <w:bCs/>
          <w:sz w:val="18"/>
          <w:szCs w:val="18"/>
        </w:rPr>
        <w:t>1</w:t>
      </w:r>
      <w:r w:rsidRPr="00912C6D">
        <w:rPr>
          <w:rFonts w:ascii="Times New Roman" w:eastAsia="宋体" w:hAnsi="Times New Roman" w:cs="Times New Roman"/>
          <w:b/>
          <w:bCs/>
          <w:sz w:val="18"/>
          <w:szCs w:val="18"/>
        </w:rPr>
        <w:t xml:space="preserve">. </w:t>
      </w:r>
      <w:r w:rsidRPr="00912C6D">
        <w:rPr>
          <w:rFonts w:ascii="Times New Roman" w:eastAsia="宋体" w:hAnsi="Times New Roman" w:cs="Times New Roman"/>
          <w:sz w:val="18"/>
          <w:szCs w:val="18"/>
        </w:rPr>
        <w:t xml:space="preserve">Fecal microbiota from MM and HC stool donors, respectively, was transplanted into male mice. </w:t>
      </w:r>
      <w:r w:rsidRPr="00912C6D">
        <w:rPr>
          <w:rFonts w:ascii="Times New Roman" w:eastAsia="宋体" w:hAnsi="Times New Roman" w:cs="Times New Roman"/>
          <w:b/>
          <w:bCs/>
          <w:sz w:val="18"/>
          <w:szCs w:val="18"/>
        </w:rPr>
        <w:t>a</w:t>
      </w:r>
      <w:r w:rsidRPr="00912C6D">
        <w:rPr>
          <w:rFonts w:ascii="Times New Roman" w:eastAsia="宋体" w:hAnsi="Times New Roman" w:cs="Times New Roman"/>
          <w:sz w:val="18"/>
          <w:szCs w:val="18"/>
        </w:rPr>
        <w:t xml:space="preserve"> Live imaging of experimental mice at week 7. </w:t>
      </w:r>
      <w:r w:rsidRPr="00912C6D">
        <w:rPr>
          <w:rFonts w:ascii="Times New Roman" w:eastAsia="宋体" w:hAnsi="Times New Roman" w:cs="Times New Roman"/>
          <w:b/>
          <w:bCs/>
          <w:sz w:val="18"/>
          <w:szCs w:val="18"/>
        </w:rPr>
        <w:t>b, c</w:t>
      </w:r>
      <w:r w:rsidRPr="00912C6D">
        <w:rPr>
          <w:rFonts w:ascii="Times New Roman" w:eastAsia="宋体" w:hAnsi="Times New Roman" w:cs="Times New Roman"/>
          <w:sz w:val="18"/>
          <w:szCs w:val="18"/>
        </w:rPr>
        <w:t xml:space="preserve"> The tumor fluorescence intensity (</w:t>
      </w:r>
      <w:r w:rsidRPr="00912C6D">
        <w:rPr>
          <w:rFonts w:ascii="Times New Roman" w:eastAsia="宋体" w:hAnsi="Times New Roman" w:cs="Times New Roman"/>
          <w:b/>
          <w:bCs/>
          <w:sz w:val="18"/>
          <w:szCs w:val="18"/>
        </w:rPr>
        <w:t>b</w:t>
      </w:r>
      <w:r w:rsidRPr="00912C6D">
        <w:rPr>
          <w:rFonts w:ascii="Times New Roman" w:eastAsia="宋体" w:hAnsi="Times New Roman" w:cs="Times New Roman"/>
          <w:sz w:val="18"/>
          <w:szCs w:val="18"/>
        </w:rPr>
        <w:t>) and serum lgG2b (</w:t>
      </w:r>
      <w:r w:rsidRPr="00912C6D">
        <w:rPr>
          <w:rFonts w:ascii="Times New Roman" w:eastAsia="宋体" w:hAnsi="Times New Roman" w:cs="Times New Roman"/>
          <w:b/>
          <w:bCs/>
          <w:sz w:val="18"/>
          <w:szCs w:val="18"/>
        </w:rPr>
        <w:t>c</w:t>
      </w:r>
      <w:r w:rsidRPr="00912C6D">
        <w:rPr>
          <w:rFonts w:ascii="Times New Roman" w:eastAsia="宋体" w:hAnsi="Times New Roman" w:cs="Times New Roman"/>
          <w:sz w:val="18"/>
          <w:szCs w:val="18"/>
        </w:rPr>
        <w:t xml:space="preserve">) of experimental mice at week 7. </w:t>
      </w:r>
      <w:r w:rsidRPr="00912C6D">
        <w:rPr>
          <w:rFonts w:ascii="Times New Roman" w:eastAsia="宋体" w:hAnsi="Times New Roman" w:cs="Times New Roman"/>
          <w:b/>
          <w:bCs/>
          <w:sz w:val="18"/>
          <w:szCs w:val="18"/>
        </w:rPr>
        <w:t>d, e</w:t>
      </w:r>
      <w:r w:rsidRPr="00912C6D">
        <w:rPr>
          <w:rFonts w:ascii="Times New Roman" w:eastAsia="宋体" w:hAnsi="Times New Roman" w:cs="Times New Roman"/>
          <w:sz w:val="18"/>
          <w:szCs w:val="18"/>
        </w:rPr>
        <w:t xml:space="preserve"> The concentration of glutamine in the serum (</w:t>
      </w:r>
      <w:r w:rsidRPr="00912C6D">
        <w:rPr>
          <w:rFonts w:ascii="Times New Roman" w:eastAsia="宋体" w:hAnsi="Times New Roman" w:cs="Times New Roman"/>
          <w:b/>
          <w:bCs/>
          <w:sz w:val="18"/>
          <w:szCs w:val="18"/>
        </w:rPr>
        <w:t>d</w:t>
      </w:r>
      <w:r w:rsidRPr="00912C6D">
        <w:rPr>
          <w:rFonts w:ascii="Times New Roman" w:eastAsia="宋体" w:hAnsi="Times New Roman" w:cs="Times New Roman"/>
          <w:sz w:val="18"/>
          <w:szCs w:val="18"/>
        </w:rPr>
        <w:t>) and cecal contents (</w:t>
      </w:r>
      <w:r w:rsidRPr="00912C6D">
        <w:rPr>
          <w:rFonts w:ascii="Times New Roman" w:eastAsia="宋体" w:hAnsi="Times New Roman" w:cs="Times New Roman"/>
          <w:b/>
          <w:bCs/>
          <w:sz w:val="18"/>
          <w:szCs w:val="18"/>
        </w:rPr>
        <w:t>e</w:t>
      </w:r>
      <w:r w:rsidRPr="00912C6D">
        <w:rPr>
          <w:rFonts w:ascii="Times New Roman" w:eastAsia="宋体" w:hAnsi="Times New Roman" w:cs="Times New Roman"/>
          <w:sz w:val="18"/>
          <w:szCs w:val="18"/>
        </w:rPr>
        <w:t xml:space="preserve">) of experimental mice at week 7. </w:t>
      </w:r>
      <w:r w:rsidRPr="00912C6D">
        <w:rPr>
          <w:rFonts w:ascii="Times New Roman" w:eastAsia="宋体" w:hAnsi="Times New Roman" w:cs="Times New Roman"/>
          <w:b/>
          <w:bCs/>
          <w:sz w:val="18"/>
          <w:szCs w:val="18"/>
        </w:rPr>
        <w:t>f</w:t>
      </w:r>
      <w:r w:rsidRPr="00912C6D">
        <w:rPr>
          <w:rFonts w:ascii="Times New Roman" w:eastAsia="宋体" w:hAnsi="Times New Roman" w:cs="Times New Roman"/>
          <w:sz w:val="18"/>
          <w:szCs w:val="18"/>
        </w:rPr>
        <w:t xml:space="preserve">, </w:t>
      </w:r>
      <w:r w:rsidRPr="00912C6D">
        <w:rPr>
          <w:rFonts w:ascii="Times New Roman" w:eastAsia="宋体" w:hAnsi="Times New Roman" w:cs="Times New Roman"/>
          <w:b/>
          <w:bCs/>
          <w:sz w:val="18"/>
          <w:szCs w:val="18"/>
        </w:rPr>
        <w:t>g</w:t>
      </w:r>
      <w:r w:rsidRPr="00912C6D">
        <w:rPr>
          <w:rFonts w:ascii="Times New Roman" w:eastAsia="宋体" w:hAnsi="Times New Roman" w:cs="Times New Roman"/>
          <w:sz w:val="18"/>
          <w:szCs w:val="18"/>
        </w:rPr>
        <w:t xml:space="preserve"> The activities of urease (</w:t>
      </w:r>
      <w:r w:rsidRPr="00912C6D">
        <w:rPr>
          <w:rFonts w:ascii="Times New Roman" w:eastAsia="宋体" w:hAnsi="Times New Roman" w:cs="Times New Roman"/>
          <w:b/>
          <w:bCs/>
          <w:sz w:val="18"/>
          <w:szCs w:val="18"/>
        </w:rPr>
        <w:t>f</w:t>
      </w:r>
      <w:r w:rsidRPr="00912C6D">
        <w:rPr>
          <w:rFonts w:ascii="Times New Roman" w:eastAsia="宋体" w:hAnsi="Times New Roman" w:cs="Times New Roman"/>
          <w:sz w:val="18"/>
          <w:szCs w:val="18"/>
        </w:rPr>
        <w:t>) and glutamine synthetase (</w:t>
      </w:r>
      <w:r w:rsidRPr="00912C6D">
        <w:rPr>
          <w:rFonts w:ascii="Times New Roman" w:eastAsia="宋体" w:hAnsi="Times New Roman" w:cs="Times New Roman"/>
          <w:b/>
          <w:bCs/>
          <w:sz w:val="18"/>
          <w:szCs w:val="18"/>
        </w:rPr>
        <w:t>g</w:t>
      </w:r>
      <w:r w:rsidRPr="00912C6D">
        <w:rPr>
          <w:rFonts w:ascii="Times New Roman" w:eastAsia="宋体" w:hAnsi="Times New Roman" w:cs="Times New Roman"/>
          <w:sz w:val="18"/>
          <w:szCs w:val="18"/>
        </w:rPr>
        <w:t xml:space="preserve">) in the cecal contents of experimental mice at week 7. </w:t>
      </w:r>
      <w:r w:rsidRPr="00912C6D">
        <w:rPr>
          <w:rFonts w:ascii="Times New Roman" w:hAnsi="Times New Roman" w:cs="Times New Roman"/>
          <w:i/>
          <w:sz w:val="18"/>
          <w:szCs w:val="18"/>
        </w:rPr>
        <w:t>P</w:t>
      </w:r>
      <w:r w:rsidRPr="00912C6D">
        <w:rPr>
          <w:rFonts w:ascii="Times New Roman" w:hAnsi="Times New Roman" w:cs="Times New Roman"/>
          <w:sz w:val="18"/>
          <w:szCs w:val="18"/>
        </w:rPr>
        <w:t xml:space="preserve">-value was determined by using two-tailed unpaired t-test. * </w:t>
      </w:r>
      <w:r w:rsidRPr="00912C6D">
        <w:rPr>
          <w:rFonts w:ascii="Times New Roman" w:hAnsi="Times New Roman" w:cs="Times New Roman"/>
          <w:i/>
          <w:sz w:val="18"/>
          <w:szCs w:val="18"/>
        </w:rPr>
        <w:t>P</w:t>
      </w:r>
      <w:r w:rsidRPr="00912C6D">
        <w:rPr>
          <w:rFonts w:ascii="Times New Roman" w:hAnsi="Times New Roman" w:cs="Times New Roman"/>
          <w:sz w:val="18"/>
          <w:szCs w:val="18"/>
        </w:rPr>
        <w:t xml:space="preserve">&lt;0.05, ** </w:t>
      </w:r>
      <w:r w:rsidRPr="00912C6D">
        <w:rPr>
          <w:rFonts w:ascii="Times New Roman" w:hAnsi="Times New Roman" w:cs="Times New Roman"/>
          <w:i/>
          <w:sz w:val="18"/>
          <w:szCs w:val="18"/>
        </w:rPr>
        <w:t>P</w:t>
      </w:r>
      <w:r w:rsidRPr="00912C6D">
        <w:rPr>
          <w:rFonts w:ascii="Times New Roman" w:hAnsi="Times New Roman" w:cs="Times New Roman"/>
          <w:sz w:val="18"/>
          <w:szCs w:val="18"/>
        </w:rPr>
        <w:t xml:space="preserve">&lt;0.01, *** </w:t>
      </w:r>
      <w:r w:rsidRPr="00912C6D">
        <w:rPr>
          <w:rFonts w:ascii="Times New Roman" w:hAnsi="Times New Roman" w:cs="Times New Roman"/>
          <w:i/>
          <w:sz w:val="18"/>
          <w:szCs w:val="18"/>
        </w:rPr>
        <w:t>P</w:t>
      </w:r>
      <w:r w:rsidRPr="00912C6D">
        <w:rPr>
          <w:rFonts w:ascii="Times New Roman" w:hAnsi="Times New Roman" w:cs="Times New Roman"/>
          <w:sz w:val="18"/>
          <w:szCs w:val="18"/>
        </w:rPr>
        <w:t>&lt;0.001.</w:t>
      </w:r>
    </w:p>
    <w:p w14:paraId="5AF53A40" w14:textId="194D6E32" w:rsidR="00C05F88" w:rsidRDefault="00C05F88" w:rsidP="00C05F88">
      <w:pPr>
        <w:adjustRightInd w:val="0"/>
        <w:snapToGrid w:val="0"/>
        <w:rPr>
          <w:rFonts w:ascii="Times New Roman" w:hAnsi="Times New Roman" w:cs="Times New Roman"/>
          <w:szCs w:val="21"/>
        </w:rPr>
      </w:pPr>
    </w:p>
    <w:p w14:paraId="4A894024" w14:textId="77777777" w:rsidR="00580867" w:rsidRPr="00C65F8C" w:rsidRDefault="00580867" w:rsidP="00C05F88">
      <w:pPr>
        <w:adjustRightInd w:val="0"/>
        <w:snapToGrid w:val="0"/>
        <w:rPr>
          <w:rFonts w:ascii="Times New Roman" w:hAnsi="Times New Roman" w:cs="Times New Roman"/>
          <w:szCs w:val="21"/>
        </w:rPr>
      </w:pPr>
    </w:p>
    <w:p w14:paraId="0CC87DB3" w14:textId="77777777" w:rsidR="00C05F88" w:rsidRPr="00C65F8C" w:rsidRDefault="00C05F88" w:rsidP="00C05F88">
      <w:pPr>
        <w:adjustRightInd w:val="0"/>
        <w:snapToGrid w:val="0"/>
        <w:spacing w:line="480" w:lineRule="auto"/>
        <w:jc w:val="center"/>
        <w:rPr>
          <w:rFonts w:ascii="Times New Roman" w:eastAsia="宋体" w:hAnsi="Times New Roman" w:cs="Times New Roman"/>
          <w:szCs w:val="21"/>
        </w:rPr>
      </w:pPr>
      <w:r w:rsidRPr="00C65F8C">
        <w:rPr>
          <w:rFonts w:ascii="Times New Roman" w:eastAsia="宋体" w:hAnsi="Times New Roman" w:cs="Times New Roman"/>
          <w:noProof/>
          <w:szCs w:val="21"/>
        </w:rPr>
        <w:drawing>
          <wp:inline distT="0" distB="0" distL="0" distR="0" wp14:anchorId="360246BB" wp14:editId="1D37A92A">
            <wp:extent cx="4375279" cy="4016117"/>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4095" cy="4226150"/>
                    </a:xfrm>
                    <a:prstGeom prst="rect">
                      <a:avLst/>
                    </a:prstGeom>
                    <a:noFill/>
                  </pic:spPr>
                </pic:pic>
              </a:graphicData>
            </a:graphic>
          </wp:inline>
        </w:drawing>
      </w:r>
    </w:p>
    <w:p w14:paraId="028AE458" w14:textId="34F2A497" w:rsidR="00C05F88" w:rsidRPr="00912C6D" w:rsidRDefault="00C05F88" w:rsidP="000D35E9">
      <w:pPr>
        <w:adjustRightInd w:val="0"/>
        <w:snapToGrid w:val="0"/>
        <w:spacing w:line="480" w:lineRule="auto"/>
        <w:rPr>
          <w:rFonts w:ascii="Times New Roman" w:hAnsi="Times New Roman" w:cs="Times New Roman"/>
          <w:sz w:val="18"/>
          <w:szCs w:val="18"/>
        </w:rPr>
      </w:pPr>
      <w:r w:rsidRPr="00912C6D">
        <w:rPr>
          <w:rFonts w:ascii="Times New Roman" w:eastAsia="宋体" w:hAnsi="Times New Roman" w:cs="Times New Roman"/>
          <w:b/>
          <w:bCs/>
          <w:sz w:val="18"/>
          <w:szCs w:val="18"/>
        </w:rPr>
        <w:t xml:space="preserve">Figure </w:t>
      </w:r>
      <w:r w:rsidR="008774D5">
        <w:rPr>
          <w:rFonts w:ascii="Times New Roman" w:eastAsia="宋体" w:hAnsi="Times New Roman" w:cs="Times New Roman" w:hint="eastAsia"/>
          <w:b/>
          <w:bCs/>
          <w:sz w:val="18"/>
          <w:szCs w:val="18"/>
        </w:rPr>
        <w:t>2</w:t>
      </w:r>
      <w:r w:rsidRPr="00912C6D">
        <w:rPr>
          <w:rFonts w:ascii="Times New Roman" w:eastAsia="宋体" w:hAnsi="Times New Roman" w:cs="Times New Roman"/>
          <w:b/>
          <w:bCs/>
          <w:sz w:val="18"/>
          <w:szCs w:val="18"/>
        </w:rPr>
        <w:t xml:space="preserve">. </w:t>
      </w:r>
      <w:r w:rsidRPr="00912C6D">
        <w:rPr>
          <w:rFonts w:ascii="Times New Roman" w:eastAsia="宋体" w:hAnsi="Times New Roman" w:cs="Times New Roman"/>
          <w:sz w:val="18"/>
          <w:szCs w:val="18"/>
        </w:rPr>
        <w:t xml:space="preserve">Fecal microbiota from MM and HC stool donors, respectively, was transplanted into female mice. </w:t>
      </w:r>
      <w:r w:rsidRPr="00912C6D">
        <w:rPr>
          <w:rFonts w:ascii="Times New Roman" w:eastAsia="宋体" w:hAnsi="Times New Roman" w:cs="Times New Roman"/>
          <w:b/>
          <w:bCs/>
          <w:sz w:val="18"/>
          <w:szCs w:val="18"/>
        </w:rPr>
        <w:t>a</w:t>
      </w:r>
      <w:r w:rsidRPr="00912C6D">
        <w:rPr>
          <w:rFonts w:ascii="Times New Roman" w:eastAsia="宋体" w:hAnsi="Times New Roman" w:cs="Times New Roman"/>
          <w:sz w:val="18"/>
          <w:szCs w:val="18"/>
        </w:rPr>
        <w:t xml:space="preserve"> Live imaging of experimental mice at week 7. </w:t>
      </w:r>
      <w:r w:rsidRPr="00912C6D">
        <w:rPr>
          <w:rFonts w:ascii="Times New Roman" w:eastAsia="宋体" w:hAnsi="Times New Roman" w:cs="Times New Roman"/>
          <w:b/>
          <w:bCs/>
          <w:sz w:val="18"/>
          <w:szCs w:val="18"/>
        </w:rPr>
        <w:t>b, c</w:t>
      </w:r>
      <w:r w:rsidRPr="00912C6D">
        <w:rPr>
          <w:rFonts w:ascii="Times New Roman" w:eastAsia="宋体" w:hAnsi="Times New Roman" w:cs="Times New Roman"/>
          <w:sz w:val="18"/>
          <w:szCs w:val="18"/>
        </w:rPr>
        <w:t xml:space="preserve"> The tumor fluorescence intensity (</w:t>
      </w:r>
      <w:r w:rsidRPr="00912C6D">
        <w:rPr>
          <w:rFonts w:ascii="Times New Roman" w:eastAsia="宋体" w:hAnsi="Times New Roman" w:cs="Times New Roman"/>
          <w:b/>
          <w:bCs/>
          <w:sz w:val="18"/>
          <w:szCs w:val="18"/>
        </w:rPr>
        <w:t>b</w:t>
      </w:r>
      <w:r w:rsidRPr="00912C6D">
        <w:rPr>
          <w:rFonts w:ascii="Times New Roman" w:eastAsia="宋体" w:hAnsi="Times New Roman" w:cs="Times New Roman"/>
          <w:sz w:val="18"/>
          <w:szCs w:val="18"/>
        </w:rPr>
        <w:t>) and serum lgG2b (</w:t>
      </w:r>
      <w:r w:rsidRPr="00912C6D">
        <w:rPr>
          <w:rFonts w:ascii="Times New Roman" w:eastAsia="宋体" w:hAnsi="Times New Roman" w:cs="Times New Roman"/>
          <w:b/>
          <w:bCs/>
          <w:sz w:val="18"/>
          <w:szCs w:val="18"/>
        </w:rPr>
        <w:t>c</w:t>
      </w:r>
      <w:r w:rsidRPr="00912C6D">
        <w:rPr>
          <w:rFonts w:ascii="Times New Roman" w:eastAsia="宋体" w:hAnsi="Times New Roman" w:cs="Times New Roman"/>
          <w:sz w:val="18"/>
          <w:szCs w:val="18"/>
        </w:rPr>
        <w:t xml:space="preserve">) of experimental mice at week 7. </w:t>
      </w:r>
      <w:r w:rsidRPr="00912C6D">
        <w:rPr>
          <w:rFonts w:ascii="Times New Roman" w:eastAsia="宋体" w:hAnsi="Times New Roman" w:cs="Times New Roman"/>
          <w:b/>
          <w:bCs/>
          <w:sz w:val="18"/>
          <w:szCs w:val="18"/>
        </w:rPr>
        <w:t>d, e</w:t>
      </w:r>
      <w:r w:rsidRPr="00912C6D">
        <w:rPr>
          <w:rFonts w:ascii="Times New Roman" w:eastAsia="宋体" w:hAnsi="Times New Roman" w:cs="Times New Roman"/>
          <w:sz w:val="18"/>
          <w:szCs w:val="18"/>
        </w:rPr>
        <w:t xml:space="preserve"> The concentration of glutamine in the serum (</w:t>
      </w:r>
      <w:r w:rsidRPr="00912C6D">
        <w:rPr>
          <w:rFonts w:ascii="Times New Roman" w:eastAsia="宋体" w:hAnsi="Times New Roman" w:cs="Times New Roman"/>
          <w:b/>
          <w:bCs/>
          <w:sz w:val="18"/>
          <w:szCs w:val="18"/>
        </w:rPr>
        <w:t>d</w:t>
      </w:r>
      <w:r w:rsidRPr="00912C6D">
        <w:rPr>
          <w:rFonts w:ascii="Times New Roman" w:eastAsia="宋体" w:hAnsi="Times New Roman" w:cs="Times New Roman"/>
          <w:sz w:val="18"/>
          <w:szCs w:val="18"/>
        </w:rPr>
        <w:t>) and cecal contents (</w:t>
      </w:r>
      <w:r w:rsidRPr="00912C6D">
        <w:rPr>
          <w:rFonts w:ascii="Times New Roman" w:eastAsia="宋体" w:hAnsi="Times New Roman" w:cs="Times New Roman"/>
          <w:b/>
          <w:bCs/>
          <w:sz w:val="18"/>
          <w:szCs w:val="18"/>
        </w:rPr>
        <w:t>e</w:t>
      </w:r>
      <w:r w:rsidRPr="00912C6D">
        <w:rPr>
          <w:rFonts w:ascii="Times New Roman" w:eastAsia="宋体" w:hAnsi="Times New Roman" w:cs="Times New Roman"/>
          <w:sz w:val="18"/>
          <w:szCs w:val="18"/>
        </w:rPr>
        <w:t xml:space="preserve">) of experimental mice at week 7. </w:t>
      </w:r>
      <w:r w:rsidRPr="00912C6D">
        <w:rPr>
          <w:rFonts w:ascii="Times New Roman" w:eastAsia="宋体" w:hAnsi="Times New Roman" w:cs="Times New Roman"/>
          <w:b/>
          <w:bCs/>
          <w:sz w:val="18"/>
          <w:szCs w:val="18"/>
        </w:rPr>
        <w:t>f</w:t>
      </w:r>
      <w:r w:rsidRPr="00912C6D">
        <w:rPr>
          <w:rFonts w:ascii="Times New Roman" w:eastAsia="宋体" w:hAnsi="Times New Roman" w:cs="Times New Roman"/>
          <w:sz w:val="18"/>
          <w:szCs w:val="18"/>
        </w:rPr>
        <w:t xml:space="preserve">, </w:t>
      </w:r>
      <w:r w:rsidRPr="00912C6D">
        <w:rPr>
          <w:rFonts w:ascii="Times New Roman" w:eastAsia="宋体" w:hAnsi="Times New Roman" w:cs="Times New Roman"/>
          <w:b/>
          <w:bCs/>
          <w:sz w:val="18"/>
          <w:szCs w:val="18"/>
        </w:rPr>
        <w:t>g</w:t>
      </w:r>
      <w:r w:rsidRPr="00912C6D">
        <w:rPr>
          <w:rFonts w:ascii="Times New Roman" w:eastAsia="宋体" w:hAnsi="Times New Roman" w:cs="Times New Roman"/>
          <w:sz w:val="18"/>
          <w:szCs w:val="18"/>
        </w:rPr>
        <w:t xml:space="preserve"> The activities of urease (</w:t>
      </w:r>
      <w:r w:rsidRPr="00912C6D">
        <w:rPr>
          <w:rFonts w:ascii="Times New Roman" w:eastAsia="宋体" w:hAnsi="Times New Roman" w:cs="Times New Roman"/>
          <w:b/>
          <w:bCs/>
          <w:sz w:val="18"/>
          <w:szCs w:val="18"/>
        </w:rPr>
        <w:t>f</w:t>
      </w:r>
      <w:r w:rsidRPr="00912C6D">
        <w:rPr>
          <w:rFonts w:ascii="Times New Roman" w:eastAsia="宋体" w:hAnsi="Times New Roman" w:cs="Times New Roman"/>
          <w:sz w:val="18"/>
          <w:szCs w:val="18"/>
        </w:rPr>
        <w:t>) and glutamine synthetase (</w:t>
      </w:r>
      <w:r w:rsidRPr="00912C6D">
        <w:rPr>
          <w:rFonts w:ascii="Times New Roman" w:eastAsia="宋体" w:hAnsi="Times New Roman" w:cs="Times New Roman"/>
          <w:b/>
          <w:bCs/>
          <w:sz w:val="18"/>
          <w:szCs w:val="18"/>
        </w:rPr>
        <w:t>g</w:t>
      </w:r>
      <w:r w:rsidRPr="00912C6D">
        <w:rPr>
          <w:rFonts w:ascii="Times New Roman" w:eastAsia="宋体" w:hAnsi="Times New Roman" w:cs="Times New Roman"/>
          <w:sz w:val="18"/>
          <w:szCs w:val="18"/>
        </w:rPr>
        <w:t xml:space="preserve">) in the cecal contents of experimental mice at week 7. </w:t>
      </w:r>
      <w:r w:rsidRPr="00912C6D">
        <w:rPr>
          <w:rFonts w:ascii="Times New Roman" w:hAnsi="Times New Roman" w:cs="Times New Roman"/>
          <w:i/>
          <w:sz w:val="18"/>
          <w:szCs w:val="18"/>
        </w:rPr>
        <w:t>P</w:t>
      </w:r>
      <w:r w:rsidRPr="00912C6D">
        <w:rPr>
          <w:rFonts w:ascii="Times New Roman" w:hAnsi="Times New Roman" w:cs="Times New Roman"/>
          <w:sz w:val="18"/>
          <w:szCs w:val="18"/>
        </w:rPr>
        <w:t xml:space="preserve">-value was determined by using two-tailed unpaired t-test. * </w:t>
      </w:r>
      <w:r w:rsidRPr="00912C6D">
        <w:rPr>
          <w:rFonts w:ascii="Times New Roman" w:hAnsi="Times New Roman" w:cs="Times New Roman"/>
          <w:i/>
          <w:sz w:val="18"/>
          <w:szCs w:val="18"/>
        </w:rPr>
        <w:t>P</w:t>
      </w:r>
      <w:r w:rsidRPr="00912C6D">
        <w:rPr>
          <w:rFonts w:ascii="Times New Roman" w:hAnsi="Times New Roman" w:cs="Times New Roman"/>
          <w:sz w:val="18"/>
          <w:szCs w:val="18"/>
        </w:rPr>
        <w:t xml:space="preserve">&lt;0.05, ** </w:t>
      </w:r>
      <w:r w:rsidRPr="00912C6D">
        <w:rPr>
          <w:rFonts w:ascii="Times New Roman" w:hAnsi="Times New Roman" w:cs="Times New Roman"/>
          <w:i/>
          <w:sz w:val="18"/>
          <w:szCs w:val="18"/>
        </w:rPr>
        <w:t>P</w:t>
      </w:r>
      <w:r w:rsidRPr="00912C6D">
        <w:rPr>
          <w:rFonts w:ascii="Times New Roman" w:hAnsi="Times New Roman" w:cs="Times New Roman"/>
          <w:sz w:val="18"/>
          <w:szCs w:val="18"/>
        </w:rPr>
        <w:t xml:space="preserve">&lt;0.01, *** </w:t>
      </w:r>
      <w:r w:rsidRPr="00912C6D">
        <w:rPr>
          <w:rFonts w:ascii="Times New Roman" w:hAnsi="Times New Roman" w:cs="Times New Roman"/>
          <w:i/>
          <w:sz w:val="18"/>
          <w:szCs w:val="18"/>
        </w:rPr>
        <w:t>P</w:t>
      </w:r>
      <w:r w:rsidRPr="00912C6D">
        <w:rPr>
          <w:rFonts w:ascii="Times New Roman" w:hAnsi="Times New Roman" w:cs="Times New Roman"/>
          <w:sz w:val="18"/>
          <w:szCs w:val="18"/>
        </w:rPr>
        <w:t>&lt;0.001.</w:t>
      </w:r>
    </w:p>
    <w:p w14:paraId="2566ACCE" w14:textId="77777777" w:rsidR="00006A64" w:rsidRDefault="00006A64"/>
    <w:sectPr w:rsidR="00006A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6C040" w14:textId="77777777" w:rsidR="006917F9" w:rsidRDefault="006917F9" w:rsidP="006917F9">
      <w:r>
        <w:separator/>
      </w:r>
    </w:p>
  </w:endnote>
  <w:endnote w:type="continuationSeparator" w:id="0">
    <w:p w14:paraId="1439E76C" w14:textId="77777777" w:rsidR="006917F9" w:rsidRDefault="006917F9" w:rsidP="00691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7B7E5" w14:textId="77777777" w:rsidR="006917F9" w:rsidRDefault="006917F9" w:rsidP="006917F9">
      <w:r>
        <w:separator/>
      </w:r>
    </w:p>
  </w:footnote>
  <w:footnote w:type="continuationSeparator" w:id="0">
    <w:p w14:paraId="26084E71" w14:textId="77777777" w:rsidR="006917F9" w:rsidRDefault="006917F9" w:rsidP="006917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5FB7"/>
    <w:rsid w:val="00006A64"/>
    <w:rsid w:val="000A2C4B"/>
    <w:rsid w:val="000D35E9"/>
    <w:rsid w:val="00120F37"/>
    <w:rsid w:val="001B12D4"/>
    <w:rsid w:val="00297C8B"/>
    <w:rsid w:val="00305FB7"/>
    <w:rsid w:val="00364330"/>
    <w:rsid w:val="00382978"/>
    <w:rsid w:val="004346C8"/>
    <w:rsid w:val="00444F39"/>
    <w:rsid w:val="00460CC7"/>
    <w:rsid w:val="004F77A5"/>
    <w:rsid w:val="00580867"/>
    <w:rsid w:val="00583E58"/>
    <w:rsid w:val="005A63CF"/>
    <w:rsid w:val="005C3E1C"/>
    <w:rsid w:val="005E50CE"/>
    <w:rsid w:val="006917F9"/>
    <w:rsid w:val="006C05B2"/>
    <w:rsid w:val="00784397"/>
    <w:rsid w:val="007B672E"/>
    <w:rsid w:val="007D27A9"/>
    <w:rsid w:val="007E6961"/>
    <w:rsid w:val="007F72E8"/>
    <w:rsid w:val="008774D5"/>
    <w:rsid w:val="009B0364"/>
    <w:rsid w:val="00C05F88"/>
    <w:rsid w:val="00C574B1"/>
    <w:rsid w:val="00D761B0"/>
    <w:rsid w:val="00D8736D"/>
    <w:rsid w:val="00E70278"/>
    <w:rsid w:val="00EA3C28"/>
    <w:rsid w:val="00F61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53B5CB"/>
  <w15:docId w15:val="{572FF9FE-33C3-44B0-9F87-E73793B8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A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6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06A64"/>
    <w:rPr>
      <w:sz w:val="18"/>
      <w:szCs w:val="18"/>
    </w:rPr>
  </w:style>
  <w:style w:type="character" w:customStyle="1" w:styleId="a5">
    <w:name w:val="批注框文本 字符"/>
    <w:basedOn w:val="a0"/>
    <w:link w:val="a4"/>
    <w:uiPriority w:val="99"/>
    <w:semiHidden/>
    <w:rsid w:val="00006A64"/>
    <w:rPr>
      <w:sz w:val="18"/>
      <w:szCs w:val="18"/>
    </w:rPr>
  </w:style>
  <w:style w:type="paragraph" w:styleId="a6">
    <w:name w:val="header"/>
    <w:basedOn w:val="a"/>
    <w:link w:val="a7"/>
    <w:uiPriority w:val="99"/>
    <w:unhideWhenUsed/>
    <w:rsid w:val="006917F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6917F9"/>
    <w:rPr>
      <w:sz w:val="18"/>
      <w:szCs w:val="18"/>
    </w:rPr>
  </w:style>
  <w:style w:type="paragraph" w:styleId="a8">
    <w:name w:val="footer"/>
    <w:basedOn w:val="a"/>
    <w:link w:val="a9"/>
    <w:uiPriority w:val="99"/>
    <w:unhideWhenUsed/>
    <w:rsid w:val="006917F9"/>
    <w:pPr>
      <w:tabs>
        <w:tab w:val="center" w:pos="4153"/>
        <w:tab w:val="right" w:pos="8306"/>
      </w:tabs>
      <w:snapToGrid w:val="0"/>
      <w:jc w:val="left"/>
    </w:pPr>
    <w:rPr>
      <w:sz w:val="18"/>
      <w:szCs w:val="18"/>
    </w:rPr>
  </w:style>
  <w:style w:type="character" w:customStyle="1" w:styleId="a9">
    <w:name w:val="页脚 字符"/>
    <w:basedOn w:val="a0"/>
    <w:link w:val="a8"/>
    <w:uiPriority w:val="99"/>
    <w:rsid w:val="006917F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351</Words>
  <Characters>2006</Characters>
  <Application>Microsoft Office Word</Application>
  <DocSecurity>0</DocSecurity>
  <Lines>16</Lines>
  <Paragraphs>4</Paragraphs>
  <ScaleCrop>false</ScaleCrop>
  <Company>www.win10ghost.net</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dc:creator>
  <cp:keywords/>
  <dc:description/>
  <cp:lastModifiedBy>China</cp:lastModifiedBy>
  <cp:revision>28</cp:revision>
  <dcterms:created xsi:type="dcterms:W3CDTF">2020-04-26T13:26:00Z</dcterms:created>
  <dcterms:modified xsi:type="dcterms:W3CDTF">2020-04-29T10:00:00Z</dcterms:modified>
</cp:coreProperties>
</file>