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305094" w14:textId="1369A15D" w:rsidR="0021278C" w:rsidRDefault="0021278C">
      <w:pPr>
        <w:rPr>
          <w:rFonts w:ascii="Times New Roman" w:eastAsia="Times New Roman" w:hAnsi="Times New Roman" w:cs="Times New Roman"/>
        </w:rPr>
      </w:pPr>
    </w:p>
    <w:p w14:paraId="69F1AEAE" w14:textId="2C6AFC06" w:rsidR="0021278C" w:rsidRDefault="000B3583" w:rsidP="0021278C">
      <w:pPr>
        <w:spacing w:line="480" w:lineRule="auto"/>
        <w:rPr>
          <w:rFonts w:ascii="Times New Roman" w:eastAsia="Times New Roman" w:hAnsi="Times New Roman" w:cs="Times New Roman"/>
        </w:rPr>
      </w:pPr>
      <w:r w:rsidRPr="000B3583">
        <w:rPr>
          <w:rFonts w:ascii="Times New Roman" w:eastAsia="Times New Roman" w:hAnsi="Times New Roman" w:cs="Times New Roman"/>
          <w:noProof/>
          <w:lang w:eastAsia="en-US"/>
        </w:rPr>
        <w:drawing>
          <wp:inline distT="0" distB="0" distL="0" distR="0" wp14:anchorId="1F533252" wp14:editId="508AD24A">
            <wp:extent cx="5943600" cy="6029325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2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E17C7" w14:textId="1025D2EE" w:rsidR="0021278C" w:rsidRPr="0021278C" w:rsidRDefault="0021278C" w:rsidP="0021278C">
      <w:pPr>
        <w:spacing w:line="480" w:lineRule="auto"/>
        <w:rPr>
          <w:rFonts w:ascii="Times New Roman" w:eastAsia="Times New Roman" w:hAnsi="Times New Roman" w:cs="Times New Roman"/>
        </w:rPr>
      </w:pPr>
      <w:r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 xml:space="preserve">Figure S1. Taxonomic overview of patient stool samples at the genus level. </w:t>
      </w:r>
      <w:r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Genus composition of RBX2660 products was added to the corresponding recipient. </w:t>
      </w:r>
      <w:r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 xml:space="preserve">a </w:t>
      </w:r>
      <w:r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Patients who received 2 doses of placebo. </w:t>
      </w:r>
      <w:r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 xml:space="preserve">b </w:t>
      </w:r>
      <w:r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Patients who received 1 dose RBX2660 and 1 dose of placebo. </w:t>
      </w:r>
      <w:r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 xml:space="preserve">c </w:t>
      </w:r>
      <w:r w:rsidRPr="0021278C">
        <w:rPr>
          <w:rFonts w:ascii="Times" w:eastAsia="Times New Roman" w:hAnsi="Times" w:cs="Times New Roman"/>
          <w:color w:val="000000"/>
          <w:sz w:val="22"/>
          <w:szCs w:val="22"/>
        </w:rPr>
        <w:t>Patients who received 2 doses of</w:t>
      </w:r>
      <w:r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 xml:space="preserve"> </w:t>
      </w:r>
      <w:r w:rsidRPr="0021278C">
        <w:rPr>
          <w:rFonts w:ascii="Times" w:eastAsia="Times New Roman" w:hAnsi="Times" w:cs="Times New Roman"/>
          <w:color w:val="000000"/>
          <w:sz w:val="22"/>
          <w:szCs w:val="22"/>
        </w:rPr>
        <w:t>RBX2660.</w:t>
      </w:r>
      <w:r w:rsidR="00547F08">
        <w:rPr>
          <w:rFonts w:ascii="Times" w:eastAsia="Times New Roman" w:hAnsi="Times" w:cs="Times New Roman"/>
          <w:color w:val="000000"/>
          <w:sz w:val="22"/>
          <w:szCs w:val="22"/>
        </w:rPr>
        <w:t xml:space="preserve"> </w:t>
      </w:r>
      <w:r w:rsidR="00A334AE" w:rsidRPr="00A334AE">
        <w:rPr>
          <w:rFonts w:ascii="Times" w:eastAsia="Times New Roman" w:hAnsi="Times" w:cs="Times New Roman"/>
          <w:color w:val="000000"/>
          <w:sz w:val="22"/>
          <w:szCs w:val="22"/>
        </w:rPr>
        <w:t xml:space="preserve">Patients R0-01, R0-20, and R2-09, who had only the baseline specimen (due to early </w:t>
      </w:r>
      <w:proofErr w:type="spellStart"/>
      <w:r w:rsidR="00A334AE" w:rsidRPr="00A334AE">
        <w:rPr>
          <w:rFonts w:ascii="Times" w:eastAsia="Times New Roman" w:hAnsi="Times" w:cs="Times New Roman"/>
          <w:color w:val="000000"/>
          <w:sz w:val="22"/>
          <w:szCs w:val="22"/>
        </w:rPr>
        <w:t>rCDI</w:t>
      </w:r>
      <w:proofErr w:type="spellEnd"/>
      <w:r w:rsidR="00A334AE" w:rsidRPr="00A334AE">
        <w:rPr>
          <w:rFonts w:ascii="Times" w:eastAsia="Times New Roman" w:hAnsi="Times" w:cs="Times New Roman"/>
          <w:color w:val="000000"/>
          <w:sz w:val="22"/>
          <w:szCs w:val="22"/>
        </w:rPr>
        <w:t xml:space="preserve">) that </w:t>
      </w:r>
      <w:r w:rsidR="00A334AE">
        <w:rPr>
          <w:rFonts w:ascii="Times" w:eastAsia="Times New Roman" w:hAnsi="Times" w:cs="Times New Roman"/>
          <w:color w:val="000000"/>
          <w:sz w:val="22"/>
          <w:szCs w:val="22"/>
        </w:rPr>
        <w:t>exhibited</w:t>
      </w:r>
      <w:r w:rsidR="00A334AE" w:rsidRPr="00A334AE">
        <w:rPr>
          <w:rFonts w:ascii="Times" w:eastAsia="Times New Roman" w:hAnsi="Times" w:cs="Times New Roman"/>
          <w:color w:val="000000"/>
          <w:sz w:val="22"/>
          <w:szCs w:val="22"/>
        </w:rPr>
        <w:t xml:space="preserve"> insufficient sequencing depth for the </w:t>
      </w:r>
      <w:r w:rsidR="00A334AE">
        <w:rPr>
          <w:rFonts w:ascii="Times" w:eastAsia="Times New Roman" w:hAnsi="Times" w:cs="Times New Roman"/>
          <w:color w:val="000000"/>
          <w:sz w:val="22"/>
          <w:szCs w:val="22"/>
        </w:rPr>
        <w:t xml:space="preserve">analysis of </w:t>
      </w:r>
      <w:r w:rsidR="00A334AE" w:rsidRPr="00A334AE">
        <w:rPr>
          <w:rFonts w:ascii="Times" w:eastAsia="Times New Roman" w:hAnsi="Times" w:cs="Times New Roman"/>
          <w:color w:val="000000"/>
          <w:sz w:val="22"/>
          <w:szCs w:val="22"/>
        </w:rPr>
        <w:t>taxonomic structure</w:t>
      </w:r>
      <w:r w:rsidR="00A334AE">
        <w:rPr>
          <w:rFonts w:ascii="Times" w:eastAsia="Times New Roman" w:hAnsi="Times" w:cs="Times New Roman"/>
          <w:color w:val="000000"/>
          <w:sz w:val="22"/>
          <w:szCs w:val="22"/>
        </w:rPr>
        <w:t xml:space="preserve"> </w:t>
      </w:r>
      <w:r w:rsidR="00A334AE" w:rsidRPr="00A334AE">
        <w:rPr>
          <w:rFonts w:ascii="Times" w:eastAsia="Times New Roman" w:hAnsi="Times" w:cs="Times New Roman"/>
          <w:color w:val="000000"/>
          <w:sz w:val="22"/>
          <w:szCs w:val="22"/>
        </w:rPr>
        <w:t xml:space="preserve">after decontamination </w:t>
      </w:r>
      <w:r w:rsidR="00A334AE" w:rsidRPr="00A334AE">
        <w:rPr>
          <w:rFonts w:ascii="Times" w:eastAsia="Times New Roman" w:hAnsi="Times" w:cs="Times New Roman"/>
          <w:color w:val="000000"/>
          <w:sz w:val="22"/>
          <w:szCs w:val="22"/>
        </w:rPr>
        <w:lastRenderedPageBreak/>
        <w:t>of human reads, were omitted.</w:t>
      </w:r>
      <w:r w:rsidR="00FB1DB8">
        <w:rPr>
          <w:rFonts w:ascii="Times" w:eastAsia="Times New Roman" w:hAnsi="Times" w:cs="Times New Roman"/>
          <w:color w:val="000000"/>
          <w:sz w:val="22"/>
          <w:szCs w:val="22"/>
        </w:rPr>
        <w:t xml:space="preserve"> Patient R2-17 was also omitted from this analysis due to incomplete donor RBX2660 information.</w:t>
      </w:r>
    </w:p>
    <w:p w14:paraId="3A430256" w14:textId="77777777" w:rsidR="0021278C" w:rsidRPr="0021278C" w:rsidRDefault="0021278C" w:rsidP="0021278C">
      <w:pPr>
        <w:rPr>
          <w:rFonts w:ascii="Times New Roman" w:eastAsia="Times New Roman" w:hAnsi="Times New Roman" w:cs="Times New Roman"/>
        </w:rPr>
      </w:pPr>
    </w:p>
    <w:p w14:paraId="265A56CE" w14:textId="77777777" w:rsidR="0021278C" w:rsidRDefault="0021278C">
      <w:pPr>
        <w:rPr>
          <w:rFonts w:ascii="Times" w:eastAsia="Times New Roman" w:hAnsi="Times" w:cs="Times New Roman"/>
          <w:b/>
          <w:bCs/>
          <w:color w:val="000000"/>
          <w:sz w:val="22"/>
          <w:szCs w:val="22"/>
        </w:rPr>
      </w:pPr>
      <w:r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br w:type="page"/>
      </w:r>
    </w:p>
    <w:p w14:paraId="6F5121B1" w14:textId="079CD155" w:rsidR="0021278C" w:rsidRDefault="00B86804" w:rsidP="0021278C">
      <w:pPr>
        <w:spacing w:line="480" w:lineRule="auto"/>
        <w:rPr>
          <w:noProof/>
        </w:rPr>
      </w:pPr>
      <w:r w:rsidRPr="00B86804">
        <w:rPr>
          <w:noProof/>
        </w:rPr>
        <w:lastRenderedPageBreak/>
        <w:t xml:space="preserve"> </w:t>
      </w:r>
    </w:p>
    <w:p w14:paraId="01E0E82B" w14:textId="308FF3CC" w:rsidR="00BE2855" w:rsidRDefault="00BE2855" w:rsidP="008D25D1">
      <w:pPr>
        <w:spacing w:line="480" w:lineRule="auto"/>
        <w:jc w:val="center"/>
        <w:rPr>
          <w:rFonts w:ascii="Times" w:eastAsia="Times New Roman" w:hAnsi="Times" w:cs="Times New Roman"/>
          <w:b/>
          <w:bCs/>
          <w:color w:val="000000"/>
          <w:sz w:val="22"/>
          <w:szCs w:val="22"/>
        </w:rPr>
      </w:pPr>
      <w:r w:rsidRPr="00BE2855">
        <w:rPr>
          <w:rFonts w:ascii="Times" w:eastAsia="Times New Roman" w:hAnsi="Times" w:cs="Times New Roman"/>
          <w:b/>
          <w:bCs/>
          <w:noProof/>
          <w:color w:val="000000"/>
          <w:sz w:val="22"/>
          <w:szCs w:val="22"/>
        </w:rPr>
        <w:drawing>
          <wp:inline distT="0" distB="0" distL="0" distR="0" wp14:anchorId="1D88A457" wp14:editId="5B73367A">
            <wp:extent cx="5817995" cy="353481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30415" cy="3542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E7ACF" w14:textId="091B50AA" w:rsidR="001F7C41" w:rsidRDefault="0021278C" w:rsidP="0021278C">
      <w:pPr>
        <w:spacing w:line="480" w:lineRule="auto"/>
        <w:rPr>
          <w:rFonts w:ascii="Times" w:eastAsia="Times New Roman" w:hAnsi="Times" w:cs="Times New Roman"/>
          <w:color w:val="000000"/>
          <w:sz w:val="22"/>
          <w:szCs w:val="22"/>
        </w:rPr>
      </w:pPr>
      <w:r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 xml:space="preserve">Figure S2. Taxonomic shift by treatments (related Fig. 2). a </w:t>
      </w:r>
      <w:r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Distribution of inter-subjects Bray-Curtis </w:t>
      </w:r>
      <w:r w:rsidR="0061390C">
        <w:rPr>
          <w:rFonts w:ascii="Times" w:eastAsia="Times New Roman" w:hAnsi="Times" w:cs="Times New Roman"/>
          <w:color w:val="000000"/>
          <w:sz w:val="22"/>
          <w:szCs w:val="22"/>
        </w:rPr>
        <w:t>dissimilarities</w:t>
      </w:r>
      <w:r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 (yellow) and intra-subject </w:t>
      </w:r>
      <w:r w:rsidR="0061390C">
        <w:rPr>
          <w:rFonts w:ascii="Times" w:eastAsia="Times New Roman" w:hAnsi="Times" w:cs="Times New Roman"/>
          <w:color w:val="000000"/>
          <w:sz w:val="22"/>
          <w:szCs w:val="22"/>
        </w:rPr>
        <w:t>dissimilarities</w:t>
      </w:r>
      <w:r w:rsidR="0061390C"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 </w:t>
      </w:r>
      <w:r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(green) regarding taxonomic structures by treatment groups (column) and by time frames (rows). The similar distribution of inter-subjects and intra-subject </w:t>
      </w:r>
      <w:r w:rsidR="0061390C">
        <w:rPr>
          <w:rFonts w:ascii="Times" w:eastAsia="Times New Roman" w:hAnsi="Times" w:cs="Times New Roman"/>
          <w:color w:val="000000"/>
          <w:sz w:val="22"/>
          <w:szCs w:val="22"/>
        </w:rPr>
        <w:t>dissimilarities</w:t>
      </w:r>
      <w:r w:rsidR="0061390C"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 </w:t>
      </w:r>
      <w:r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during the first week in all conditions suggests significant taxonomic shifts in </w:t>
      </w:r>
      <w:r w:rsidR="00F25610" w:rsidRPr="0021278C">
        <w:rPr>
          <w:rFonts w:ascii="Times" w:eastAsia="Times New Roman" w:hAnsi="Times" w:cs="Times New Roman"/>
          <w:color w:val="000000"/>
          <w:sz w:val="22"/>
          <w:szCs w:val="22"/>
        </w:rPr>
        <w:t>early stage</w:t>
      </w:r>
      <w:r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 regardless of the dose of RBX2660.</w:t>
      </w:r>
      <w:r w:rsidR="00BE2855" w:rsidRPr="00BE2855">
        <w:t xml:space="preserve"> </w:t>
      </w:r>
      <w:r w:rsidR="00BE2855" w:rsidRPr="00BE2855">
        <w:rPr>
          <w:rFonts w:ascii="Times" w:eastAsia="Times New Roman" w:hAnsi="Times" w:cs="Times New Roman"/>
          <w:color w:val="000000"/>
          <w:sz w:val="22"/>
          <w:szCs w:val="22"/>
        </w:rPr>
        <w:t>Wilcoxon rank sum tests</w:t>
      </w:r>
      <w:r w:rsidR="00BE2855">
        <w:rPr>
          <w:rFonts w:ascii="Times" w:eastAsia="Times New Roman" w:hAnsi="Times" w:cs="Times New Roman"/>
          <w:color w:val="000000"/>
          <w:sz w:val="22"/>
          <w:szCs w:val="22"/>
        </w:rPr>
        <w:t xml:space="preserve"> were performed to compare inter-subjects and intra-subject dissimilarities of each treatment group during each time frame.</w:t>
      </w:r>
      <w:r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 </w:t>
      </w:r>
      <w:r w:rsidR="00BE2855" w:rsidRPr="008D25D1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b</w:t>
      </w:r>
      <w:r w:rsidR="00BE2855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 xml:space="preserve"> </w:t>
      </w:r>
      <w:r w:rsidR="00BE2855">
        <w:rPr>
          <w:rFonts w:ascii="Times" w:eastAsia="Times New Roman" w:hAnsi="Times" w:cs="Times New Roman"/>
          <w:color w:val="000000"/>
          <w:sz w:val="22"/>
          <w:szCs w:val="22"/>
        </w:rPr>
        <w:t>Comparison of intra-subject dissimilarities of placebo (grey), single (red), and double RBX2660 recipients (blue) during each time frame</w:t>
      </w:r>
      <w:r w:rsidR="001D5A3D">
        <w:rPr>
          <w:rFonts w:ascii="Times" w:eastAsia="Times New Roman" w:hAnsi="Times" w:cs="Times New Roman"/>
          <w:color w:val="000000"/>
          <w:sz w:val="22"/>
          <w:szCs w:val="22"/>
        </w:rPr>
        <w:t xml:space="preserve"> with </w:t>
      </w:r>
      <w:r w:rsidR="00BE2855" w:rsidRPr="00BE2855">
        <w:rPr>
          <w:rFonts w:ascii="Times" w:eastAsia="Times New Roman" w:hAnsi="Times" w:cs="Times New Roman"/>
          <w:color w:val="000000"/>
          <w:sz w:val="22"/>
          <w:szCs w:val="22"/>
        </w:rPr>
        <w:t>Kruskal-Wallis rank sum tests</w:t>
      </w:r>
      <w:r w:rsidR="00BE2855">
        <w:rPr>
          <w:rFonts w:ascii="Times" w:eastAsia="Times New Roman" w:hAnsi="Times" w:cs="Times New Roman"/>
          <w:color w:val="000000"/>
          <w:sz w:val="22"/>
          <w:szCs w:val="22"/>
        </w:rPr>
        <w:t>.</w:t>
      </w:r>
    </w:p>
    <w:p w14:paraId="77F24F83" w14:textId="77777777" w:rsidR="001F7C41" w:rsidRDefault="001F7C41">
      <w:pPr>
        <w:rPr>
          <w:rFonts w:ascii="Times" w:eastAsia="Times New Roman" w:hAnsi="Times" w:cs="Times New Roman"/>
          <w:color w:val="000000"/>
          <w:sz w:val="22"/>
          <w:szCs w:val="22"/>
        </w:rPr>
      </w:pPr>
      <w:r>
        <w:rPr>
          <w:rFonts w:ascii="Times" w:eastAsia="Times New Roman" w:hAnsi="Times" w:cs="Times New Roman"/>
          <w:color w:val="000000"/>
          <w:sz w:val="22"/>
          <w:szCs w:val="22"/>
        </w:rPr>
        <w:br w:type="page"/>
      </w:r>
    </w:p>
    <w:p w14:paraId="51D23A81" w14:textId="28B8CEA9" w:rsidR="00BE2855" w:rsidRDefault="001F7C41" w:rsidP="001F7C41">
      <w:pPr>
        <w:spacing w:line="480" w:lineRule="auto"/>
        <w:jc w:val="center"/>
        <w:rPr>
          <w:rFonts w:ascii="Times" w:eastAsia="Times New Roman" w:hAnsi="Times" w:cs="Times New Roman"/>
          <w:color w:val="000000"/>
          <w:sz w:val="22"/>
          <w:szCs w:val="22"/>
        </w:rPr>
      </w:pPr>
      <w:r w:rsidRPr="001F7C41">
        <w:rPr>
          <w:rFonts w:ascii="Times" w:eastAsia="Times New Roman" w:hAnsi="Times" w:cs="Times New Roman"/>
          <w:noProof/>
          <w:color w:val="000000"/>
          <w:sz w:val="22"/>
          <w:szCs w:val="22"/>
        </w:rPr>
        <w:lastRenderedPageBreak/>
        <w:drawing>
          <wp:inline distT="0" distB="0" distL="0" distR="0" wp14:anchorId="7D9E6E22" wp14:editId="4C8254C8">
            <wp:extent cx="3970867" cy="4667250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84696" cy="4683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D015C" w14:textId="2A941AE8" w:rsidR="00EE2AF9" w:rsidRPr="001F7987" w:rsidRDefault="00EE2AF9" w:rsidP="00EE2AF9">
      <w:pPr>
        <w:spacing w:line="480" w:lineRule="auto"/>
        <w:rPr>
          <w:rFonts w:ascii="Times" w:eastAsia="Times New Roman" w:hAnsi="Times" w:cs="Times New Roman"/>
          <w:color w:val="000000"/>
          <w:sz w:val="22"/>
          <w:szCs w:val="22"/>
        </w:rPr>
      </w:pPr>
      <w:r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Figure S</w:t>
      </w:r>
      <w:r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3</w:t>
      </w:r>
      <w:r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 xml:space="preserve">. </w:t>
      </w:r>
      <w:r w:rsidR="001F7987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The effect of antibiotics prior to study drug on taxonomic shift by RBX2660 (</w:t>
      </w:r>
      <w:r w:rsidR="001F7987"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related Fig. 2</w:t>
      </w:r>
      <w:r w:rsidR="001F7987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 xml:space="preserve"> and 3). a </w:t>
      </w:r>
      <w:r w:rsidR="001F7987" w:rsidRPr="000B4261">
        <w:rPr>
          <w:rFonts w:ascii="Times New Roman" w:eastAsia="Times New Roman" w:hAnsi="Times New Roman" w:cs="Times New Roman"/>
        </w:rPr>
        <w:t>RBX2660 products exhibited significantly higher alpha diversity than patient</w:t>
      </w:r>
      <w:r w:rsidR="009F622A">
        <w:rPr>
          <w:rFonts w:ascii="Times New Roman" w:eastAsia="Times New Roman" w:hAnsi="Times New Roman" w:cs="Times New Roman"/>
        </w:rPr>
        <w:t xml:space="preserve"> baseline</w:t>
      </w:r>
      <w:r w:rsidR="001F7987" w:rsidRPr="000B4261">
        <w:rPr>
          <w:rFonts w:ascii="Times New Roman" w:eastAsia="Times New Roman" w:hAnsi="Times New Roman" w:cs="Times New Roman"/>
        </w:rPr>
        <w:t xml:space="preserve"> samples (Wilcoxon signed-rank test)</w:t>
      </w:r>
      <w:r w:rsidR="001F7987">
        <w:rPr>
          <w:rFonts w:ascii="Times New Roman" w:eastAsia="Times New Roman" w:hAnsi="Times New Roman" w:cs="Times New Roman"/>
        </w:rPr>
        <w:t>.</w:t>
      </w:r>
      <w:r w:rsidR="001F7987">
        <w:rPr>
          <w:rFonts w:ascii="Times New Roman" w:eastAsia="Times New Roman" w:hAnsi="Times New Roman" w:cs="Times New Roman"/>
          <w:b/>
          <w:bCs/>
        </w:rPr>
        <w:t xml:space="preserve"> </w:t>
      </w:r>
      <w:r w:rsidR="001F7987">
        <w:rPr>
          <w:rFonts w:ascii="Times New Roman" w:eastAsia="Times New Roman" w:hAnsi="Times New Roman" w:cs="Times New Roman"/>
        </w:rPr>
        <w:t>Changes in alpha diversity</w:t>
      </w:r>
      <w:r w:rsidR="00044CD7">
        <w:rPr>
          <w:rFonts w:ascii="Times New Roman" w:eastAsia="Times New Roman" w:hAnsi="Times New Roman" w:cs="Times New Roman"/>
        </w:rPr>
        <w:t xml:space="preserve"> (</w:t>
      </w:r>
      <w:r w:rsidR="00044CD7" w:rsidRPr="001F7987">
        <w:rPr>
          <w:rFonts w:ascii="Times New Roman" w:eastAsia="Times New Roman" w:hAnsi="Times New Roman" w:cs="Times New Roman"/>
          <w:b/>
          <w:bCs/>
        </w:rPr>
        <w:t>b</w:t>
      </w:r>
      <w:r w:rsidR="00044CD7" w:rsidRPr="00044CD7">
        <w:rPr>
          <w:rFonts w:ascii="Times New Roman" w:eastAsia="Times New Roman" w:hAnsi="Times New Roman" w:cs="Times New Roman"/>
        </w:rPr>
        <w:t xml:space="preserve">) </w:t>
      </w:r>
      <w:r w:rsidR="001F7987">
        <w:rPr>
          <w:rFonts w:ascii="Times New Roman" w:eastAsia="Times New Roman" w:hAnsi="Times New Roman" w:cs="Times New Roman"/>
        </w:rPr>
        <w:t xml:space="preserve">and Bray-Curtis dissimilarity </w:t>
      </w:r>
      <w:r w:rsidR="00044CD7">
        <w:rPr>
          <w:rFonts w:ascii="Times New Roman" w:eastAsia="Times New Roman" w:hAnsi="Times New Roman" w:cs="Times New Roman"/>
        </w:rPr>
        <w:t>(</w:t>
      </w:r>
      <w:r w:rsidR="00044CD7" w:rsidRPr="001F7987">
        <w:rPr>
          <w:rFonts w:ascii="Times New Roman" w:eastAsia="Times New Roman" w:hAnsi="Times New Roman" w:cs="Times New Roman"/>
          <w:b/>
          <w:bCs/>
        </w:rPr>
        <w:t>c</w:t>
      </w:r>
      <w:r w:rsidR="00044CD7">
        <w:rPr>
          <w:rFonts w:ascii="Times New Roman" w:eastAsia="Times New Roman" w:hAnsi="Times New Roman" w:cs="Times New Roman"/>
        </w:rPr>
        <w:t xml:space="preserve">) </w:t>
      </w:r>
      <w:r w:rsidR="001F7987">
        <w:rPr>
          <w:rFonts w:ascii="Times New Roman" w:eastAsia="Times New Roman" w:hAnsi="Times New Roman" w:cs="Times New Roman"/>
        </w:rPr>
        <w:t xml:space="preserve">to corresponding RBX2660 </w:t>
      </w:r>
      <w:r w:rsidR="008416B8">
        <w:rPr>
          <w:rFonts w:ascii="Times New Roman" w:eastAsia="Times New Roman" w:hAnsi="Times New Roman" w:cs="Times New Roman"/>
        </w:rPr>
        <w:t>of vancomycin recipients. C</w:t>
      </w:r>
      <w:r w:rsidR="008416B8" w:rsidRPr="008416B8">
        <w:rPr>
          <w:rFonts w:ascii="Times New Roman" w:eastAsia="Times New Roman" w:hAnsi="Times New Roman" w:cs="Times New Roman"/>
        </w:rPr>
        <w:t>hanges in the diversity and dissimilarity were still statistically significant for the first week after study drug (</w:t>
      </w:r>
      <w:r w:rsidR="008416B8">
        <w:rPr>
          <w:rFonts w:ascii="Times New Roman" w:eastAsia="Times New Roman" w:hAnsi="Times New Roman" w:cs="Times New Roman"/>
        </w:rPr>
        <w:t xml:space="preserve">black, </w:t>
      </w:r>
      <w:r w:rsidR="008416B8" w:rsidRPr="008416B8">
        <w:rPr>
          <w:rFonts w:ascii="Times New Roman" w:eastAsia="Times New Roman" w:hAnsi="Times New Roman" w:cs="Times New Roman"/>
        </w:rPr>
        <w:t>Wilcoxon signed-rank test</w:t>
      </w:r>
      <w:r w:rsidR="008416B8">
        <w:rPr>
          <w:rFonts w:ascii="Times New Roman" w:eastAsia="Times New Roman" w:hAnsi="Times New Roman" w:cs="Times New Roman"/>
        </w:rPr>
        <w:t>) w</w:t>
      </w:r>
      <w:r w:rsidR="008416B8" w:rsidRPr="001F7987">
        <w:rPr>
          <w:rFonts w:ascii="Times New Roman" w:eastAsia="Times New Roman" w:hAnsi="Times New Roman" w:cs="Times New Roman"/>
        </w:rPr>
        <w:t xml:space="preserve">ithout the </w:t>
      </w:r>
      <w:r w:rsidR="008416B8">
        <w:rPr>
          <w:rFonts w:ascii="Times New Roman" w:eastAsia="Times New Roman" w:hAnsi="Times New Roman" w:cs="Times New Roman"/>
        </w:rPr>
        <w:t>metronidazole and fidaxomicin recipients</w:t>
      </w:r>
      <w:r w:rsidR="009F622A">
        <w:rPr>
          <w:rFonts w:ascii="Times New Roman" w:eastAsia="Times New Roman" w:hAnsi="Times New Roman" w:cs="Times New Roman"/>
        </w:rPr>
        <w:t>, and</w:t>
      </w:r>
      <w:r w:rsidR="008416B8">
        <w:rPr>
          <w:rFonts w:ascii="Times New Roman" w:eastAsia="Times New Roman" w:hAnsi="Times New Roman" w:cs="Times New Roman"/>
        </w:rPr>
        <w:t xml:space="preserve"> </w:t>
      </w:r>
      <w:r w:rsidR="008416B8" w:rsidRPr="000B4261">
        <w:rPr>
          <w:rFonts w:ascii="Times New Roman" w:eastAsia="Times New Roman" w:hAnsi="Times New Roman" w:cs="Times New Roman"/>
        </w:rPr>
        <w:t xml:space="preserve">RBX2660 recipients showed a more dynamic decrease in Bray-Curtis </w:t>
      </w:r>
      <w:r w:rsidR="009F622A">
        <w:rPr>
          <w:rFonts w:ascii="Times New Roman" w:eastAsia="Times New Roman" w:hAnsi="Times New Roman" w:cs="Times New Roman"/>
        </w:rPr>
        <w:t>dissimilarity</w:t>
      </w:r>
      <w:r w:rsidR="008416B8" w:rsidRPr="000B4261">
        <w:rPr>
          <w:rFonts w:ascii="Times New Roman" w:eastAsia="Times New Roman" w:hAnsi="Times New Roman" w:cs="Times New Roman"/>
        </w:rPr>
        <w:t xml:space="preserve"> than placebo recipients </w:t>
      </w:r>
      <w:r w:rsidR="008416B8">
        <w:rPr>
          <w:rFonts w:ascii="Times New Roman" w:eastAsia="Times New Roman" w:hAnsi="Times New Roman" w:cs="Times New Roman"/>
        </w:rPr>
        <w:t>after the first week</w:t>
      </w:r>
      <w:r w:rsidR="008416B8" w:rsidRPr="000B4261">
        <w:rPr>
          <w:rFonts w:ascii="Times New Roman" w:eastAsia="Times New Roman" w:hAnsi="Times New Roman" w:cs="Times New Roman"/>
        </w:rPr>
        <w:t xml:space="preserve"> (red, Kruskal-Wallis test).</w:t>
      </w:r>
      <w:r w:rsidR="008416B8" w:rsidRPr="008416B8">
        <w:rPr>
          <w:rFonts w:ascii="Times New Roman" w:eastAsia="Times New Roman" w:hAnsi="Times New Roman" w:cs="Times New Roman"/>
        </w:rPr>
        <w:t xml:space="preserve"> </w:t>
      </w:r>
      <w:r w:rsidR="008416B8" w:rsidRPr="008416B8">
        <w:rPr>
          <w:rFonts w:ascii="Times New Roman" w:eastAsia="Times New Roman" w:hAnsi="Times New Roman" w:cs="Times New Roman"/>
          <w:b/>
          <w:bCs/>
        </w:rPr>
        <w:t>d</w:t>
      </w:r>
      <w:r w:rsidR="008416B8">
        <w:rPr>
          <w:rFonts w:ascii="Times New Roman" w:eastAsia="Times New Roman" w:hAnsi="Times New Roman" w:cs="Times New Roman"/>
        </w:rPr>
        <w:t xml:space="preserve"> </w:t>
      </w:r>
      <w:r w:rsidR="008416B8" w:rsidRPr="000B4261">
        <w:rPr>
          <w:rFonts w:ascii="Times New Roman" w:eastAsia="Times New Roman" w:hAnsi="Times New Roman" w:cs="Times New Roman"/>
        </w:rPr>
        <w:t>Transplantation index of patients on day 7 and 60.</w:t>
      </w:r>
      <w:r w:rsidR="008416B8">
        <w:rPr>
          <w:rFonts w:ascii="Times New Roman" w:eastAsia="Times New Roman" w:hAnsi="Times New Roman" w:cs="Times New Roman"/>
        </w:rPr>
        <w:t xml:space="preserve"> Horizontal dash lines indicate the threshold of taxonomic transplantation (Fig. 2a</w:t>
      </w:r>
      <w:r w:rsidR="008416B8" w:rsidRPr="000B4261">
        <w:rPr>
          <w:rFonts w:ascii="Times New Roman" w:eastAsia="Times New Roman" w:hAnsi="Times New Roman" w:cs="Times New Roman"/>
        </w:rPr>
        <w:t xml:space="preserve">). </w:t>
      </w:r>
      <w:r w:rsidR="008416B8">
        <w:rPr>
          <w:rFonts w:ascii="Times New Roman" w:eastAsia="Times New Roman" w:hAnsi="Times New Roman" w:cs="Times New Roman"/>
        </w:rPr>
        <w:t xml:space="preserve">Violet, </w:t>
      </w:r>
      <w:r w:rsidR="008416B8">
        <w:rPr>
          <w:rFonts w:ascii="Times New Roman" w:eastAsia="Times New Roman" w:hAnsi="Times New Roman" w:cs="Times New Roman"/>
        </w:rPr>
        <w:lastRenderedPageBreak/>
        <w:t xml:space="preserve">vancomycin; yellow, metronidazole; green, fidaxomicin. </w:t>
      </w:r>
      <w:r w:rsidR="008416B8" w:rsidRPr="000B4261">
        <w:rPr>
          <w:rFonts w:ascii="Times New Roman" w:eastAsia="Gungsuh" w:hAnsi="Times New Roman" w:cs="Times New Roman"/>
        </w:rPr>
        <w:t>*P ≤ 0.05, **P ≤ 0.01, ***P ≤ 0.001, ****P ≤ 0.0001</w:t>
      </w:r>
      <w:r w:rsidR="008416B8">
        <w:rPr>
          <w:rFonts w:ascii="Times New Roman" w:eastAsia="Gungsuh" w:hAnsi="Times New Roman" w:cs="Times New Roman"/>
        </w:rPr>
        <w:t>.</w:t>
      </w:r>
    </w:p>
    <w:p w14:paraId="5F4CCD4D" w14:textId="206CD9F7" w:rsidR="00BE2855" w:rsidRDefault="00BE2855">
      <w:pPr>
        <w:rPr>
          <w:rFonts w:ascii="Times" w:eastAsia="Times New Roman" w:hAnsi="Times" w:cs="Times New Roman"/>
          <w:color w:val="000000"/>
          <w:sz w:val="22"/>
          <w:szCs w:val="22"/>
        </w:rPr>
      </w:pPr>
      <w:r>
        <w:rPr>
          <w:rFonts w:ascii="Times" w:eastAsia="Times New Roman" w:hAnsi="Times" w:cs="Times New Roman"/>
          <w:color w:val="000000"/>
          <w:sz w:val="22"/>
          <w:szCs w:val="22"/>
        </w:rPr>
        <w:br w:type="page"/>
      </w:r>
    </w:p>
    <w:p w14:paraId="0AF2AE27" w14:textId="1F440778" w:rsidR="00BE2855" w:rsidRPr="00BE2855" w:rsidRDefault="005D12B1" w:rsidP="0021278C">
      <w:pPr>
        <w:spacing w:line="480" w:lineRule="auto"/>
        <w:rPr>
          <w:rFonts w:ascii="Times" w:eastAsia="Times New Roman" w:hAnsi="Times" w:cs="Times New Roman"/>
          <w:color w:val="000000"/>
          <w:sz w:val="22"/>
          <w:szCs w:val="22"/>
        </w:rPr>
      </w:pPr>
      <w:r w:rsidRPr="005D12B1">
        <w:rPr>
          <w:noProof/>
        </w:rPr>
        <w:lastRenderedPageBreak/>
        <w:t xml:space="preserve"> </w:t>
      </w:r>
      <w:r w:rsidR="00436940" w:rsidRPr="00436940">
        <w:rPr>
          <w:noProof/>
        </w:rPr>
        <w:drawing>
          <wp:inline distT="0" distB="0" distL="0" distR="0" wp14:anchorId="5784CD93" wp14:editId="0B6DA44F">
            <wp:extent cx="5943600" cy="1964690"/>
            <wp:effectExtent l="0" t="0" r="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91D37" w14:textId="6CD56273" w:rsidR="00BE2855" w:rsidRPr="009B131E" w:rsidRDefault="00BE2855" w:rsidP="0021278C">
      <w:pPr>
        <w:spacing w:line="480" w:lineRule="auto"/>
        <w:rPr>
          <w:rFonts w:ascii="Times" w:eastAsia="Times New Roman" w:hAnsi="Times" w:cs="Times New Roman"/>
          <w:color w:val="000000"/>
          <w:sz w:val="22"/>
          <w:szCs w:val="22"/>
        </w:rPr>
      </w:pPr>
      <w:r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Figure S</w:t>
      </w:r>
      <w:r w:rsidR="00EE2AF9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4</w:t>
      </w:r>
      <w:r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.</w:t>
      </w:r>
      <w:r w:rsidR="00436940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 xml:space="preserve"> Bray-Curtis dissimilarities </w:t>
      </w:r>
      <w:r w:rsidR="000E14BF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 xml:space="preserve">between patients and </w:t>
      </w:r>
      <w:r w:rsidR="009B131E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respective RBX2660 (D</w:t>
      </w:r>
      <w:r w:rsidR="009B131E" w:rsidRPr="008D25D1">
        <w:rPr>
          <w:rFonts w:ascii="Times" w:eastAsia="Times New Roman" w:hAnsi="Times" w:cs="Times New Roman"/>
          <w:b/>
          <w:bCs/>
          <w:color w:val="000000"/>
          <w:sz w:val="22"/>
          <w:szCs w:val="22"/>
          <w:vertAlign w:val="subscript"/>
        </w:rPr>
        <w:t>R</w:t>
      </w:r>
      <w:r w:rsidR="009B131E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 xml:space="preserve">) </w:t>
      </w:r>
      <w:r w:rsidR="000E14BF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or</w:t>
      </w:r>
      <w:r w:rsidR="009B131E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 xml:space="preserve"> other random RBX2660 (D</w:t>
      </w:r>
      <w:r w:rsidR="009B131E" w:rsidRPr="008D25D1">
        <w:rPr>
          <w:rFonts w:ascii="Times" w:eastAsia="Times New Roman" w:hAnsi="Times" w:cs="Times New Roman"/>
          <w:b/>
          <w:bCs/>
          <w:color w:val="000000"/>
          <w:sz w:val="22"/>
          <w:szCs w:val="22"/>
          <w:vertAlign w:val="subscript"/>
        </w:rPr>
        <w:t>O</w:t>
      </w:r>
      <w:r w:rsidR="009B131E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 xml:space="preserve">). </w:t>
      </w:r>
      <w:r w:rsidR="00695934">
        <w:rPr>
          <w:rFonts w:ascii="Times" w:eastAsia="Times New Roman" w:hAnsi="Times" w:cs="Times New Roman"/>
          <w:color w:val="000000"/>
          <w:sz w:val="22"/>
          <w:szCs w:val="22"/>
        </w:rPr>
        <w:t xml:space="preserve">Pairwise comparisons of all </w:t>
      </w:r>
      <w:r w:rsidR="009B131E" w:rsidRPr="008D25D1">
        <w:rPr>
          <w:rFonts w:ascii="Times" w:eastAsia="Times New Roman" w:hAnsi="Times" w:cs="Times New Roman"/>
          <w:color w:val="000000"/>
          <w:sz w:val="22"/>
          <w:szCs w:val="22"/>
        </w:rPr>
        <w:t>D</w:t>
      </w:r>
      <w:r w:rsidR="009B131E" w:rsidRPr="008D25D1">
        <w:rPr>
          <w:rFonts w:ascii="Times" w:eastAsia="Times New Roman" w:hAnsi="Times" w:cs="Times New Roman"/>
          <w:color w:val="000000"/>
          <w:sz w:val="22"/>
          <w:szCs w:val="22"/>
          <w:vertAlign w:val="subscript"/>
        </w:rPr>
        <w:t>R</w:t>
      </w:r>
      <w:r w:rsidR="009B131E" w:rsidRPr="008D25D1">
        <w:rPr>
          <w:rFonts w:ascii="Times" w:eastAsia="Times New Roman" w:hAnsi="Times" w:cs="Times New Roman"/>
          <w:color w:val="000000"/>
          <w:sz w:val="22"/>
          <w:szCs w:val="22"/>
        </w:rPr>
        <w:t>s and D</w:t>
      </w:r>
      <w:r w:rsidR="009B131E" w:rsidRPr="008D25D1">
        <w:rPr>
          <w:rFonts w:ascii="Times" w:eastAsia="Times New Roman" w:hAnsi="Times" w:cs="Times New Roman"/>
          <w:color w:val="000000"/>
          <w:sz w:val="22"/>
          <w:szCs w:val="22"/>
          <w:vertAlign w:val="subscript"/>
        </w:rPr>
        <w:t>O</w:t>
      </w:r>
      <w:r w:rsidR="009B131E" w:rsidRPr="008D25D1">
        <w:rPr>
          <w:rFonts w:ascii="Times" w:eastAsia="Times New Roman" w:hAnsi="Times" w:cs="Times New Roman"/>
          <w:color w:val="000000"/>
          <w:sz w:val="22"/>
          <w:szCs w:val="22"/>
        </w:rPr>
        <w:t>s of</w:t>
      </w:r>
      <w:r w:rsidR="009B131E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 xml:space="preserve"> </w:t>
      </w:r>
      <w:r w:rsidR="009B131E" w:rsidRPr="008D25D1">
        <w:rPr>
          <w:rFonts w:ascii="Times" w:eastAsia="Times New Roman" w:hAnsi="Times" w:cs="Times New Roman"/>
          <w:color w:val="000000"/>
          <w:sz w:val="22"/>
          <w:szCs w:val="22"/>
        </w:rPr>
        <w:t xml:space="preserve">placebo </w:t>
      </w:r>
      <w:r w:rsidR="009B131E">
        <w:rPr>
          <w:rFonts w:ascii="Times" w:eastAsia="Times New Roman" w:hAnsi="Times" w:cs="Times New Roman"/>
          <w:color w:val="000000"/>
          <w:sz w:val="22"/>
          <w:szCs w:val="22"/>
        </w:rPr>
        <w:t>(gray)</w:t>
      </w:r>
      <w:r w:rsidR="009B131E" w:rsidRPr="008D25D1">
        <w:rPr>
          <w:rFonts w:ascii="Times" w:eastAsia="Times New Roman" w:hAnsi="Times" w:cs="Times New Roman"/>
          <w:color w:val="000000"/>
          <w:sz w:val="22"/>
          <w:szCs w:val="22"/>
        </w:rPr>
        <w:t xml:space="preserve">, single dose </w:t>
      </w:r>
      <w:r w:rsidR="009B131E">
        <w:rPr>
          <w:rFonts w:ascii="Times" w:eastAsia="Times New Roman" w:hAnsi="Times" w:cs="Times New Roman"/>
          <w:color w:val="000000"/>
          <w:sz w:val="22"/>
          <w:szCs w:val="22"/>
        </w:rPr>
        <w:t>(red)</w:t>
      </w:r>
      <w:r w:rsidR="009B131E" w:rsidRPr="008D25D1">
        <w:rPr>
          <w:rFonts w:ascii="Times" w:eastAsia="Times New Roman" w:hAnsi="Times" w:cs="Times New Roman"/>
          <w:color w:val="000000"/>
          <w:sz w:val="22"/>
          <w:szCs w:val="22"/>
        </w:rPr>
        <w:t>,</w:t>
      </w:r>
      <w:r w:rsidR="009B131E">
        <w:rPr>
          <w:rFonts w:ascii="Times" w:eastAsia="Times New Roman" w:hAnsi="Times" w:cs="Times New Roman"/>
          <w:color w:val="000000"/>
          <w:sz w:val="22"/>
          <w:szCs w:val="22"/>
        </w:rPr>
        <w:t xml:space="preserve"> and</w:t>
      </w:r>
      <w:r w:rsidR="009B131E" w:rsidRPr="008D25D1">
        <w:rPr>
          <w:rFonts w:ascii="Times" w:eastAsia="Times New Roman" w:hAnsi="Times" w:cs="Times New Roman"/>
          <w:color w:val="000000"/>
          <w:sz w:val="22"/>
          <w:szCs w:val="22"/>
        </w:rPr>
        <w:t xml:space="preserve"> double dose recipients</w:t>
      </w:r>
      <w:r w:rsidR="009B131E">
        <w:rPr>
          <w:rFonts w:ascii="Times" w:eastAsia="Times New Roman" w:hAnsi="Times" w:cs="Times New Roman"/>
          <w:color w:val="000000"/>
          <w:sz w:val="22"/>
          <w:szCs w:val="22"/>
        </w:rPr>
        <w:t xml:space="preserve"> (blue) in each time point were simultaneously</w:t>
      </w:r>
      <w:r w:rsidR="00CD490D">
        <w:rPr>
          <w:rFonts w:ascii="Times" w:eastAsia="Times New Roman" w:hAnsi="Times" w:cs="Times New Roman"/>
          <w:color w:val="000000"/>
          <w:sz w:val="22"/>
          <w:szCs w:val="22"/>
        </w:rPr>
        <w:t xml:space="preserve"> performed</w:t>
      </w:r>
      <w:r w:rsidR="009B131E">
        <w:rPr>
          <w:rFonts w:ascii="Times" w:eastAsia="Times New Roman" w:hAnsi="Times" w:cs="Times New Roman"/>
          <w:color w:val="000000"/>
          <w:sz w:val="22"/>
          <w:szCs w:val="22"/>
        </w:rPr>
        <w:t xml:space="preserve"> </w:t>
      </w:r>
      <w:r w:rsidR="00695934">
        <w:rPr>
          <w:rFonts w:ascii="Times" w:eastAsia="Times New Roman" w:hAnsi="Times" w:cs="Times New Roman"/>
          <w:color w:val="000000"/>
          <w:sz w:val="22"/>
          <w:szCs w:val="22"/>
        </w:rPr>
        <w:t>(</w:t>
      </w:r>
      <w:r w:rsidR="00695934" w:rsidRPr="00695934">
        <w:rPr>
          <w:rFonts w:ascii="Times" w:eastAsia="Times New Roman" w:hAnsi="Times" w:cs="Times New Roman"/>
          <w:color w:val="000000"/>
          <w:sz w:val="22"/>
          <w:szCs w:val="22"/>
        </w:rPr>
        <w:t>Wilcoxon signed-rank</w:t>
      </w:r>
      <w:r w:rsidR="00695934">
        <w:rPr>
          <w:rFonts w:ascii="Times" w:eastAsia="Times New Roman" w:hAnsi="Times" w:cs="Times New Roman"/>
          <w:color w:val="000000"/>
          <w:sz w:val="22"/>
          <w:szCs w:val="22"/>
        </w:rPr>
        <w:t xml:space="preserve"> test </w:t>
      </w:r>
      <w:r w:rsidR="00695934" w:rsidRPr="00695934">
        <w:rPr>
          <w:rFonts w:ascii="Times" w:eastAsia="Times New Roman" w:hAnsi="Times" w:cs="Times New Roman"/>
          <w:color w:val="000000"/>
          <w:sz w:val="22"/>
          <w:szCs w:val="22"/>
        </w:rPr>
        <w:t xml:space="preserve">with </w:t>
      </w:r>
      <w:proofErr w:type="spellStart"/>
      <w:r w:rsidR="00695934" w:rsidRPr="00695934">
        <w:rPr>
          <w:rFonts w:ascii="Times" w:eastAsia="Times New Roman" w:hAnsi="Times" w:cs="Times New Roman"/>
          <w:color w:val="000000"/>
          <w:sz w:val="22"/>
          <w:szCs w:val="22"/>
        </w:rPr>
        <w:t>Benjamini</w:t>
      </w:r>
      <w:proofErr w:type="spellEnd"/>
      <w:r w:rsidR="00695934" w:rsidRPr="00695934">
        <w:rPr>
          <w:rFonts w:ascii="Times" w:eastAsia="Times New Roman" w:hAnsi="Times" w:cs="Times New Roman"/>
          <w:color w:val="000000"/>
          <w:sz w:val="22"/>
          <w:szCs w:val="22"/>
        </w:rPr>
        <w:t>-Hochberg FDR correction, FDR &lt; 0.05</w:t>
      </w:r>
      <w:r w:rsidR="00695934">
        <w:rPr>
          <w:rFonts w:ascii="Times" w:eastAsia="Times New Roman" w:hAnsi="Times" w:cs="Times New Roman"/>
          <w:color w:val="000000"/>
          <w:sz w:val="22"/>
          <w:szCs w:val="22"/>
        </w:rPr>
        <w:t>).</w:t>
      </w:r>
      <w:r w:rsidR="00E82A8D">
        <w:rPr>
          <w:rFonts w:ascii="Times" w:eastAsia="Times New Roman" w:hAnsi="Times" w:cs="Times New Roman"/>
          <w:color w:val="000000"/>
          <w:sz w:val="22"/>
          <w:szCs w:val="22"/>
        </w:rPr>
        <w:t xml:space="preserve"> Dissimilarities of double dose recipients</w:t>
      </w:r>
      <w:r w:rsidR="00695934">
        <w:rPr>
          <w:rFonts w:ascii="Times" w:eastAsia="Times New Roman" w:hAnsi="Times" w:cs="Times New Roman"/>
          <w:color w:val="000000"/>
          <w:sz w:val="22"/>
          <w:szCs w:val="22"/>
        </w:rPr>
        <w:t xml:space="preserve"> </w:t>
      </w:r>
      <w:r w:rsidR="00E82A8D">
        <w:rPr>
          <w:rFonts w:ascii="Times" w:eastAsia="Times New Roman" w:hAnsi="Times" w:cs="Times New Roman"/>
          <w:color w:val="000000"/>
          <w:sz w:val="22"/>
          <w:szCs w:val="22"/>
        </w:rPr>
        <w:t>include both dissimilarities to the first and second</w:t>
      </w:r>
      <w:r w:rsidR="00CD490D">
        <w:rPr>
          <w:rFonts w:ascii="Times" w:eastAsia="Times New Roman" w:hAnsi="Times" w:cs="Times New Roman"/>
          <w:color w:val="000000"/>
          <w:sz w:val="22"/>
          <w:szCs w:val="22"/>
        </w:rPr>
        <w:t xml:space="preserve"> RBX2660</w:t>
      </w:r>
      <w:r w:rsidR="00E82A8D">
        <w:rPr>
          <w:rFonts w:ascii="Times" w:eastAsia="Times New Roman" w:hAnsi="Times" w:cs="Times New Roman"/>
          <w:color w:val="000000"/>
          <w:sz w:val="22"/>
          <w:szCs w:val="22"/>
        </w:rPr>
        <w:t xml:space="preserve"> doses. </w:t>
      </w:r>
      <w:r w:rsidR="00695934" w:rsidRPr="00695934">
        <w:rPr>
          <w:rFonts w:ascii="Times" w:eastAsia="Times New Roman" w:hAnsi="Times" w:cs="Times New Roman" w:hint="eastAsia"/>
          <w:color w:val="000000"/>
          <w:sz w:val="22"/>
          <w:szCs w:val="22"/>
        </w:rPr>
        <w:t>*P ≤ 0.05, **P ≤ 0.01, ***P ≤ 0.001, ****P ≤ 0.0001.</w:t>
      </w:r>
    </w:p>
    <w:p w14:paraId="2CEF2056" w14:textId="4D6431AE" w:rsidR="00BE2855" w:rsidRDefault="00BE2855">
      <w:pPr>
        <w:rPr>
          <w:rFonts w:ascii="Times" w:eastAsia="Times New Roman" w:hAnsi="Times" w:cs="Times New Roman"/>
          <w:color w:val="000000"/>
          <w:sz w:val="22"/>
          <w:szCs w:val="22"/>
        </w:rPr>
      </w:pPr>
      <w:r>
        <w:rPr>
          <w:rFonts w:ascii="Times" w:eastAsia="Times New Roman" w:hAnsi="Times" w:cs="Times New Roman"/>
          <w:color w:val="000000"/>
          <w:sz w:val="22"/>
          <w:szCs w:val="22"/>
        </w:rPr>
        <w:br w:type="page"/>
      </w:r>
    </w:p>
    <w:p w14:paraId="17D2C5E4" w14:textId="50044B97" w:rsidR="00BE2855" w:rsidRDefault="00E3011D" w:rsidP="008D25D1">
      <w:pPr>
        <w:spacing w:line="480" w:lineRule="auto"/>
        <w:jc w:val="center"/>
        <w:rPr>
          <w:rFonts w:ascii="Times" w:eastAsia="Times New Roman" w:hAnsi="Times" w:cs="Times New Roman"/>
          <w:color w:val="000000"/>
          <w:sz w:val="22"/>
          <w:szCs w:val="22"/>
        </w:rPr>
      </w:pPr>
      <w:r w:rsidRPr="00E3011D">
        <w:rPr>
          <w:rFonts w:ascii="Times" w:eastAsia="Times New Roman" w:hAnsi="Times" w:cs="Times New Roman"/>
          <w:noProof/>
          <w:color w:val="000000"/>
          <w:sz w:val="22"/>
          <w:szCs w:val="22"/>
        </w:rPr>
        <w:lastRenderedPageBreak/>
        <w:drawing>
          <wp:inline distT="0" distB="0" distL="0" distR="0" wp14:anchorId="4FD4AD55" wp14:editId="2D0A68AD">
            <wp:extent cx="5778500" cy="47625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DFAC9" w14:textId="0C77D412" w:rsidR="00093340" w:rsidRDefault="00BE2855" w:rsidP="0021278C">
      <w:pPr>
        <w:spacing w:line="48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D25D1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Figure S</w:t>
      </w:r>
      <w:r w:rsidR="00EE2AF9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5</w:t>
      </w:r>
      <w:r w:rsidRPr="008D25D1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.</w:t>
      </w:r>
      <w:r>
        <w:rPr>
          <w:rFonts w:ascii="Times" w:eastAsia="Times New Roman" w:hAnsi="Times" w:cs="Times New Roman"/>
          <w:color w:val="000000"/>
          <w:sz w:val="22"/>
          <w:szCs w:val="22"/>
        </w:rPr>
        <w:t xml:space="preserve"> </w:t>
      </w:r>
      <w:r w:rsidR="0021278C" w:rsidRPr="008D25D1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 xml:space="preserve">Changes in the Bray-Curtis </w:t>
      </w:r>
      <w:r w:rsidR="0061390C" w:rsidRPr="008D25D1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 xml:space="preserve">dissimilarities </w:t>
      </w:r>
      <w:r w:rsidR="0021278C" w:rsidRPr="008D25D1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between a patient and corresponding donor</w:t>
      </w:r>
      <w:r w:rsidR="0021278C"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 after </w:t>
      </w:r>
      <w:r w:rsidR="00093340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a</w:t>
      </w:r>
      <w:r w:rsidR="00093340"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 </w:t>
      </w:r>
      <w:r w:rsidR="0021278C"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single RBX2660 and </w:t>
      </w:r>
      <w:r w:rsidR="00093340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b</w:t>
      </w:r>
      <w:r w:rsidR="0021278C"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-</w:t>
      </w:r>
      <w:r w:rsidR="00093340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c</w:t>
      </w:r>
      <w:r w:rsidR="00093340"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 xml:space="preserve"> </w:t>
      </w:r>
      <w:r w:rsidR="0021278C" w:rsidRPr="0021278C">
        <w:rPr>
          <w:rFonts w:ascii="Times" w:eastAsia="Times New Roman" w:hAnsi="Times" w:cs="Times New Roman"/>
          <w:color w:val="000000"/>
          <w:sz w:val="22"/>
          <w:szCs w:val="22"/>
        </w:rPr>
        <w:t>double RBX2660 treatments. Changes in taxonomic structures of gut microbiota were significant for the first week after treatments (</w:t>
      </w:r>
      <w:r w:rsidR="0021278C" w:rsidRPr="0021278C">
        <w:rPr>
          <w:rFonts w:ascii="Times New Roman" w:eastAsia="Times New Roman" w:hAnsi="Times New Roman" w:cs="Times New Roman"/>
          <w:color w:val="000000"/>
          <w:sz w:val="22"/>
          <w:szCs w:val="22"/>
        </w:rPr>
        <w:t>Kruskal-Wallis test, ***P &lt; 0.001</w:t>
      </w:r>
      <w:r w:rsidR="0021278C"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). </w:t>
      </w:r>
      <w:r w:rsidR="0061390C">
        <w:rPr>
          <w:rFonts w:ascii="Times" w:eastAsia="Times New Roman" w:hAnsi="Times" w:cs="Times New Roman"/>
          <w:color w:val="000000"/>
          <w:sz w:val="22"/>
          <w:szCs w:val="22"/>
        </w:rPr>
        <w:t>There w</w:t>
      </w:r>
      <w:r w:rsidR="00633A63">
        <w:rPr>
          <w:rFonts w:ascii="Times" w:eastAsia="Times New Roman" w:hAnsi="Times" w:cs="Times New Roman"/>
          <w:color w:val="000000"/>
          <w:sz w:val="22"/>
          <w:szCs w:val="22"/>
        </w:rPr>
        <w:t>ere</w:t>
      </w:r>
      <w:r w:rsidR="0061390C">
        <w:rPr>
          <w:rFonts w:ascii="Times" w:eastAsia="Times New Roman" w:hAnsi="Times" w:cs="Times New Roman"/>
          <w:color w:val="000000"/>
          <w:sz w:val="22"/>
          <w:szCs w:val="22"/>
        </w:rPr>
        <w:t xml:space="preserve"> no statistically significant differences between p</w:t>
      </w:r>
      <w:r w:rsidR="0021278C"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atients who </w:t>
      </w:r>
      <w:r w:rsidR="0061390C">
        <w:rPr>
          <w:rFonts w:ascii="Times" w:eastAsia="Times New Roman" w:hAnsi="Times" w:cs="Times New Roman"/>
          <w:color w:val="000000"/>
          <w:sz w:val="22"/>
          <w:szCs w:val="22"/>
        </w:rPr>
        <w:t xml:space="preserve">experienced </w:t>
      </w:r>
      <w:r w:rsidR="0021278C"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recurrent </w:t>
      </w:r>
      <w:r w:rsidR="0021278C" w:rsidRPr="0021278C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  <w:t xml:space="preserve">Clostridioides difficile </w:t>
      </w:r>
      <w:r w:rsidR="0021278C" w:rsidRPr="0021278C">
        <w:rPr>
          <w:rFonts w:ascii="Times New Roman" w:eastAsia="Times New Roman" w:hAnsi="Times New Roman" w:cs="Times New Roman"/>
          <w:color w:val="000000"/>
          <w:sz w:val="22"/>
          <w:szCs w:val="22"/>
        </w:rPr>
        <w:t>infection (</w:t>
      </w:r>
      <w:proofErr w:type="spellStart"/>
      <w:r w:rsidR="006F478C">
        <w:rPr>
          <w:rFonts w:ascii="Times New Roman" w:eastAsia="Times New Roman" w:hAnsi="Times New Roman" w:cs="Times New Roman"/>
          <w:color w:val="000000"/>
          <w:sz w:val="22"/>
          <w:szCs w:val="22"/>
        </w:rPr>
        <w:t>rCDI</w:t>
      </w:r>
      <w:proofErr w:type="spellEnd"/>
      <w:r w:rsidR="006F478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</w:t>
      </w:r>
      <w:r w:rsidR="0061390C">
        <w:rPr>
          <w:rFonts w:ascii="Times New Roman" w:eastAsia="Times New Roman" w:hAnsi="Times New Roman" w:cs="Times New Roman"/>
          <w:color w:val="000000"/>
          <w:sz w:val="22"/>
          <w:szCs w:val="22"/>
        </w:rPr>
        <w:t>white</w:t>
      </w:r>
      <w:r w:rsidR="0021278C" w:rsidRPr="0021278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) </w:t>
      </w:r>
      <w:r w:rsidR="0061390C">
        <w:rPr>
          <w:rFonts w:ascii="Times New Roman" w:eastAsia="Times New Roman" w:hAnsi="Times New Roman" w:cs="Times New Roman"/>
          <w:color w:val="000000"/>
          <w:sz w:val="22"/>
          <w:szCs w:val="22"/>
        </w:rPr>
        <w:t>and other successful patients (</w:t>
      </w:r>
      <w:r w:rsidR="00257AED">
        <w:rPr>
          <w:rFonts w:ascii="Times New Roman" w:eastAsia="Times New Roman" w:hAnsi="Times New Roman" w:cs="Times New Roman"/>
          <w:color w:val="000000"/>
          <w:sz w:val="22"/>
          <w:szCs w:val="22"/>
        </w:rPr>
        <w:t>gray</w:t>
      </w:r>
      <w:r w:rsidR="0061390C">
        <w:rPr>
          <w:rFonts w:ascii="Times New Roman" w:eastAsia="Times New Roman" w:hAnsi="Times New Roman" w:cs="Times New Roman"/>
          <w:color w:val="000000"/>
          <w:sz w:val="22"/>
          <w:szCs w:val="22"/>
        </w:rPr>
        <w:t>)</w:t>
      </w:r>
      <w:r w:rsidR="00E97F4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at all time points (</w:t>
      </w:r>
      <w:r w:rsidR="00E97F4D" w:rsidRPr="00E97F4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Wilcoxon signed-rank test with </w:t>
      </w:r>
      <w:proofErr w:type="spellStart"/>
      <w:r w:rsidR="00E97F4D" w:rsidRPr="00E97F4D">
        <w:rPr>
          <w:rFonts w:ascii="Times New Roman" w:eastAsia="Times New Roman" w:hAnsi="Times New Roman" w:cs="Times New Roman"/>
          <w:color w:val="000000"/>
          <w:sz w:val="22"/>
          <w:szCs w:val="22"/>
        </w:rPr>
        <w:t>Benjamini</w:t>
      </w:r>
      <w:proofErr w:type="spellEnd"/>
      <w:r w:rsidR="00E97F4D" w:rsidRPr="00E97F4D">
        <w:rPr>
          <w:rFonts w:ascii="Times New Roman" w:eastAsia="Times New Roman" w:hAnsi="Times New Roman" w:cs="Times New Roman"/>
          <w:color w:val="000000"/>
          <w:sz w:val="22"/>
          <w:szCs w:val="22"/>
        </w:rPr>
        <w:t>-Hochberg FDR correction, FDR &lt; 0.05</w:t>
      </w:r>
      <w:r w:rsidR="00E97F4D">
        <w:rPr>
          <w:rFonts w:ascii="Times New Roman" w:eastAsia="Times New Roman" w:hAnsi="Times New Roman" w:cs="Times New Roman"/>
          <w:color w:val="000000"/>
          <w:sz w:val="22"/>
          <w:szCs w:val="22"/>
        </w:rPr>
        <w:t>)</w:t>
      </w:r>
      <w:r w:rsidR="0021278C" w:rsidRPr="0021278C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  <w:r w:rsidR="00B65CB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D1, the first dose; D2, the second dose.</w:t>
      </w:r>
      <w:r w:rsidR="0009334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093340" w:rsidRPr="008D25D1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d</w:t>
      </w:r>
      <w:r w:rsidR="006F478C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6F478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Relative abundance of </w:t>
      </w:r>
      <w:r w:rsidR="006F478C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  <w:t xml:space="preserve">Klebsiella pneumoniae </w:t>
      </w:r>
      <w:r w:rsidR="006F478C">
        <w:rPr>
          <w:rFonts w:ascii="Times New Roman" w:eastAsia="Times New Roman" w:hAnsi="Times New Roman" w:cs="Times New Roman"/>
          <w:color w:val="000000"/>
          <w:sz w:val="22"/>
          <w:szCs w:val="22"/>
        </w:rPr>
        <w:t>in</w:t>
      </w:r>
      <w:r w:rsidR="005D12B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all</w:t>
      </w:r>
      <w:r w:rsidR="006F478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patients</w:t>
      </w:r>
      <w:r w:rsidR="005D12B1">
        <w:rPr>
          <w:rFonts w:ascii="Times New Roman" w:eastAsia="Times New Roman" w:hAnsi="Times New Roman" w:cs="Times New Roman"/>
          <w:color w:val="000000"/>
          <w:sz w:val="22"/>
          <w:szCs w:val="22"/>
        </w:rPr>
        <w:t>. Patients</w:t>
      </w:r>
      <w:r w:rsidR="006F478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who experienced </w:t>
      </w:r>
      <w:proofErr w:type="spellStart"/>
      <w:r w:rsidR="006F478C">
        <w:rPr>
          <w:rFonts w:ascii="Times New Roman" w:eastAsia="Times New Roman" w:hAnsi="Times New Roman" w:cs="Times New Roman"/>
          <w:color w:val="000000"/>
          <w:sz w:val="22"/>
          <w:szCs w:val="22"/>
        </w:rPr>
        <w:t>rCDI</w:t>
      </w:r>
      <w:proofErr w:type="spellEnd"/>
      <w:r w:rsidR="006F478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(white) </w:t>
      </w:r>
      <w:r w:rsidR="005D12B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exhibited </w:t>
      </w:r>
      <w:r w:rsidR="008F65D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significantly higher </w:t>
      </w:r>
      <w:r w:rsidR="005D12B1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  <w:t xml:space="preserve">K. pneumoniae </w:t>
      </w:r>
      <w:r w:rsidR="005D12B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abundance </w:t>
      </w:r>
      <w:r w:rsidR="008F65D2">
        <w:rPr>
          <w:rFonts w:ascii="Times New Roman" w:eastAsia="Times New Roman" w:hAnsi="Times New Roman" w:cs="Times New Roman"/>
          <w:color w:val="000000"/>
          <w:sz w:val="22"/>
          <w:szCs w:val="22"/>
        </w:rPr>
        <w:t>than</w:t>
      </w:r>
      <w:r w:rsidR="006F478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treatment-success patients (gray)</w:t>
      </w:r>
      <w:r w:rsidR="008F65D2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  <w:r w:rsidR="00517614" w:rsidRPr="00517614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517614" w:rsidRPr="00296B9F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e</w:t>
      </w:r>
      <w:r w:rsidR="00517614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517614" w:rsidRPr="008D25D1">
        <w:rPr>
          <w:rFonts w:ascii="Times New Roman" w:eastAsia="Times New Roman" w:hAnsi="Times New Roman" w:cs="Times New Roman"/>
          <w:color w:val="000000"/>
          <w:sz w:val="22"/>
          <w:szCs w:val="22"/>
        </w:rPr>
        <w:t>Relative abundance comparison</w:t>
      </w:r>
      <w:r w:rsidR="0051761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of </w:t>
      </w:r>
      <w:r w:rsidR="00517614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  <w:t>K. pneumoniae</w:t>
      </w:r>
      <w:r w:rsidR="00517614" w:rsidRPr="008D25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between treatment-</w:t>
      </w:r>
      <w:proofErr w:type="spellStart"/>
      <w:r w:rsidR="00517614" w:rsidRPr="008D25D1">
        <w:rPr>
          <w:rFonts w:ascii="Times New Roman" w:eastAsia="Times New Roman" w:hAnsi="Times New Roman" w:cs="Times New Roman"/>
          <w:color w:val="000000"/>
          <w:sz w:val="22"/>
          <w:szCs w:val="22"/>
        </w:rPr>
        <w:t>failture</w:t>
      </w:r>
      <w:proofErr w:type="spellEnd"/>
      <w:r w:rsidR="00517614" w:rsidRPr="008D25D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and -success</w:t>
      </w:r>
      <w:r w:rsidR="008F65D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517614">
        <w:rPr>
          <w:rFonts w:ascii="Times New Roman" w:eastAsia="Times New Roman" w:hAnsi="Times New Roman" w:cs="Times New Roman"/>
          <w:color w:val="000000"/>
          <w:sz w:val="22"/>
          <w:szCs w:val="22"/>
        </w:rPr>
        <w:t>patients in</w:t>
      </w:r>
      <w:r w:rsidR="005D12B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51761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placebo </w:t>
      </w:r>
      <w:r w:rsidR="005D12B1">
        <w:rPr>
          <w:rFonts w:ascii="Times New Roman" w:eastAsia="Times New Roman" w:hAnsi="Times New Roman" w:cs="Times New Roman"/>
          <w:color w:val="000000"/>
          <w:sz w:val="22"/>
          <w:szCs w:val="22"/>
        </w:rPr>
        <w:t>recipients. Relative abundance comparison of</w:t>
      </w:r>
      <w:r w:rsidR="0051761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517614" w:rsidRPr="008D25D1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d</w:t>
      </w:r>
      <w:r w:rsidR="0051761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5D12B1" w:rsidRPr="008D25D1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  <w:t>Akkermansia</w:t>
      </w:r>
      <w:proofErr w:type="spellEnd"/>
      <w:r w:rsidR="005D12B1" w:rsidRPr="008D25D1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="005D12B1" w:rsidRPr="008D25D1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  <w:t>muciniphila</w:t>
      </w:r>
      <w:proofErr w:type="spellEnd"/>
      <w:r w:rsidR="005D12B1" w:rsidRPr="005D12B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5D12B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and </w:t>
      </w:r>
      <w:r w:rsidR="005D12B1" w:rsidRPr="008D25D1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e</w:t>
      </w:r>
      <w:r w:rsidR="005D12B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5D12B1" w:rsidRPr="008D25D1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  <w:t>Leptotrichia</w:t>
      </w:r>
      <w:proofErr w:type="spellEnd"/>
      <w:r w:rsidR="005D12B1" w:rsidRPr="008D25D1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="005D12B1" w:rsidRPr="008D25D1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  <w:t>wadei</w:t>
      </w:r>
      <w:proofErr w:type="spellEnd"/>
      <w:r w:rsidR="005D12B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that </w:t>
      </w:r>
      <w:r w:rsidR="005D12B1"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 xml:space="preserve">were identified by MaAsLin2 as features </w:t>
      </w:r>
      <w:r w:rsidR="00436940">
        <w:rPr>
          <w:rFonts w:ascii="Times New Roman" w:eastAsia="Times New Roman" w:hAnsi="Times New Roman" w:cs="Times New Roman"/>
          <w:color w:val="000000"/>
          <w:sz w:val="22"/>
          <w:szCs w:val="22"/>
        </w:rPr>
        <w:t>associated with treatment-failures</w:t>
      </w:r>
      <w:r w:rsidR="005D12B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436940">
        <w:rPr>
          <w:rFonts w:ascii="Times New Roman" w:eastAsia="Times New Roman" w:hAnsi="Times New Roman" w:cs="Times New Roman"/>
          <w:color w:val="000000"/>
          <w:sz w:val="22"/>
          <w:szCs w:val="22"/>
        </w:rPr>
        <w:t>of</w:t>
      </w:r>
      <w:r w:rsidR="005D12B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single RBX2660 dose recipients. MaAsLin2 could not identify any taxonomic feature</w:t>
      </w:r>
      <w:r w:rsidR="0043694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associated with treatment outcome from double RBX2660 recipients. </w:t>
      </w:r>
    </w:p>
    <w:p w14:paraId="62C18D47" w14:textId="3655C89E" w:rsidR="00093340" w:rsidRDefault="00093340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br w:type="page"/>
      </w:r>
    </w:p>
    <w:p w14:paraId="4313352E" w14:textId="54503671" w:rsidR="00093340" w:rsidRDefault="00680E19" w:rsidP="008D25D1">
      <w:pPr>
        <w:spacing w:line="480" w:lineRule="auto"/>
        <w:jc w:val="center"/>
        <w:rPr>
          <w:rFonts w:ascii="Times New Roman" w:eastAsia="Times New Roman" w:hAnsi="Times New Roman" w:cs="Times New Roman"/>
        </w:rPr>
      </w:pPr>
      <w:r w:rsidRPr="00680E19">
        <w:rPr>
          <w:noProof/>
        </w:rPr>
        <w:lastRenderedPageBreak/>
        <w:t xml:space="preserve"> </w:t>
      </w:r>
      <w:r w:rsidRPr="00680E19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FEF2BC6" wp14:editId="37BFFD6F">
            <wp:extent cx="5838092" cy="1828800"/>
            <wp:effectExtent l="0" t="0" r="444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43366" cy="1830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97D02" w14:textId="29E0E4E8" w:rsidR="00093340" w:rsidRPr="008D25D1" w:rsidRDefault="00093340" w:rsidP="0021278C">
      <w:pPr>
        <w:spacing w:line="480" w:lineRule="auto"/>
        <w:rPr>
          <w:rFonts w:ascii="Times New Roman" w:eastAsia="Times New Roman" w:hAnsi="Times New Roman" w:cs="Times New Roman"/>
          <w:b/>
          <w:bCs/>
        </w:rPr>
      </w:pPr>
      <w:r w:rsidRPr="008D25D1">
        <w:rPr>
          <w:rFonts w:ascii="Times New Roman" w:eastAsia="Times New Roman" w:hAnsi="Times New Roman" w:cs="Times New Roman"/>
          <w:b/>
          <w:bCs/>
        </w:rPr>
        <w:t>Figure S</w:t>
      </w:r>
      <w:r w:rsidR="00EE2AF9">
        <w:rPr>
          <w:rFonts w:ascii="Times New Roman" w:eastAsia="Times New Roman" w:hAnsi="Times New Roman" w:cs="Times New Roman"/>
          <w:b/>
          <w:bCs/>
        </w:rPr>
        <w:t>6</w:t>
      </w:r>
      <w:r w:rsidRPr="008D25D1">
        <w:rPr>
          <w:rFonts w:ascii="Times New Roman" w:eastAsia="Times New Roman" w:hAnsi="Times New Roman" w:cs="Times New Roman"/>
          <w:b/>
          <w:bCs/>
        </w:rPr>
        <w:t>.</w:t>
      </w:r>
      <w:r w:rsidR="00F05DAC">
        <w:rPr>
          <w:rFonts w:ascii="Times New Roman" w:eastAsia="Times New Roman" w:hAnsi="Times New Roman" w:cs="Times New Roman"/>
          <w:b/>
          <w:bCs/>
        </w:rPr>
        <w:t xml:space="preserve"> </w:t>
      </w:r>
      <w:r w:rsidR="00880DA7">
        <w:rPr>
          <w:rFonts w:ascii="Times New Roman" w:eastAsia="Times New Roman" w:hAnsi="Times New Roman" w:cs="Times New Roman"/>
          <w:b/>
          <w:bCs/>
        </w:rPr>
        <w:t xml:space="preserve">Transplantation indices </w:t>
      </w:r>
      <w:r w:rsidR="00CD490D">
        <w:rPr>
          <w:rFonts w:ascii="Times New Roman" w:eastAsia="Times New Roman" w:hAnsi="Times New Roman" w:cs="Times New Roman"/>
          <w:b/>
          <w:bCs/>
        </w:rPr>
        <w:t>(T</w:t>
      </w:r>
      <w:r w:rsidR="00661C65">
        <w:rPr>
          <w:rFonts w:ascii="Times New Roman" w:eastAsia="Times New Roman" w:hAnsi="Times New Roman" w:cs="Times New Roman"/>
          <w:b/>
          <w:bCs/>
        </w:rPr>
        <w:t>I</w:t>
      </w:r>
      <w:r w:rsidR="00CD490D">
        <w:rPr>
          <w:rFonts w:ascii="Times New Roman" w:eastAsia="Times New Roman" w:hAnsi="Times New Roman" w:cs="Times New Roman"/>
          <w:b/>
          <w:bCs/>
        </w:rPr>
        <w:t xml:space="preserve">s) </w:t>
      </w:r>
      <w:r w:rsidR="00880DA7">
        <w:rPr>
          <w:rFonts w:ascii="Times New Roman" w:eastAsia="Times New Roman" w:hAnsi="Times New Roman" w:cs="Times New Roman"/>
          <w:b/>
          <w:bCs/>
        </w:rPr>
        <w:t>and pseudo transplantation indices</w:t>
      </w:r>
      <w:r w:rsidR="00CD490D">
        <w:rPr>
          <w:rFonts w:ascii="Times New Roman" w:eastAsia="Times New Roman" w:hAnsi="Times New Roman" w:cs="Times New Roman"/>
          <w:b/>
          <w:bCs/>
        </w:rPr>
        <w:t xml:space="preserve"> (</w:t>
      </w:r>
      <w:proofErr w:type="spellStart"/>
      <w:r w:rsidR="00CD490D">
        <w:rPr>
          <w:rFonts w:ascii="Times New Roman" w:eastAsia="Times New Roman" w:hAnsi="Times New Roman" w:cs="Times New Roman"/>
          <w:b/>
          <w:bCs/>
        </w:rPr>
        <w:t>pTIs</w:t>
      </w:r>
      <w:proofErr w:type="spellEnd"/>
      <w:r w:rsidR="00CD490D">
        <w:rPr>
          <w:rFonts w:ascii="Times New Roman" w:eastAsia="Times New Roman" w:hAnsi="Times New Roman" w:cs="Times New Roman"/>
          <w:b/>
          <w:bCs/>
        </w:rPr>
        <w:t>)</w:t>
      </w:r>
      <w:r w:rsidR="00880DA7">
        <w:rPr>
          <w:rFonts w:ascii="Times New Roman" w:eastAsia="Times New Roman" w:hAnsi="Times New Roman" w:cs="Times New Roman"/>
          <w:b/>
          <w:bCs/>
        </w:rPr>
        <w:t xml:space="preserve">. </w:t>
      </w:r>
      <w:r w:rsidR="00CD490D">
        <w:rPr>
          <w:rFonts w:ascii="Times" w:eastAsia="Times New Roman" w:hAnsi="Times" w:cs="Times New Roman"/>
          <w:color w:val="000000"/>
          <w:sz w:val="22"/>
          <w:szCs w:val="22"/>
        </w:rPr>
        <w:t>Pairwise comparisons of all TI</w:t>
      </w:r>
      <w:r w:rsidR="00CD490D" w:rsidRPr="00B708D5">
        <w:rPr>
          <w:rFonts w:ascii="Times" w:eastAsia="Times New Roman" w:hAnsi="Times" w:cs="Times New Roman"/>
          <w:color w:val="000000"/>
          <w:sz w:val="22"/>
          <w:szCs w:val="22"/>
        </w:rPr>
        <w:t xml:space="preserve">s and </w:t>
      </w:r>
      <w:proofErr w:type="spellStart"/>
      <w:r w:rsidR="00CD490D">
        <w:rPr>
          <w:rFonts w:ascii="Times" w:eastAsia="Times New Roman" w:hAnsi="Times" w:cs="Times New Roman"/>
          <w:color w:val="000000"/>
          <w:sz w:val="22"/>
          <w:szCs w:val="22"/>
        </w:rPr>
        <w:t>pTI</w:t>
      </w:r>
      <w:r w:rsidR="00CD490D" w:rsidRPr="00B708D5">
        <w:rPr>
          <w:rFonts w:ascii="Times" w:eastAsia="Times New Roman" w:hAnsi="Times" w:cs="Times New Roman"/>
          <w:color w:val="000000"/>
          <w:sz w:val="22"/>
          <w:szCs w:val="22"/>
        </w:rPr>
        <w:t>s</w:t>
      </w:r>
      <w:proofErr w:type="spellEnd"/>
      <w:r w:rsidR="00CD490D" w:rsidRPr="00B708D5">
        <w:rPr>
          <w:rFonts w:ascii="Times" w:eastAsia="Times New Roman" w:hAnsi="Times" w:cs="Times New Roman"/>
          <w:color w:val="000000"/>
          <w:sz w:val="22"/>
          <w:szCs w:val="22"/>
        </w:rPr>
        <w:t xml:space="preserve"> of</w:t>
      </w:r>
      <w:r w:rsidR="00CD490D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 xml:space="preserve"> </w:t>
      </w:r>
      <w:r w:rsidR="00CD490D" w:rsidRPr="00B708D5">
        <w:rPr>
          <w:rFonts w:ascii="Times" w:eastAsia="Times New Roman" w:hAnsi="Times" w:cs="Times New Roman"/>
          <w:color w:val="000000"/>
          <w:sz w:val="22"/>
          <w:szCs w:val="22"/>
        </w:rPr>
        <w:t xml:space="preserve">placebo </w:t>
      </w:r>
      <w:r w:rsidR="00CD490D">
        <w:rPr>
          <w:rFonts w:ascii="Times" w:eastAsia="Times New Roman" w:hAnsi="Times" w:cs="Times New Roman"/>
          <w:color w:val="000000"/>
          <w:sz w:val="22"/>
          <w:szCs w:val="22"/>
        </w:rPr>
        <w:t>(gray)</w:t>
      </w:r>
      <w:r w:rsidR="00CD490D" w:rsidRPr="00B708D5">
        <w:rPr>
          <w:rFonts w:ascii="Times" w:eastAsia="Times New Roman" w:hAnsi="Times" w:cs="Times New Roman"/>
          <w:color w:val="000000"/>
          <w:sz w:val="22"/>
          <w:szCs w:val="22"/>
        </w:rPr>
        <w:t xml:space="preserve">, single dose </w:t>
      </w:r>
      <w:r w:rsidR="00CD490D">
        <w:rPr>
          <w:rFonts w:ascii="Times" w:eastAsia="Times New Roman" w:hAnsi="Times" w:cs="Times New Roman"/>
          <w:color w:val="000000"/>
          <w:sz w:val="22"/>
          <w:szCs w:val="22"/>
        </w:rPr>
        <w:t>(red)</w:t>
      </w:r>
      <w:r w:rsidR="00CD490D" w:rsidRPr="00B708D5">
        <w:rPr>
          <w:rFonts w:ascii="Times" w:eastAsia="Times New Roman" w:hAnsi="Times" w:cs="Times New Roman"/>
          <w:color w:val="000000"/>
          <w:sz w:val="22"/>
          <w:szCs w:val="22"/>
        </w:rPr>
        <w:t>,</w:t>
      </w:r>
      <w:r w:rsidR="00CD490D">
        <w:rPr>
          <w:rFonts w:ascii="Times" w:eastAsia="Times New Roman" w:hAnsi="Times" w:cs="Times New Roman"/>
          <w:color w:val="000000"/>
          <w:sz w:val="22"/>
          <w:szCs w:val="22"/>
        </w:rPr>
        <w:t xml:space="preserve"> and</w:t>
      </w:r>
      <w:r w:rsidR="00CD490D" w:rsidRPr="00B708D5">
        <w:rPr>
          <w:rFonts w:ascii="Times" w:eastAsia="Times New Roman" w:hAnsi="Times" w:cs="Times New Roman"/>
          <w:color w:val="000000"/>
          <w:sz w:val="22"/>
          <w:szCs w:val="22"/>
        </w:rPr>
        <w:t xml:space="preserve"> double dose recipients</w:t>
      </w:r>
      <w:r w:rsidR="00CD490D">
        <w:rPr>
          <w:rFonts w:ascii="Times" w:eastAsia="Times New Roman" w:hAnsi="Times" w:cs="Times New Roman"/>
          <w:color w:val="000000"/>
          <w:sz w:val="22"/>
          <w:szCs w:val="22"/>
        </w:rPr>
        <w:t xml:space="preserve"> (blue) in each time frame were simultaneously performed (</w:t>
      </w:r>
      <w:r w:rsidR="00CD490D" w:rsidRPr="00695934">
        <w:rPr>
          <w:rFonts w:ascii="Times" w:eastAsia="Times New Roman" w:hAnsi="Times" w:cs="Times New Roman"/>
          <w:color w:val="000000"/>
          <w:sz w:val="22"/>
          <w:szCs w:val="22"/>
        </w:rPr>
        <w:t>Wilcoxon signed-rank</w:t>
      </w:r>
      <w:r w:rsidR="00CD490D">
        <w:rPr>
          <w:rFonts w:ascii="Times" w:eastAsia="Times New Roman" w:hAnsi="Times" w:cs="Times New Roman"/>
          <w:color w:val="000000"/>
          <w:sz w:val="22"/>
          <w:szCs w:val="22"/>
        </w:rPr>
        <w:t xml:space="preserve"> test </w:t>
      </w:r>
      <w:r w:rsidR="00CD490D" w:rsidRPr="00695934">
        <w:rPr>
          <w:rFonts w:ascii="Times" w:eastAsia="Times New Roman" w:hAnsi="Times" w:cs="Times New Roman"/>
          <w:color w:val="000000"/>
          <w:sz w:val="22"/>
          <w:szCs w:val="22"/>
        </w:rPr>
        <w:t xml:space="preserve">with </w:t>
      </w:r>
      <w:proofErr w:type="spellStart"/>
      <w:r w:rsidR="00CD490D" w:rsidRPr="00695934">
        <w:rPr>
          <w:rFonts w:ascii="Times" w:eastAsia="Times New Roman" w:hAnsi="Times" w:cs="Times New Roman"/>
          <w:color w:val="000000"/>
          <w:sz w:val="22"/>
          <w:szCs w:val="22"/>
        </w:rPr>
        <w:t>Benjamini</w:t>
      </w:r>
      <w:proofErr w:type="spellEnd"/>
      <w:r w:rsidR="00CD490D" w:rsidRPr="00695934">
        <w:rPr>
          <w:rFonts w:ascii="Times" w:eastAsia="Times New Roman" w:hAnsi="Times" w:cs="Times New Roman"/>
          <w:color w:val="000000"/>
          <w:sz w:val="22"/>
          <w:szCs w:val="22"/>
        </w:rPr>
        <w:t>-Hochberg FDR correction, FDR &lt; 0.05</w:t>
      </w:r>
      <w:r w:rsidR="00CD490D">
        <w:rPr>
          <w:rFonts w:ascii="Times" w:eastAsia="Times New Roman" w:hAnsi="Times" w:cs="Times New Roman"/>
          <w:color w:val="000000"/>
          <w:sz w:val="22"/>
          <w:szCs w:val="22"/>
        </w:rPr>
        <w:t xml:space="preserve">). Indices of double dose recipients include both indices for the first and second RBX2660 doses. </w:t>
      </w:r>
      <w:r w:rsidR="00CD490D" w:rsidRPr="00695934">
        <w:rPr>
          <w:rFonts w:ascii="Times" w:eastAsia="Times New Roman" w:hAnsi="Times" w:cs="Times New Roman" w:hint="eastAsia"/>
          <w:color w:val="000000"/>
          <w:sz w:val="22"/>
          <w:szCs w:val="22"/>
        </w:rPr>
        <w:t>*P ≤ 0.05, **P ≤ 0.01, ***P ≤ 0.001, ****P ≤ 0.0001.</w:t>
      </w:r>
    </w:p>
    <w:p w14:paraId="13FE177D" w14:textId="52EBFB6E" w:rsidR="00093340" w:rsidRPr="0021278C" w:rsidRDefault="00093340" w:rsidP="0021278C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1BC0B73" w14:textId="41A68FA8" w:rsidR="0021278C" w:rsidRDefault="0021278C" w:rsidP="003960E6">
      <w:pPr>
        <w:rPr>
          <w:rFonts w:ascii="Times" w:eastAsia="Times New Roman" w:hAnsi="Times" w:cs="Times New Roman"/>
          <w:b/>
          <w:bCs/>
          <w:color w:val="000000"/>
          <w:sz w:val="22"/>
          <w:szCs w:val="22"/>
        </w:rPr>
      </w:pPr>
      <w:r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br w:type="page"/>
      </w:r>
      <w:r w:rsidR="00765623" w:rsidRPr="00765623">
        <w:rPr>
          <w:noProof/>
        </w:rPr>
        <w:lastRenderedPageBreak/>
        <w:t xml:space="preserve"> </w:t>
      </w:r>
      <w:r w:rsidR="000D01C0" w:rsidRPr="000D01C0">
        <w:rPr>
          <w:noProof/>
        </w:rPr>
        <w:t xml:space="preserve"> </w:t>
      </w:r>
      <w:r w:rsidR="00C81C0A" w:rsidRPr="00C81C0A">
        <w:rPr>
          <w:noProof/>
        </w:rPr>
        <w:t xml:space="preserve"> </w:t>
      </w:r>
      <w:r w:rsidR="00C81C0A" w:rsidRPr="00C81C0A">
        <w:rPr>
          <w:noProof/>
        </w:rPr>
        <w:drawing>
          <wp:inline distT="0" distB="0" distL="0" distR="0" wp14:anchorId="2B74386B" wp14:editId="023D5DA8">
            <wp:extent cx="5943600" cy="512127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2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5F7D8" w14:textId="1051BC9D" w:rsidR="0021278C" w:rsidRPr="0021278C" w:rsidRDefault="0021278C" w:rsidP="0021278C">
      <w:pPr>
        <w:spacing w:line="480" w:lineRule="auto"/>
        <w:rPr>
          <w:rFonts w:ascii="Times New Roman" w:eastAsia="Times New Roman" w:hAnsi="Times New Roman" w:cs="Times New Roman"/>
        </w:rPr>
      </w:pPr>
      <w:r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 xml:space="preserve">Figure </w:t>
      </w:r>
      <w:r w:rsidR="00BE2855"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S</w:t>
      </w:r>
      <w:r w:rsidR="00EE2AF9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7</w:t>
      </w:r>
      <w:r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 xml:space="preserve">. Additional discriminative features of the obstinate patients (related Fig. 3). a </w:t>
      </w:r>
      <w:r w:rsidR="00C81C0A">
        <w:rPr>
          <w:rFonts w:ascii="Times" w:eastAsia="Times New Roman" w:hAnsi="Times" w:cs="Times New Roman"/>
          <w:color w:val="000000"/>
          <w:sz w:val="22"/>
          <w:szCs w:val="22"/>
        </w:rPr>
        <w:t xml:space="preserve">Comparison of transplantation indices of double RBX2660 recipients for the first and the second RBX2660 at day 7 and day 60. R2-21 exhibited lower engraftment index for the first dose but higher engraftment index for the second dose of RBX2660 than placebo patients at day 60 (white square). </w:t>
      </w:r>
      <w:r w:rsidR="00A105A0" w:rsidRPr="003960E6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b</w:t>
      </w:r>
      <w:r w:rsidR="00A105A0">
        <w:rPr>
          <w:rFonts w:ascii="Times" w:eastAsia="Times New Roman" w:hAnsi="Times" w:cs="Times New Roman"/>
          <w:color w:val="000000"/>
          <w:sz w:val="22"/>
          <w:szCs w:val="22"/>
        </w:rPr>
        <w:t xml:space="preserve"> </w:t>
      </w:r>
      <w:r w:rsidR="00C81C0A"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Metabolic pathway features of the </w:t>
      </w:r>
      <w:r w:rsidR="00C81C0A">
        <w:rPr>
          <w:rFonts w:ascii="Times" w:eastAsia="Times New Roman" w:hAnsi="Times" w:cs="Times New Roman"/>
          <w:color w:val="000000"/>
          <w:sz w:val="22"/>
          <w:szCs w:val="22"/>
        </w:rPr>
        <w:t>double RBX2660 recipients whose taxonomic structures were engrafted and maintained until day 60 (green) and other non-engrafted patients (</w:t>
      </w:r>
      <w:r w:rsidR="003A1B56">
        <w:rPr>
          <w:rFonts w:ascii="Times" w:eastAsia="Times New Roman" w:hAnsi="Times" w:cs="Times New Roman"/>
          <w:color w:val="000000"/>
          <w:sz w:val="22"/>
          <w:szCs w:val="22"/>
        </w:rPr>
        <w:t>purple</w:t>
      </w:r>
      <w:r w:rsidR="00C81C0A">
        <w:rPr>
          <w:rFonts w:ascii="Times" w:eastAsia="Times New Roman" w:hAnsi="Times" w:cs="Times New Roman"/>
          <w:color w:val="000000"/>
          <w:sz w:val="22"/>
          <w:szCs w:val="22"/>
        </w:rPr>
        <w:t>)</w:t>
      </w:r>
      <w:r w:rsidR="00C81C0A"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. Yeast-specific metabolic pathways were marked in </w:t>
      </w:r>
      <w:r w:rsidR="00C81C0A">
        <w:rPr>
          <w:rFonts w:ascii="Times" w:eastAsia="Times New Roman" w:hAnsi="Times" w:cs="Times New Roman"/>
          <w:color w:val="000000"/>
          <w:sz w:val="22"/>
          <w:szCs w:val="22"/>
        </w:rPr>
        <w:t>red</w:t>
      </w:r>
      <w:r w:rsidR="00C81C0A"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. </w:t>
      </w:r>
      <w:r w:rsidR="00C81C0A" w:rsidRPr="00765623">
        <w:rPr>
          <w:rFonts w:ascii="Times" w:eastAsia="Times New Roman" w:hAnsi="Times" w:cs="Times New Roman"/>
          <w:color w:val="000000"/>
          <w:sz w:val="22"/>
          <w:szCs w:val="22"/>
        </w:rPr>
        <w:t>GLCMANNANAUT-PWY</w:t>
      </w:r>
      <w:r w:rsidR="00C81C0A">
        <w:rPr>
          <w:rFonts w:ascii="Times" w:eastAsia="Times New Roman" w:hAnsi="Times" w:cs="Times New Roman"/>
          <w:color w:val="000000"/>
          <w:sz w:val="22"/>
          <w:szCs w:val="22"/>
        </w:rPr>
        <w:t xml:space="preserve">, </w:t>
      </w:r>
      <w:proofErr w:type="spellStart"/>
      <w:r w:rsidR="00C81C0A" w:rsidRPr="00765623">
        <w:rPr>
          <w:rFonts w:ascii="Times" w:eastAsia="Times New Roman" w:hAnsi="Times" w:cs="Times New Roman"/>
          <w:color w:val="000000"/>
          <w:sz w:val="22"/>
          <w:szCs w:val="22"/>
        </w:rPr>
        <w:t>superpathway</w:t>
      </w:r>
      <w:proofErr w:type="spellEnd"/>
      <w:r w:rsidR="00C81C0A" w:rsidRPr="00765623">
        <w:rPr>
          <w:rFonts w:ascii="Times" w:eastAsia="Times New Roman" w:hAnsi="Times" w:cs="Times New Roman"/>
          <w:color w:val="000000"/>
          <w:sz w:val="22"/>
          <w:szCs w:val="22"/>
        </w:rPr>
        <w:t xml:space="preserve"> of N-acetylglucosamine, N-</w:t>
      </w:r>
      <w:proofErr w:type="spellStart"/>
      <w:r w:rsidR="00C81C0A" w:rsidRPr="00765623">
        <w:rPr>
          <w:rFonts w:ascii="Times" w:eastAsia="Times New Roman" w:hAnsi="Times" w:cs="Times New Roman"/>
          <w:color w:val="000000"/>
          <w:sz w:val="22"/>
          <w:szCs w:val="22"/>
        </w:rPr>
        <w:t>acetylmannosamine</w:t>
      </w:r>
      <w:proofErr w:type="spellEnd"/>
      <w:r w:rsidR="00C81C0A" w:rsidRPr="00765623">
        <w:rPr>
          <w:rFonts w:ascii="Times" w:eastAsia="Times New Roman" w:hAnsi="Times" w:cs="Times New Roman"/>
          <w:color w:val="000000"/>
          <w:sz w:val="22"/>
          <w:szCs w:val="22"/>
        </w:rPr>
        <w:t xml:space="preserve"> and N-acetylneuraminate degradation</w:t>
      </w:r>
      <w:r w:rsidR="00C81C0A">
        <w:rPr>
          <w:rFonts w:ascii="Times" w:eastAsia="Times New Roman" w:hAnsi="Times" w:cs="Times New Roman"/>
          <w:color w:val="000000"/>
          <w:sz w:val="22"/>
          <w:szCs w:val="22"/>
        </w:rPr>
        <w:t xml:space="preserve">; </w:t>
      </w:r>
      <w:r w:rsidR="00C81C0A" w:rsidRPr="00765623">
        <w:rPr>
          <w:rFonts w:ascii="Times" w:eastAsia="Times New Roman" w:hAnsi="Times" w:cs="Times New Roman"/>
          <w:color w:val="000000"/>
          <w:sz w:val="22"/>
          <w:szCs w:val="22"/>
        </w:rPr>
        <w:t>GALACT-GLUCUROCAT-PWY</w:t>
      </w:r>
      <w:r w:rsidR="00C81C0A">
        <w:rPr>
          <w:rFonts w:ascii="Times" w:eastAsia="Times New Roman" w:hAnsi="Times" w:cs="Times New Roman"/>
          <w:color w:val="000000"/>
          <w:sz w:val="22"/>
          <w:szCs w:val="22"/>
        </w:rPr>
        <w:t>,</w:t>
      </w:r>
      <w:r w:rsidR="00C81C0A" w:rsidRPr="00765623">
        <w:rPr>
          <w:rFonts w:ascii="Times" w:eastAsia="Times New Roman" w:hAnsi="Times" w:cs="Times New Roman"/>
          <w:color w:val="000000"/>
          <w:sz w:val="22"/>
          <w:szCs w:val="22"/>
        </w:rPr>
        <w:t xml:space="preserve"> </w:t>
      </w:r>
      <w:proofErr w:type="spellStart"/>
      <w:r w:rsidR="00C81C0A" w:rsidRPr="00765623">
        <w:rPr>
          <w:rFonts w:ascii="Times" w:eastAsia="Times New Roman" w:hAnsi="Times" w:cs="Times New Roman"/>
          <w:color w:val="000000"/>
          <w:sz w:val="22"/>
          <w:szCs w:val="22"/>
        </w:rPr>
        <w:t>superpathway</w:t>
      </w:r>
      <w:proofErr w:type="spellEnd"/>
      <w:r w:rsidR="00C81C0A" w:rsidRPr="00765623">
        <w:rPr>
          <w:rFonts w:ascii="Times" w:eastAsia="Times New Roman" w:hAnsi="Times" w:cs="Times New Roman"/>
          <w:color w:val="000000"/>
          <w:sz w:val="22"/>
          <w:szCs w:val="22"/>
        </w:rPr>
        <w:t xml:space="preserve"> of </w:t>
      </w:r>
      <w:proofErr w:type="spellStart"/>
      <w:r w:rsidR="00C81C0A" w:rsidRPr="00765623">
        <w:rPr>
          <w:rFonts w:ascii="Times" w:eastAsia="Times New Roman" w:hAnsi="Times" w:cs="Times New Roman"/>
          <w:color w:val="000000"/>
          <w:sz w:val="22"/>
          <w:szCs w:val="22"/>
        </w:rPr>
        <w:t>hexuronide</w:t>
      </w:r>
      <w:proofErr w:type="spellEnd"/>
      <w:r w:rsidR="00C81C0A" w:rsidRPr="00765623">
        <w:rPr>
          <w:rFonts w:ascii="Times" w:eastAsia="Times New Roman" w:hAnsi="Times" w:cs="Times New Roman"/>
          <w:color w:val="000000"/>
          <w:sz w:val="22"/>
          <w:szCs w:val="22"/>
        </w:rPr>
        <w:t xml:space="preserve"> and </w:t>
      </w:r>
      <w:proofErr w:type="spellStart"/>
      <w:r w:rsidR="00C81C0A" w:rsidRPr="00765623">
        <w:rPr>
          <w:rFonts w:ascii="Times" w:eastAsia="Times New Roman" w:hAnsi="Times" w:cs="Times New Roman"/>
          <w:color w:val="000000"/>
          <w:sz w:val="22"/>
          <w:szCs w:val="22"/>
        </w:rPr>
        <w:t>hexuronate</w:t>
      </w:r>
      <w:proofErr w:type="spellEnd"/>
      <w:r w:rsidR="00C81C0A" w:rsidRPr="00765623">
        <w:rPr>
          <w:rFonts w:ascii="Times" w:eastAsia="Times New Roman" w:hAnsi="Times" w:cs="Times New Roman"/>
          <w:color w:val="000000"/>
          <w:sz w:val="22"/>
          <w:szCs w:val="22"/>
        </w:rPr>
        <w:t xml:space="preserve"> degradation</w:t>
      </w:r>
      <w:r w:rsidR="00C81C0A">
        <w:rPr>
          <w:rFonts w:ascii="Times" w:eastAsia="Times New Roman" w:hAnsi="Times" w:cs="Times New Roman"/>
          <w:color w:val="000000"/>
          <w:sz w:val="22"/>
          <w:szCs w:val="22"/>
        </w:rPr>
        <w:t>.</w:t>
      </w:r>
      <w:r w:rsidR="00C81C0A" w:rsidRPr="00765623">
        <w:rPr>
          <w:rFonts w:ascii="Times" w:eastAsia="Times New Roman" w:hAnsi="Times" w:cs="Times New Roman"/>
          <w:color w:val="000000"/>
          <w:sz w:val="22"/>
          <w:szCs w:val="22"/>
        </w:rPr>
        <w:t xml:space="preserve"> </w:t>
      </w:r>
      <w:r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At baseline, </w:t>
      </w:r>
      <w:r w:rsidR="00A105A0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c</w:t>
      </w:r>
      <w:r w:rsidR="00A105A0"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 xml:space="preserve"> </w:t>
      </w:r>
      <w:r w:rsidRPr="0021278C">
        <w:rPr>
          <w:rFonts w:ascii="Times" w:eastAsia="Times New Roman" w:hAnsi="Times" w:cs="Times New Roman"/>
          <w:color w:val="000000"/>
          <w:sz w:val="22"/>
          <w:szCs w:val="22"/>
        </w:rPr>
        <w:t>Shannon index (</w:t>
      </w:r>
      <w:r w:rsidRPr="0021278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Wilcoxon signed-rank test, P = 0.41), </w:t>
      </w:r>
      <w:r w:rsidR="00A105A0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d</w:t>
      </w:r>
      <w:r w:rsidR="00A105A0"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 </w:t>
      </w:r>
      <w:r w:rsidRPr="0021278C">
        <w:rPr>
          <w:rFonts w:ascii="Times" w:eastAsia="Times New Roman" w:hAnsi="Times" w:cs="Times New Roman"/>
          <w:i/>
          <w:iCs/>
          <w:color w:val="000000"/>
          <w:sz w:val="22"/>
          <w:szCs w:val="22"/>
        </w:rPr>
        <w:lastRenderedPageBreak/>
        <w:t xml:space="preserve">Proteobacteria </w:t>
      </w:r>
      <w:r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(P = 0.79), </w:t>
      </w:r>
      <w:r w:rsidR="00A105A0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e</w:t>
      </w:r>
      <w:r w:rsidR="00A105A0"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 xml:space="preserve"> </w:t>
      </w:r>
      <w:r w:rsidRPr="0021278C">
        <w:rPr>
          <w:rFonts w:ascii="Times" w:eastAsia="Times New Roman" w:hAnsi="Times" w:cs="Times New Roman"/>
          <w:i/>
          <w:iCs/>
          <w:color w:val="000000"/>
          <w:sz w:val="22"/>
          <w:szCs w:val="22"/>
        </w:rPr>
        <w:t>Bacteroidetes</w:t>
      </w:r>
      <w:r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 (P = 0.92), </w:t>
      </w:r>
      <w:r w:rsidR="00A105A0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f</w:t>
      </w:r>
      <w:r w:rsidR="00A105A0"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 </w:t>
      </w:r>
      <w:r w:rsidRPr="0021278C">
        <w:rPr>
          <w:rFonts w:ascii="Times" w:eastAsia="Times New Roman" w:hAnsi="Times" w:cs="Times New Roman"/>
          <w:i/>
          <w:iCs/>
          <w:color w:val="000000"/>
          <w:sz w:val="22"/>
          <w:szCs w:val="22"/>
        </w:rPr>
        <w:t>Firmicutes</w:t>
      </w:r>
      <w:r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 (P = 0.32),</w:t>
      </w:r>
      <w:r w:rsidR="00765623">
        <w:rPr>
          <w:rFonts w:ascii="Times" w:eastAsia="Times New Roman" w:hAnsi="Times" w:cs="Times New Roman"/>
          <w:color w:val="000000"/>
          <w:sz w:val="22"/>
          <w:szCs w:val="22"/>
        </w:rPr>
        <w:t xml:space="preserve"> and</w:t>
      </w:r>
      <w:r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 </w:t>
      </w:r>
      <w:r w:rsidR="00A105A0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g</w:t>
      </w:r>
      <w:r w:rsidR="00A105A0"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 xml:space="preserve"> </w:t>
      </w:r>
      <w:r w:rsidR="00765623" w:rsidRPr="003960E6">
        <w:rPr>
          <w:rFonts w:ascii="Times" w:eastAsia="Times New Roman" w:hAnsi="Times" w:cs="Times New Roman"/>
          <w:color w:val="000000"/>
          <w:sz w:val="22"/>
          <w:szCs w:val="22"/>
        </w:rPr>
        <w:t xml:space="preserve">the </w:t>
      </w:r>
      <w:r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ratio between </w:t>
      </w:r>
      <w:r w:rsidRPr="0021278C">
        <w:rPr>
          <w:rFonts w:ascii="Times" w:eastAsia="Times New Roman" w:hAnsi="Times" w:cs="Times New Roman"/>
          <w:i/>
          <w:iCs/>
          <w:color w:val="000000"/>
          <w:sz w:val="22"/>
          <w:szCs w:val="22"/>
        </w:rPr>
        <w:t xml:space="preserve">Bacteroidetes </w:t>
      </w:r>
      <w:r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and </w:t>
      </w:r>
      <w:r w:rsidRPr="0021278C">
        <w:rPr>
          <w:rFonts w:ascii="Times" w:eastAsia="Times New Roman" w:hAnsi="Times" w:cs="Times New Roman"/>
          <w:i/>
          <w:iCs/>
          <w:color w:val="000000"/>
          <w:sz w:val="22"/>
          <w:szCs w:val="22"/>
        </w:rPr>
        <w:t xml:space="preserve">Firmicutes </w:t>
      </w:r>
      <w:r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(P = 0.92) were not significantly different between the engrafted and non-engrafted </w:t>
      </w:r>
      <w:r w:rsidR="00765623">
        <w:rPr>
          <w:rFonts w:ascii="Times" w:eastAsia="Times New Roman" w:hAnsi="Times" w:cs="Times New Roman"/>
          <w:color w:val="000000"/>
          <w:sz w:val="22"/>
          <w:szCs w:val="22"/>
        </w:rPr>
        <w:t>double RBX2660 recipient</w:t>
      </w:r>
      <w:r w:rsidRPr="0021278C">
        <w:rPr>
          <w:rFonts w:ascii="Times" w:eastAsia="Times New Roman" w:hAnsi="Times" w:cs="Times New Roman"/>
          <w:color w:val="000000"/>
          <w:sz w:val="22"/>
          <w:szCs w:val="22"/>
        </w:rPr>
        <w:t>s.</w:t>
      </w:r>
    </w:p>
    <w:p w14:paraId="1C212ECA" w14:textId="77777777" w:rsidR="0021278C" w:rsidRDefault="0021278C">
      <w:pPr>
        <w:rPr>
          <w:rFonts w:ascii="Times" w:eastAsia="Times New Roman" w:hAnsi="Times" w:cs="Times New Roman"/>
          <w:b/>
          <w:bCs/>
          <w:color w:val="000000"/>
          <w:sz w:val="22"/>
          <w:szCs w:val="22"/>
        </w:rPr>
      </w:pPr>
      <w:r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br w:type="page"/>
      </w:r>
    </w:p>
    <w:p w14:paraId="52C1EB98" w14:textId="2E6CA1D9" w:rsidR="00DE2CB8" w:rsidRPr="0011106F" w:rsidRDefault="001F7987" w:rsidP="00E458CD">
      <w:pPr>
        <w:spacing w:line="480" w:lineRule="auto"/>
        <w:rPr>
          <w:rFonts w:ascii="Times" w:eastAsia="Times New Roman" w:hAnsi="Times" w:cs="Times New Roman"/>
          <w:color w:val="000000"/>
          <w:sz w:val="22"/>
          <w:szCs w:val="22"/>
        </w:rPr>
      </w:pPr>
      <w:r w:rsidRPr="001F7987">
        <w:rPr>
          <w:rFonts w:ascii="Times" w:eastAsia="Times New Roman" w:hAnsi="Times" w:cs="Times New Roman"/>
          <w:b/>
          <w:bCs/>
          <w:noProof/>
          <w:color w:val="000000"/>
          <w:sz w:val="22"/>
          <w:szCs w:val="22"/>
        </w:rPr>
        <w:lastRenderedPageBreak/>
        <w:drawing>
          <wp:inline distT="0" distB="0" distL="0" distR="0" wp14:anchorId="6443D794" wp14:editId="19B23BC9">
            <wp:extent cx="5880100" cy="5372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2AF9" w:rsidRPr="00EE2AF9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 xml:space="preserve"> </w:t>
      </w:r>
      <w:r w:rsidR="0021278C" w:rsidRPr="0011106F">
        <w:rPr>
          <w:rFonts w:ascii="Times" w:eastAsia="Times New Roman" w:hAnsi="Times" w:cs="Arial"/>
          <w:b/>
          <w:bCs/>
          <w:color w:val="000000"/>
          <w:sz w:val="22"/>
          <w:szCs w:val="22"/>
        </w:rPr>
        <w:t xml:space="preserve">Figure </w:t>
      </w:r>
      <w:r w:rsidR="00433069" w:rsidRPr="0011106F">
        <w:rPr>
          <w:rFonts w:ascii="Times" w:eastAsia="Times New Roman" w:hAnsi="Times" w:cs="Arial"/>
          <w:b/>
          <w:bCs/>
          <w:color w:val="000000"/>
          <w:sz w:val="22"/>
          <w:szCs w:val="22"/>
        </w:rPr>
        <w:t>S</w:t>
      </w:r>
      <w:r w:rsidR="00EE2AF9" w:rsidRPr="0011106F">
        <w:rPr>
          <w:rFonts w:ascii="Times" w:eastAsia="Times New Roman" w:hAnsi="Times" w:cs="Arial"/>
          <w:b/>
          <w:bCs/>
          <w:color w:val="000000"/>
          <w:sz w:val="22"/>
          <w:szCs w:val="22"/>
        </w:rPr>
        <w:t>8</w:t>
      </w:r>
      <w:r w:rsidR="0021278C" w:rsidRPr="0011106F">
        <w:rPr>
          <w:rFonts w:ascii="Times" w:eastAsia="Times New Roman" w:hAnsi="Times" w:cs="Arial"/>
          <w:b/>
          <w:bCs/>
          <w:color w:val="000000"/>
          <w:sz w:val="22"/>
          <w:szCs w:val="22"/>
        </w:rPr>
        <w:t xml:space="preserve">. Comparison of </w:t>
      </w:r>
      <w:proofErr w:type="spellStart"/>
      <w:r w:rsidR="0021278C" w:rsidRPr="0011106F">
        <w:rPr>
          <w:rFonts w:ascii="Times" w:eastAsia="Times New Roman" w:hAnsi="Times" w:cs="Arial"/>
          <w:b/>
          <w:bCs/>
          <w:color w:val="000000"/>
          <w:sz w:val="22"/>
          <w:szCs w:val="22"/>
        </w:rPr>
        <w:t>resistome</w:t>
      </w:r>
      <w:proofErr w:type="spellEnd"/>
      <w:r w:rsidR="0021278C" w:rsidRPr="0011106F">
        <w:rPr>
          <w:rFonts w:ascii="Times" w:eastAsia="Times New Roman" w:hAnsi="Times" w:cs="Arial"/>
          <w:b/>
          <w:bCs/>
          <w:color w:val="000000"/>
          <w:sz w:val="22"/>
          <w:szCs w:val="22"/>
        </w:rPr>
        <w:t xml:space="preserve"> compositions.</w:t>
      </w:r>
      <w:r w:rsidR="00DE2CB8" w:rsidRPr="0011106F">
        <w:rPr>
          <w:rFonts w:ascii="Times" w:eastAsia="Times New Roman" w:hAnsi="Times" w:cs="Arial"/>
          <w:b/>
          <w:bCs/>
          <w:color w:val="000000"/>
          <w:sz w:val="22"/>
          <w:szCs w:val="22"/>
        </w:rPr>
        <w:t xml:space="preserve"> </w:t>
      </w:r>
      <w:proofErr w:type="spellStart"/>
      <w:proofErr w:type="gramStart"/>
      <w:r w:rsidR="00DE2CB8" w:rsidRPr="0011106F">
        <w:rPr>
          <w:rFonts w:ascii="Times" w:eastAsia="Times New Roman" w:hAnsi="Times" w:cs="Arial"/>
          <w:b/>
          <w:bCs/>
          <w:color w:val="000000"/>
          <w:sz w:val="22"/>
          <w:szCs w:val="22"/>
        </w:rPr>
        <w:t>a</w:t>
      </w:r>
      <w:proofErr w:type="spellEnd"/>
      <w:proofErr w:type="gramEnd"/>
      <w:r w:rsidR="00DE2CB8" w:rsidRPr="0011106F">
        <w:rPr>
          <w:rFonts w:ascii="Times" w:eastAsia="Times New Roman" w:hAnsi="Times" w:cs="Arial"/>
          <w:b/>
          <w:bCs/>
          <w:color w:val="000000"/>
          <w:sz w:val="22"/>
          <w:szCs w:val="22"/>
        </w:rPr>
        <w:t xml:space="preserve"> </w:t>
      </w:r>
      <w:r w:rsidR="00DE2CB8" w:rsidRPr="0011106F">
        <w:rPr>
          <w:rFonts w:ascii="Times" w:eastAsia="Times New Roman" w:hAnsi="Times" w:cs="Arial"/>
          <w:bCs/>
          <w:sz w:val="22"/>
          <w:szCs w:val="22"/>
        </w:rPr>
        <w:t xml:space="preserve">Alpha diversity of baseline </w:t>
      </w:r>
      <w:r w:rsidR="00DE2CB8" w:rsidRPr="0011106F">
        <w:rPr>
          <w:rFonts w:ascii="Times" w:eastAsia="Times New Roman" w:hAnsi="Times" w:cs="Arial"/>
          <w:sz w:val="22"/>
          <w:szCs w:val="22"/>
        </w:rPr>
        <w:t xml:space="preserve">patient </w:t>
      </w:r>
      <w:proofErr w:type="spellStart"/>
      <w:r w:rsidR="00DE2CB8" w:rsidRPr="0011106F">
        <w:rPr>
          <w:rFonts w:ascii="Times" w:eastAsia="Times New Roman" w:hAnsi="Times" w:cs="Arial"/>
          <w:sz w:val="22"/>
          <w:szCs w:val="22"/>
        </w:rPr>
        <w:t>resistomes</w:t>
      </w:r>
      <w:proofErr w:type="spellEnd"/>
      <w:r w:rsidR="00DE2CB8" w:rsidRPr="0011106F">
        <w:rPr>
          <w:rFonts w:ascii="Times" w:eastAsia="Times New Roman" w:hAnsi="Times" w:cs="Arial"/>
          <w:sz w:val="22"/>
          <w:szCs w:val="22"/>
        </w:rPr>
        <w:t xml:space="preserve"> was comparable to that of RBX2660 (only patients who received vancomycin, P = 0.066; all patients, P = 0.180). </w:t>
      </w:r>
      <w:r w:rsidR="00DE2CB8" w:rsidRPr="0011106F">
        <w:rPr>
          <w:rFonts w:ascii="Times" w:eastAsia="Times New Roman" w:hAnsi="Times" w:cs="Arial"/>
          <w:b/>
          <w:bCs/>
          <w:sz w:val="22"/>
          <w:szCs w:val="22"/>
        </w:rPr>
        <w:t xml:space="preserve">b </w:t>
      </w:r>
      <w:r w:rsidR="00DE2CB8" w:rsidRPr="0011106F">
        <w:rPr>
          <w:rFonts w:ascii="Times" w:eastAsia="Times New Roman" w:hAnsi="Times" w:cs="Arial"/>
          <w:sz w:val="22"/>
          <w:szCs w:val="22"/>
        </w:rPr>
        <w:t xml:space="preserve">Baseline patient </w:t>
      </w:r>
      <w:proofErr w:type="spellStart"/>
      <w:r w:rsidR="00DE2CB8" w:rsidRPr="0011106F">
        <w:rPr>
          <w:rFonts w:ascii="Times" w:eastAsia="Times New Roman" w:hAnsi="Times" w:cs="Arial"/>
          <w:sz w:val="22"/>
          <w:szCs w:val="22"/>
        </w:rPr>
        <w:t>resistomes</w:t>
      </w:r>
      <w:proofErr w:type="spellEnd"/>
      <w:r w:rsidR="00DE2CB8" w:rsidRPr="0011106F">
        <w:rPr>
          <w:rFonts w:ascii="Times" w:eastAsia="Times New Roman" w:hAnsi="Times" w:cs="Arial"/>
          <w:sz w:val="22"/>
          <w:szCs w:val="22"/>
        </w:rPr>
        <w:t xml:space="preserve"> had a greater antibiotic resistant gene (ARG) reads per kilobase per million sample reads (RPKM, Wilcoxon signed-rank test). </w:t>
      </w:r>
      <w:r w:rsidRPr="0011106F">
        <w:rPr>
          <w:rFonts w:ascii="Times" w:eastAsia="Gungsuh" w:hAnsi="Times" w:cs="Arial"/>
          <w:sz w:val="22"/>
          <w:szCs w:val="22"/>
        </w:rPr>
        <w:t xml:space="preserve">****P ≤ 0.0001. </w:t>
      </w:r>
      <w:r w:rsidR="00DE2CB8" w:rsidRPr="0011106F">
        <w:rPr>
          <w:rFonts w:ascii="Times" w:eastAsia="Times New Roman" w:hAnsi="Times" w:cs="Arial"/>
          <w:b/>
          <w:bCs/>
          <w:sz w:val="22"/>
          <w:szCs w:val="22"/>
        </w:rPr>
        <w:t xml:space="preserve">c </w:t>
      </w:r>
      <w:r w:rsidR="00DE2CB8" w:rsidRPr="0011106F">
        <w:rPr>
          <w:rFonts w:ascii="Times" w:eastAsia="Times New Roman" w:hAnsi="Times" w:cs="Arial"/>
          <w:sz w:val="22"/>
          <w:szCs w:val="22"/>
        </w:rPr>
        <w:t>Principal coordinates analysis (</w:t>
      </w:r>
      <w:proofErr w:type="spellStart"/>
      <w:r w:rsidR="00DE2CB8" w:rsidRPr="0011106F">
        <w:rPr>
          <w:rFonts w:ascii="Times" w:eastAsia="Times New Roman" w:hAnsi="Times" w:cs="Arial"/>
          <w:sz w:val="22"/>
          <w:szCs w:val="22"/>
        </w:rPr>
        <w:t>PCoA</w:t>
      </w:r>
      <w:proofErr w:type="spellEnd"/>
      <w:r w:rsidR="00DE2CB8" w:rsidRPr="0011106F">
        <w:rPr>
          <w:rFonts w:ascii="Times" w:eastAsia="Times New Roman" w:hAnsi="Times" w:cs="Arial"/>
          <w:sz w:val="22"/>
          <w:szCs w:val="22"/>
        </w:rPr>
        <w:t xml:space="preserve">) of </w:t>
      </w:r>
      <w:proofErr w:type="spellStart"/>
      <w:r w:rsidR="00DE2CB8" w:rsidRPr="0011106F">
        <w:rPr>
          <w:rFonts w:ascii="Times" w:eastAsia="Times New Roman" w:hAnsi="Times" w:cs="Arial"/>
          <w:sz w:val="22"/>
          <w:szCs w:val="22"/>
        </w:rPr>
        <w:t>resistome</w:t>
      </w:r>
      <w:proofErr w:type="spellEnd"/>
      <w:r w:rsidR="00DE2CB8" w:rsidRPr="0011106F">
        <w:rPr>
          <w:rFonts w:ascii="Times" w:eastAsia="Times New Roman" w:hAnsi="Times" w:cs="Arial"/>
          <w:sz w:val="22"/>
          <w:szCs w:val="22"/>
        </w:rPr>
        <w:t xml:space="preserve"> composition showed a clustering of RBX2660 (white). Baseline </w:t>
      </w:r>
      <w:proofErr w:type="spellStart"/>
      <w:r w:rsidR="00DE2CB8" w:rsidRPr="0011106F">
        <w:rPr>
          <w:rFonts w:ascii="Times" w:eastAsia="Times New Roman" w:hAnsi="Times" w:cs="Arial"/>
          <w:sz w:val="22"/>
          <w:szCs w:val="22"/>
        </w:rPr>
        <w:t>resistomes</w:t>
      </w:r>
      <w:proofErr w:type="spellEnd"/>
      <w:r w:rsidR="00DE2CB8" w:rsidRPr="0011106F">
        <w:rPr>
          <w:rFonts w:ascii="Times" w:eastAsia="Times New Roman" w:hAnsi="Times" w:cs="Arial"/>
          <w:sz w:val="22"/>
          <w:szCs w:val="22"/>
        </w:rPr>
        <w:t xml:space="preserve"> of metronidazole and fidaxomicin recipients were </w:t>
      </w:r>
      <w:r w:rsidR="0011106F" w:rsidRPr="0011106F">
        <w:rPr>
          <w:rFonts w:ascii="Times" w:eastAsia="Times New Roman" w:hAnsi="Times" w:cs="Arial"/>
          <w:sz w:val="22"/>
          <w:szCs w:val="22"/>
        </w:rPr>
        <w:t xml:space="preserve">more closely </w:t>
      </w:r>
      <w:r w:rsidR="00DE2CB8" w:rsidRPr="0011106F">
        <w:rPr>
          <w:rFonts w:ascii="Times" w:eastAsia="Times New Roman" w:hAnsi="Times" w:cs="Arial"/>
          <w:sz w:val="22"/>
          <w:szCs w:val="22"/>
        </w:rPr>
        <w:t xml:space="preserve">clustered with other baseline </w:t>
      </w:r>
      <w:proofErr w:type="spellStart"/>
      <w:r w:rsidR="00DE2CB8" w:rsidRPr="0011106F">
        <w:rPr>
          <w:rFonts w:ascii="Times" w:eastAsia="Times New Roman" w:hAnsi="Times" w:cs="Arial"/>
          <w:sz w:val="22"/>
          <w:szCs w:val="22"/>
        </w:rPr>
        <w:t>resistomes</w:t>
      </w:r>
      <w:proofErr w:type="spellEnd"/>
      <w:r w:rsidR="00DE2CB8" w:rsidRPr="0011106F">
        <w:rPr>
          <w:rFonts w:ascii="Times" w:eastAsia="Times New Roman" w:hAnsi="Times" w:cs="Arial"/>
          <w:sz w:val="22"/>
          <w:szCs w:val="22"/>
        </w:rPr>
        <w:t xml:space="preserve"> of vancomycin recipients (</w:t>
      </w:r>
      <w:r w:rsidR="0011106F" w:rsidRPr="0011106F">
        <w:rPr>
          <w:rFonts w:ascii="Times" w:eastAsia="Times New Roman" w:hAnsi="Times" w:cs="Arial"/>
          <w:sz w:val="22"/>
          <w:szCs w:val="22"/>
        </w:rPr>
        <w:t xml:space="preserve">P = 0.0120, PERMANOVA and pairwise comparison with </w:t>
      </w:r>
      <w:r w:rsidR="0011106F" w:rsidRPr="0011106F">
        <w:rPr>
          <w:rFonts w:ascii="Times" w:eastAsia="Gungsuh" w:hAnsi="Times" w:cs="Arial"/>
          <w:sz w:val="22"/>
          <w:szCs w:val="22"/>
        </w:rPr>
        <w:t xml:space="preserve">Pillai-Bartlett non-parametric trace and </w:t>
      </w:r>
      <w:proofErr w:type="spellStart"/>
      <w:r w:rsidR="0011106F" w:rsidRPr="0011106F">
        <w:rPr>
          <w:rFonts w:ascii="Times" w:eastAsia="Gungsuh" w:hAnsi="Times" w:cs="Arial"/>
          <w:sz w:val="22"/>
          <w:szCs w:val="22"/>
        </w:rPr>
        <w:t>Benjamini</w:t>
      </w:r>
      <w:proofErr w:type="spellEnd"/>
      <w:r w:rsidR="0011106F" w:rsidRPr="0011106F">
        <w:rPr>
          <w:rFonts w:ascii="Times" w:eastAsia="Gungsuh" w:hAnsi="Times" w:cs="Arial"/>
          <w:sz w:val="22"/>
          <w:szCs w:val="22"/>
        </w:rPr>
        <w:t>-Hochberg FDR correction</w:t>
      </w:r>
      <w:r w:rsidR="0011106F" w:rsidRPr="0011106F">
        <w:rPr>
          <w:rFonts w:ascii="Times" w:eastAsia="Times New Roman" w:hAnsi="Times" w:cs="Arial"/>
          <w:sz w:val="22"/>
          <w:szCs w:val="22"/>
        </w:rPr>
        <w:t>) than RBX2660 (P = 0.0015).</w:t>
      </w:r>
      <w:r w:rsidR="00DE2CB8" w:rsidRPr="0011106F">
        <w:rPr>
          <w:rFonts w:ascii="Times" w:eastAsia="Times New Roman" w:hAnsi="Times" w:cs="Arial"/>
          <w:sz w:val="22"/>
          <w:szCs w:val="22"/>
        </w:rPr>
        <w:t xml:space="preserve"> </w:t>
      </w:r>
      <w:r w:rsidR="00DE2CB8" w:rsidRPr="0011106F">
        <w:rPr>
          <w:rFonts w:ascii="Times" w:eastAsia="Times New Roman" w:hAnsi="Times" w:cs="Arial"/>
          <w:b/>
          <w:bCs/>
          <w:color w:val="000000"/>
          <w:sz w:val="22"/>
          <w:szCs w:val="22"/>
        </w:rPr>
        <w:t>d</w:t>
      </w:r>
      <w:r w:rsidR="0021278C" w:rsidRPr="0011106F">
        <w:rPr>
          <w:rFonts w:ascii="Times" w:eastAsia="Times New Roman" w:hAnsi="Times" w:cs="Arial"/>
          <w:b/>
          <w:bCs/>
          <w:color w:val="000000"/>
          <w:sz w:val="22"/>
          <w:szCs w:val="22"/>
        </w:rPr>
        <w:t xml:space="preserve"> </w:t>
      </w:r>
      <w:r w:rsidR="0021278C" w:rsidRPr="0011106F">
        <w:rPr>
          <w:rFonts w:ascii="Times" w:eastAsia="Times New Roman" w:hAnsi="Times" w:cs="Arial"/>
          <w:color w:val="000000"/>
          <w:sz w:val="22"/>
          <w:szCs w:val="22"/>
        </w:rPr>
        <w:t xml:space="preserve">Individual </w:t>
      </w:r>
      <w:r w:rsidR="008D0965" w:rsidRPr="0011106F">
        <w:rPr>
          <w:rFonts w:ascii="Times" w:eastAsia="Times New Roman" w:hAnsi="Times" w:cs="Arial"/>
          <w:color w:val="000000"/>
          <w:sz w:val="22"/>
          <w:szCs w:val="22"/>
        </w:rPr>
        <w:lastRenderedPageBreak/>
        <w:t>loads</w:t>
      </w:r>
      <w:r w:rsidR="0021278C" w:rsidRPr="0011106F">
        <w:rPr>
          <w:rFonts w:ascii="Times" w:eastAsia="Times New Roman" w:hAnsi="Times" w:cs="Arial"/>
          <w:color w:val="000000"/>
          <w:sz w:val="22"/>
          <w:szCs w:val="22"/>
        </w:rPr>
        <w:t xml:space="preserve"> of</w:t>
      </w:r>
      <w:r w:rsidR="0021278C" w:rsidRPr="0011106F">
        <w:rPr>
          <w:rFonts w:ascii="Times" w:eastAsia="Times New Roman" w:hAnsi="Times" w:cs="Arial"/>
          <w:b/>
          <w:bCs/>
          <w:color w:val="000000"/>
          <w:sz w:val="22"/>
          <w:szCs w:val="22"/>
        </w:rPr>
        <w:t xml:space="preserve"> </w:t>
      </w:r>
      <w:r w:rsidR="0021278C" w:rsidRPr="0011106F">
        <w:rPr>
          <w:rFonts w:ascii="Times" w:eastAsia="Times New Roman" w:hAnsi="Times" w:cs="Arial"/>
          <w:color w:val="000000"/>
          <w:sz w:val="22"/>
          <w:szCs w:val="22"/>
        </w:rPr>
        <w:t>an antibiotic resistant gene (ARG) in a treatment arm were average</w:t>
      </w:r>
      <w:r w:rsidR="008D0965" w:rsidRPr="0011106F">
        <w:rPr>
          <w:rFonts w:ascii="Times" w:eastAsia="Times New Roman" w:hAnsi="Times" w:cs="Arial"/>
          <w:color w:val="000000"/>
          <w:sz w:val="22"/>
          <w:szCs w:val="22"/>
        </w:rPr>
        <w:t>d</w:t>
      </w:r>
      <w:r w:rsidR="0021278C" w:rsidRPr="0011106F">
        <w:rPr>
          <w:rFonts w:ascii="Times" w:eastAsia="Times New Roman" w:hAnsi="Times" w:cs="Arial"/>
          <w:color w:val="000000"/>
          <w:sz w:val="22"/>
          <w:szCs w:val="22"/>
        </w:rPr>
        <w:t>. ARGs whose</w:t>
      </w:r>
      <w:r w:rsidR="0021278C" w:rsidRPr="0011106F">
        <w:rPr>
          <w:rFonts w:ascii="Times" w:eastAsia="Times New Roman" w:hAnsi="Times" w:cs="Times New Roman"/>
          <w:color w:val="000000"/>
          <w:sz w:val="22"/>
          <w:szCs w:val="22"/>
        </w:rPr>
        <w:t xml:space="preserve"> average portion in the treatment arm was smaller than 2% were combined as “Rare ARGs.”</w:t>
      </w:r>
    </w:p>
    <w:p w14:paraId="11A1FAEC" w14:textId="77777777" w:rsidR="00DE2CB8" w:rsidRDefault="00DE2CB8">
      <w:pPr>
        <w:rPr>
          <w:rFonts w:ascii="Times" w:eastAsia="Times New Roman" w:hAnsi="Times" w:cs="Times New Roman"/>
          <w:color w:val="000000"/>
          <w:sz w:val="22"/>
          <w:szCs w:val="22"/>
        </w:rPr>
      </w:pPr>
      <w:r>
        <w:rPr>
          <w:rFonts w:ascii="Times" w:eastAsia="Times New Roman" w:hAnsi="Times" w:cs="Times New Roman"/>
          <w:color w:val="000000"/>
          <w:sz w:val="22"/>
          <w:szCs w:val="22"/>
        </w:rPr>
        <w:br w:type="page"/>
      </w:r>
    </w:p>
    <w:p w14:paraId="200B6C30" w14:textId="77777777" w:rsidR="0021278C" w:rsidRDefault="0021278C" w:rsidP="00E458CD">
      <w:pPr>
        <w:spacing w:line="480" w:lineRule="auto"/>
        <w:rPr>
          <w:rFonts w:ascii="Times" w:eastAsia="Times New Roman" w:hAnsi="Times" w:cs="Times New Roman"/>
          <w:color w:val="000000"/>
          <w:sz w:val="22"/>
          <w:szCs w:val="22"/>
        </w:rPr>
      </w:pPr>
    </w:p>
    <w:p w14:paraId="5CAFFEC4" w14:textId="4374A0A8" w:rsidR="0021278C" w:rsidRDefault="00B86804" w:rsidP="0021278C">
      <w:pPr>
        <w:spacing w:line="480" w:lineRule="auto"/>
        <w:jc w:val="center"/>
        <w:rPr>
          <w:rFonts w:ascii="Times" w:eastAsia="Times New Roman" w:hAnsi="Times" w:cs="Times New Roman"/>
          <w:b/>
          <w:bCs/>
          <w:color w:val="000000"/>
          <w:sz w:val="22"/>
          <w:szCs w:val="22"/>
        </w:rPr>
      </w:pPr>
      <w:r>
        <w:rPr>
          <w:rFonts w:ascii="Times" w:eastAsia="Times New Roman" w:hAnsi="Times" w:cs="Times New Roman"/>
          <w:b/>
          <w:bCs/>
          <w:noProof/>
          <w:color w:val="000000"/>
          <w:sz w:val="22"/>
          <w:szCs w:val="22"/>
        </w:rPr>
        <w:drawing>
          <wp:inline distT="0" distB="0" distL="0" distR="0" wp14:anchorId="6C441D3D" wp14:editId="10E5D0F2">
            <wp:extent cx="5943600" cy="5217160"/>
            <wp:effectExtent l="0" t="0" r="0" b="2540"/>
            <wp:docPr id="5" name="Picture 5" descr="A close up of a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S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1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BCDF3" w14:textId="25A98C6F" w:rsidR="0021278C" w:rsidRPr="0021278C" w:rsidRDefault="0021278C" w:rsidP="008416B8">
      <w:pPr>
        <w:spacing w:line="480" w:lineRule="auto"/>
        <w:rPr>
          <w:rFonts w:ascii="Times New Roman" w:eastAsia="Times New Roman" w:hAnsi="Times New Roman" w:cs="Times New Roman"/>
        </w:rPr>
      </w:pPr>
      <w:r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 xml:space="preserve">Figure </w:t>
      </w:r>
      <w:r w:rsidR="00BE2855"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S</w:t>
      </w:r>
      <w:r w:rsidR="00EE2AF9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9</w:t>
      </w:r>
      <w:r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 xml:space="preserve">. Random forest classifier successfully distinguished between donor and patient baseline </w:t>
      </w:r>
      <w:proofErr w:type="spellStart"/>
      <w:r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resistomes</w:t>
      </w:r>
      <w:proofErr w:type="spellEnd"/>
      <w:r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 xml:space="preserve"> </w:t>
      </w:r>
      <w:r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 xml:space="preserve">(related Fig. </w:t>
      </w:r>
      <w:r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5)</w:t>
      </w:r>
      <w:r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.</w:t>
      </w:r>
      <w:r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 </w:t>
      </w:r>
      <w:r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a</w:t>
      </w:r>
      <w:r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 </w:t>
      </w:r>
      <w:proofErr w:type="spellStart"/>
      <w:r w:rsidRPr="0021278C">
        <w:rPr>
          <w:rFonts w:ascii="Times" w:eastAsia="Times New Roman" w:hAnsi="Times" w:cs="Times New Roman"/>
          <w:color w:val="000000"/>
          <w:sz w:val="22"/>
          <w:szCs w:val="22"/>
        </w:rPr>
        <w:t>Resistome</w:t>
      </w:r>
      <w:proofErr w:type="spellEnd"/>
      <w:r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 confusion matrix depicting predicted and true labels for the test set</w:t>
      </w:r>
      <w:r>
        <w:rPr>
          <w:rFonts w:ascii="Times" w:eastAsia="Times New Roman" w:hAnsi="Times" w:cs="Times New Roman"/>
          <w:color w:val="000000"/>
          <w:sz w:val="22"/>
          <w:szCs w:val="22"/>
        </w:rPr>
        <w:t xml:space="preserve"> </w:t>
      </w:r>
      <w:r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(n = 45). All but 2 samples were correctly categorized. </w:t>
      </w:r>
      <w:r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b</w:t>
      </w:r>
      <w:r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 A receiver operating characteristic (ROC) curve showed high recall, precision, and area under curve (AUC) for the model. </w:t>
      </w:r>
      <w:r w:rsidR="008D0965" w:rsidRPr="008D0965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c–j</w:t>
      </w:r>
      <w:r w:rsidR="008D0965">
        <w:rPr>
          <w:rFonts w:ascii="Times" w:eastAsia="Times New Roman" w:hAnsi="Times" w:cs="Times New Roman"/>
          <w:color w:val="000000"/>
          <w:sz w:val="22"/>
          <w:szCs w:val="22"/>
        </w:rPr>
        <w:t xml:space="preserve"> </w:t>
      </w:r>
      <w:r w:rsidR="00DB2674">
        <w:rPr>
          <w:rFonts w:ascii="Times" w:eastAsia="Times New Roman" w:hAnsi="Times" w:cs="Times New Roman"/>
          <w:color w:val="000000"/>
          <w:sz w:val="22"/>
          <w:szCs w:val="22"/>
        </w:rPr>
        <w:t>Individual c</w:t>
      </w:r>
      <w:r w:rsidR="008D0965">
        <w:rPr>
          <w:rFonts w:ascii="Times" w:eastAsia="Times New Roman" w:hAnsi="Times" w:cs="Times New Roman"/>
          <w:color w:val="000000"/>
          <w:sz w:val="22"/>
          <w:szCs w:val="22"/>
        </w:rPr>
        <w:t>hanges in abundance (</w:t>
      </w:r>
      <w:r w:rsidR="008D0965" w:rsidRPr="008D0965">
        <w:rPr>
          <w:rFonts w:ascii="Times" w:eastAsia="Times New Roman" w:hAnsi="Times" w:cs="Times New Roman"/>
          <w:color w:val="000000"/>
          <w:sz w:val="22"/>
          <w:szCs w:val="22"/>
        </w:rPr>
        <w:t>reads per kilobase per million sample reads</w:t>
      </w:r>
      <w:r w:rsidR="008D0965">
        <w:rPr>
          <w:rFonts w:ascii="Times" w:eastAsia="Times New Roman" w:hAnsi="Times" w:cs="Times New Roman"/>
          <w:color w:val="000000"/>
          <w:sz w:val="22"/>
          <w:szCs w:val="22"/>
        </w:rPr>
        <w:t xml:space="preserve">, RPKM) of selected antibiotic resistant genes from baseline were similar among patients in the three treatment groups. </w:t>
      </w:r>
      <w:r w:rsidR="00DB2674">
        <w:rPr>
          <w:rFonts w:ascii="Times" w:eastAsia="Times New Roman" w:hAnsi="Times" w:cs="Times New Roman"/>
          <w:color w:val="000000"/>
          <w:sz w:val="22"/>
          <w:szCs w:val="22"/>
        </w:rPr>
        <w:t>Individual changes of t</w:t>
      </w:r>
      <w:r w:rsidR="008D0965">
        <w:rPr>
          <w:rFonts w:ascii="Times" w:eastAsia="Times New Roman" w:hAnsi="Times" w:cs="Times New Roman"/>
          <w:color w:val="000000"/>
          <w:sz w:val="22"/>
          <w:szCs w:val="22"/>
        </w:rPr>
        <w:t>he two RBX2660-origin beta-lactamases</w:t>
      </w:r>
      <w:r w:rsidR="00DB2674">
        <w:rPr>
          <w:rFonts w:ascii="Times" w:eastAsia="Times New Roman" w:hAnsi="Times" w:cs="Times New Roman"/>
          <w:color w:val="000000"/>
          <w:sz w:val="22"/>
          <w:szCs w:val="22"/>
        </w:rPr>
        <w:t xml:space="preserve">, whose baseline abundances were near-zero, were described in </w:t>
      </w:r>
      <w:r w:rsidR="008D0965">
        <w:rPr>
          <w:rFonts w:ascii="Times" w:eastAsia="Times New Roman" w:hAnsi="Times" w:cs="Times New Roman"/>
          <w:color w:val="000000"/>
          <w:sz w:val="22"/>
          <w:szCs w:val="22"/>
        </w:rPr>
        <w:t>Fig. 5</w:t>
      </w:r>
      <w:r w:rsidR="00DB2674">
        <w:rPr>
          <w:rFonts w:ascii="Times" w:eastAsia="Times New Roman" w:hAnsi="Times" w:cs="Times New Roman"/>
          <w:color w:val="000000"/>
          <w:sz w:val="22"/>
          <w:szCs w:val="22"/>
        </w:rPr>
        <w:t>i and 5j</w:t>
      </w:r>
      <w:r w:rsidR="008D0965">
        <w:rPr>
          <w:rFonts w:ascii="Times" w:eastAsia="Times New Roman" w:hAnsi="Times" w:cs="Times New Roman"/>
          <w:color w:val="000000"/>
          <w:sz w:val="22"/>
          <w:szCs w:val="22"/>
        </w:rPr>
        <w:t xml:space="preserve">.  </w:t>
      </w:r>
    </w:p>
    <w:p w14:paraId="67A6804B" w14:textId="4EDC9963" w:rsidR="0021278C" w:rsidRPr="0021278C" w:rsidRDefault="0054770C" w:rsidP="0021278C">
      <w:pPr>
        <w:rPr>
          <w:rFonts w:ascii="Times New Roman" w:eastAsia="Times New Roman" w:hAnsi="Times New Roman" w:cs="Times New Roman"/>
        </w:rPr>
      </w:pPr>
      <w:r w:rsidRPr="0054770C">
        <w:rPr>
          <w:rFonts w:ascii="Times New Roman" w:eastAsia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0E1CF3CB" wp14:editId="07C16F5E">
            <wp:extent cx="5675630" cy="8229600"/>
            <wp:effectExtent l="0" t="0" r="127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756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4AD1C" w14:textId="56B5992F" w:rsidR="0021278C" w:rsidRDefault="0021278C" w:rsidP="0021278C">
      <w:pPr>
        <w:spacing w:line="480" w:lineRule="auto"/>
        <w:rPr>
          <w:rFonts w:ascii="Times" w:eastAsia="Times New Roman" w:hAnsi="Times" w:cs="Times New Roman"/>
          <w:color w:val="000000"/>
          <w:sz w:val="22"/>
          <w:szCs w:val="22"/>
        </w:rPr>
      </w:pPr>
      <w:r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lastRenderedPageBreak/>
        <w:t xml:space="preserve">Figure </w:t>
      </w:r>
      <w:r w:rsidR="00BE2855"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S</w:t>
      </w:r>
      <w:r w:rsidR="00EE2AF9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10</w:t>
      </w:r>
      <w:r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 xml:space="preserve">. Average nucleotide identity (ANI) and core genome phylogeny of </w:t>
      </w:r>
      <w:r w:rsidRPr="0021278C">
        <w:rPr>
          <w:rFonts w:ascii="Times" w:eastAsia="Times New Roman" w:hAnsi="Times" w:cs="Times New Roman"/>
          <w:b/>
          <w:bCs/>
          <w:i/>
          <w:iCs/>
          <w:color w:val="000000"/>
          <w:sz w:val="22"/>
          <w:szCs w:val="22"/>
        </w:rPr>
        <w:t>E. coli</w:t>
      </w:r>
      <w:r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 xml:space="preserve"> isolates. </w:t>
      </w:r>
      <w:proofErr w:type="gramStart"/>
      <w:r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a</w:t>
      </w:r>
      <w:proofErr w:type="gramEnd"/>
      <w:r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 ANI for all </w:t>
      </w:r>
      <w:r w:rsidRPr="0021278C">
        <w:rPr>
          <w:rFonts w:ascii="Times" w:eastAsia="Times New Roman" w:hAnsi="Times" w:cs="Times New Roman"/>
          <w:i/>
          <w:iCs/>
          <w:color w:val="000000"/>
          <w:sz w:val="22"/>
          <w:szCs w:val="22"/>
        </w:rPr>
        <w:t>E.</w:t>
      </w:r>
      <w:r w:rsidR="0061390C">
        <w:rPr>
          <w:rFonts w:ascii="Times" w:eastAsia="Times New Roman" w:hAnsi="Times" w:cs="Times New Roman"/>
          <w:i/>
          <w:iCs/>
          <w:color w:val="000000"/>
          <w:sz w:val="22"/>
          <w:szCs w:val="22"/>
        </w:rPr>
        <w:t xml:space="preserve"> </w:t>
      </w:r>
      <w:r w:rsidRPr="0021278C">
        <w:rPr>
          <w:rFonts w:ascii="Times" w:eastAsia="Times New Roman" w:hAnsi="Times" w:cs="Times New Roman"/>
          <w:i/>
          <w:iCs/>
          <w:color w:val="000000"/>
          <w:sz w:val="22"/>
          <w:szCs w:val="22"/>
        </w:rPr>
        <w:t xml:space="preserve">coli </w:t>
      </w:r>
      <w:r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isolates pairwise comparisons. All isolates show at least 97% pairwise identity. </w:t>
      </w:r>
      <w:r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b</w:t>
      </w:r>
      <w:r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 Core genome phylogeny of </w:t>
      </w:r>
      <w:r w:rsidRPr="0021278C">
        <w:rPr>
          <w:rFonts w:ascii="Times" w:eastAsia="Times New Roman" w:hAnsi="Times" w:cs="Times New Roman"/>
          <w:i/>
          <w:iCs/>
          <w:color w:val="000000"/>
          <w:sz w:val="22"/>
          <w:szCs w:val="22"/>
        </w:rPr>
        <w:t>E.</w:t>
      </w:r>
      <w:r w:rsidR="0061390C">
        <w:rPr>
          <w:rFonts w:ascii="Times" w:eastAsia="Times New Roman" w:hAnsi="Times" w:cs="Times New Roman"/>
          <w:i/>
          <w:iCs/>
          <w:color w:val="000000"/>
          <w:sz w:val="22"/>
          <w:szCs w:val="22"/>
        </w:rPr>
        <w:t xml:space="preserve"> </w:t>
      </w:r>
      <w:r w:rsidRPr="0021278C">
        <w:rPr>
          <w:rFonts w:ascii="Times" w:eastAsia="Times New Roman" w:hAnsi="Times" w:cs="Times New Roman"/>
          <w:i/>
          <w:iCs/>
          <w:color w:val="000000"/>
          <w:sz w:val="22"/>
          <w:szCs w:val="22"/>
        </w:rPr>
        <w:t xml:space="preserve">coli </w:t>
      </w:r>
      <w:r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isolates with 24 NCBI reference strains and </w:t>
      </w:r>
      <w:r w:rsidRPr="0021278C">
        <w:rPr>
          <w:rFonts w:ascii="Times" w:eastAsia="Times New Roman" w:hAnsi="Times" w:cs="Times New Roman"/>
          <w:i/>
          <w:iCs/>
          <w:color w:val="000000"/>
          <w:sz w:val="22"/>
          <w:szCs w:val="22"/>
        </w:rPr>
        <w:t xml:space="preserve">E. </w:t>
      </w:r>
      <w:proofErr w:type="spellStart"/>
      <w:r w:rsidRPr="0021278C">
        <w:rPr>
          <w:rFonts w:ascii="Times" w:eastAsia="Times New Roman" w:hAnsi="Times" w:cs="Times New Roman"/>
          <w:i/>
          <w:iCs/>
          <w:color w:val="000000"/>
          <w:sz w:val="22"/>
          <w:szCs w:val="22"/>
        </w:rPr>
        <w:t>fergusonii</w:t>
      </w:r>
      <w:proofErr w:type="spellEnd"/>
      <w:r w:rsidRPr="0021278C">
        <w:rPr>
          <w:rFonts w:ascii="Times" w:eastAsia="Times New Roman" w:hAnsi="Times" w:cs="Times New Roman"/>
          <w:i/>
          <w:iCs/>
          <w:color w:val="000000"/>
          <w:sz w:val="22"/>
          <w:szCs w:val="22"/>
        </w:rPr>
        <w:t xml:space="preserve"> </w:t>
      </w:r>
      <w:r w:rsidRPr="0021278C">
        <w:rPr>
          <w:rFonts w:ascii="Times" w:eastAsia="Times New Roman" w:hAnsi="Times" w:cs="Times New Roman"/>
          <w:color w:val="000000"/>
          <w:sz w:val="22"/>
          <w:szCs w:val="22"/>
        </w:rPr>
        <w:t>as outgroup. Right panel indicates</w:t>
      </w:r>
      <w:r w:rsidRPr="0021278C">
        <w:rPr>
          <w:rFonts w:ascii="Times" w:eastAsia="Times New Roman" w:hAnsi="Times" w:cs="Times New Roman"/>
          <w:i/>
          <w:iCs/>
          <w:color w:val="000000"/>
          <w:sz w:val="22"/>
          <w:szCs w:val="22"/>
        </w:rPr>
        <w:t xml:space="preserve"> E.</w:t>
      </w:r>
      <w:r w:rsidR="0061390C">
        <w:rPr>
          <w:rFonts w:ascii="Times" w:eastAsia="Times New Roman" w:hAnsi="Times" w:cs="Times New Roman"/>
          <w:i/>
          <w:iCs/>
          <w:color w:val="000000"/>
          <w:sz w:val="22"/>
          <w:szCs w:val="22"/>
        </w:rPr>
        <w:t xml:space="preserve"> </w:t>
      </w:r>
      <w:r w:rsidRPr="0021278C">
        <w:rPr>
          <w:rFonts w:ascii="Times" w:eastAsia="Times New Roman" w:hAnsi="Times" w:cs="Times New Roman"/>
          <w:i/>
          <w:iCs/>
          <w:color w:val="000000"/>
          <w:sz w:val="22"/>
          <w:szCs w:val="22"/>
        </w:rPr>
        <w:t xml:space="preserve">coli </w:t>
      </w:r>
      <w:r w:rsidRPr="0021278C">
        <w:rPr>
          <w:rFonts w:ascii="Times" w:eastAsia="Times New Roman" w:hAnsi="Times" w:cs="Times New Roman"/>
          <w:color w:val="000000"/>
          <w:sz w:val="22"/>
          <w:szCs w:val="22"/>
        </w:rPr>
        <w:t>phylogroup. Isolates originated from the same patient or donor were labelled in the same color. Reference strains were marked in black</w:t>
      </w:r>
      <w:r w:rsidR="00A006F3">
        <w:rPr>
          <w:rFonts w:ascii="Times" w:eastAsia="Times New Roman" w:hAnsi="Times" w:cs="Times New Roman"/>
          <w:color w:val="000000"/>
          <w:sz w:val="22"/>
          <w:szCs w:val="22"/>
        </w:rPr>
        <w:t xml:space="preserve"> and bold</w:t>
      </w:r>
      <w:r w:rsidRPr="0021278C">
        <w:rPr>
          <w:rFonts w:ascii="Times" w:eastAsia="Times New Roman" w:hAnsi="Times" w:cs="Times New Roman"/>
          <w:color w:val="000000"/>
          <w:sz w:val="22"/>
          <w:szCs w:val="22"/>
        </w:rPr>
        <w:t>. Small colored squares indicate isolates from donor product that was administered to multiple patients, where the color of the text and squares correspond to the different patients.</w:t>
      </w:r>
    </w:p>
    <w:p w14:paraId="2CC8CDD1" w14:textId="2E8C9B66" w:rsidR="00E458CD" w:rsidRDefault="00E458CD">
      <w:pPr>
        <w:rPr>
          <w:rFonts w:ascii="Times" w:eastAsia="Times New Roman" w:hAnsi="Times" w:cs="Times New Roman"/>
          <w:color w:val="000000"/>
          <w:sz w:val="22"/>
          <w:szCs w:val="22"/>
        </w:rPr>
      </w:pPr>
      <w:r>
        <w:rPr>
          <w:rFonts w:ascii="Times" w:eastAsia="Times New Roman" w:hAnsi="Times" w:cs="Times New Roman"/>
          <w:color w:val="000000"/>
          <w:sz w:val="22"/>
          <w:szCs w:val="22"/>
        </w:rPr>
        <w:br w:type="page"/>
      </w:r>
    </w:p>
    <w:p w14:paraId="21C0EA6F" w14:textId="77777777" w:rsidR="00E458CD" w:rsidRDefault="00E458CD" w:rsidP="00E458CD">
      <w:pPr>
        <w:spacing w:line="480" w:lineRule="auto"/>
        <w:rPr>
          <w:rFonts w:ascii="Times" w:eastAsia="Times New Roman" w:hAnsi="Times" w:cs="Times New Roman"/>
          <w:b/>
          <w:bCs/>
          <w:color w:val="000000"/>
          <w:sz w:val="22"/>
          <w:szCs w:val="22"/>
        </w:rPr>
      </w:pPr>
      <w:r w:rsidRPr="00391423">
        <w:rPr>
          <w:rFonts w:ascii="Times" w:eastAsia="Times New Roman" w:hAnsi="Times" w:cs="Times New Roman"/>
          <w:b/>
          <w:bCs/>
          <w:noProof/>
          <w:color w:val="000000"/>
          <w:sz w:val="22"/>
          <w:szCs w:val="22"/>
          <w:lang w:eastAsia="en-US"/>
        </w:rPr>
        <w:lastRenderedPageBreak/>
        <w:drawing>
          <wp:inline distT="0" distB="0" distL="0" distR="0" wp14:anchorId="55688597" wp14:editId="25D9C328">
            <wp:extent cx="5943600" cy="438912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E6A16" w14:textId="34EB1F3D" w:rsidR="00E458CD" w:rsidRDefault="00E458CD" w:rsidP="00E458CD">
      <w:pPr>
        <w:spacing w:line="480" w:lineRule="auto"/>
        <w:rPr>
          <w:rFonts w:ascii="Times" w:eastAsia="Times New Roman" w:hAnsi="Times" w:cs="Times New Roman"/>
          <w:color w:val="000000"/>
          <w:sz w:val="22"/>
          <w:szCs w:val="22"/>
        </w:rPr>
        <w:sectPr w:rsidR="00E458CD" w:rsidSect="006C7EC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 xml:space="preserve">Figure </w:t>
      </w:r>
      <w:r w:rsidR="00433069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S1</w:t>
      </w:r>
      <w:r w:rsidR="00EE2AF9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1</w:t>
      </w:r>
      <w:r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.</w:t>
      </w:r>
      <w:r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 </w:t>
      </w:r>
      <w:r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 xml:space="preserve">Average nucleotide identity (ANI) and core genome phylogeny of VRE isolates. </w:t>
      </w:r>
      <w:proofErr w:type="gramStart"/>
      <w:r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a</w:t>
      </w:r>
      <w:proofErr w:type="gramEnd"/>
      <w:r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 xml:space="preserve"> </w:t>
      </w:r>
      <w:r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ANI for all VRE isolates pairwise comparisons. All isolates show at least 99.43% pairwise identity. </w:t>
      </w:r>
      <w:r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b</w:t>
      </w:r>
      <w:r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 Core genome phylogeny of VRE isolates, with 4 NCBI reference VRE strains and V583</w:t>
      </w:r>
      <w:r w:rsidRPr="0021278C">
        <w:rPr>
          <w:rFonts w:ascii="Times" w:eastAsia="Times New Roman" w:hAnsi="Times" w:cs="Times New Roman"/>
          <w:i/>
          <w:iCs/>
          <w:color w:val="000000"/>
          <w:sz w:val="22"/>
          <w:szCs w:val="22"/>
        </w:rPr>
        <w:t xml:space="preserve"> Enterococcus faecalis </w:t>
      </w:r>
      <w:r w:rsidRPr="0021278C">
        <w:rPr>
          <w:rFonts w:ascii="Times" w:eastAsia="Times New Roman" w:hAnsi="Times" w:cs="Times New Roman"/>
          <w:color w:val="000000"/>
          <w:sz w:val="22"/>
          <w:szCs w:val="22"/>
        </w:rPr>
        <w:t>as outgroup. Isolates originated from the same patient were labelled in the same color. Reference strain names were marked in black.</w:t>
      </w:r>
    </w:p>
    <w:p w14:paraId="57C212A4" w14:textId="2BB66992" w:rsidR="0021278C" w:rsidRPr="0021278C" w:rsidRDefault="00B65CBB" w:rsidP="003960E6">
      <w:pPr>
        <w:jc w:val="center"/>
        <w:rPr>
          <w:rFonts w:ascii="Times New Roman" w:eastAsia="Times New Roman" w:hAnsi="Times New Roman" w:cs="Times New Roman"/>
        </w:rPr>
      </w:pPr>
      <w:r w:rsidRPr="00B65CBB">
        <w:rPr>
          <w:noProof/>
        </w:rPr>
        <w:lastRenderedPageBreak/>
        <w:t xml:space="preserve"> </w:t>
      </w:r>
      <w:r w:rsidRPr="00B65CBB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F03A24C" wp14:editId="4976441B">
            <wp:extent cx="4179570" cy="8229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795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20700" w14:textId="776DA37E" w:rsidR="0021278C" w:rsidRPr="0021278C" w:rsidRDefault="0021278C" w:rsidP="0021278C">
      <w:pPr>
        <w:spacing w:line="480" w:lineRule="auto"/>
        <w:rPr>
          <w:rFonts w:ascii="Times New Roman" w:eastAsia="Times New Roman" w:hAnsi="Times New Roman" w:cs="Times New Roman"/>
        </w:rPr>
      </w:pPr>
      <w:r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lastRenderedPageBreak/>
        <w:t xml:space="preserve">Figure </w:t>
      </w:r>
      <w:r w:rsidR="00BE2855"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S</w:t>
      </w:r>
      <w:r w:rsidR="00BE2855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1</w:t>
      </w:r>
      <w:r w:rsidR="00EE2AF9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2</w:t>
      </w:r>
      <w:r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. Antibiotic susceptibility testing (AST)</w:t>
      </w:r>
      <w:r w:rsidR="00C3176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 xml:space="preserve">. </w:t>
      </w:r>
      <w:r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 xml:space="preserve"> </w:t>
      </w:r>
      <w:r w:rsidR="00C3176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a</w:t>
      </w:r>
      <w:r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 xml:space="preserve"> </w:t>
      </w:r>
      <w:r w:rsidRPr="003960E6">
        <w:rPr>
          <w:rFonts w:ascii="Times" w:eastAsia="Times New Roman" w:hAnsi="Times" w:cs="Times New Roman"/>
          <w:i/>
          <w:iCs/>
          <w:color w:val="000000"/>
          <w:sz w:val="22"/>
          <w:szCs w:val="22"/>
        </w:rPr>
        <w:t>E. coli</w:t>
      </w:r>
      <w:r w:rsidR="00C3176C">
        <w:rPr>
          <w:rFonts w:ascii="Times" w:eastAsia="Times New Roman" w:hAnsi="Times" w:cs="Times New Roman"/>
          <w:i/>
          <w:iCs/>
          <w:color w:val="000000"/>
          <w:sz w:val="22"/>
          <w:szCs w:val="22"/>
        </w:rPr>
        <w:t xml:space="preserve"> </w:t>
      </w:r>
      <w:r w:rsidR="00C3176C" w:rsidRPr="003960E6">
        <w:rPr>
          <w:rFonts w:ascii="Times" w:eastAsia="Times New Roman" w:hAnsi="Times" w:cs="Times New Roman"/>
          <w:color w:val="000000"/>
          <w:sz w:val="22"/>
          <w:szCs w:val="22"/>
        </w:rPr>
        <w:t>and</w:t>
      </w:r>
      <w:r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 xml:space="preserve"> </w:t>
      </w:r>
      <w:r w:rsidR="00C3176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>b</w:t>
      </w:r>
      <w:r w:rsidRPr="0021278C">
        <w:rPr>
          <w:rFonts w:ascii="Times" w:eastAsia="Times New Roman" w:hAnsi="Times" w:cs="Times New Roman"/>
          <w:b/>
          <w:bCs/>
          <w:color w:val="000000"/>
          <w:sz w:val="22"/>
          <w:szCs w:val="22"/>
        </w:rPr>
        <w:t xml:space="preserve"> </w:t>
      </w:r>
      <w:r w:rsidRPr="003960E6">
        <w:rPr>
          <w:rFonts w:ascii="Times" w:eastAsia="Times New Roman" w:hAnsi="Times" w:cs="Times New Roman"/>
          <w:color w:val="000000"/>
          <w:sz w:val="22"/>
          <w:szCs w:val="22"/>
        </w:rPr>
        <w:t>VRE isolates.</w:t>
      </w:r>
      <w:r w:rsidRPr="0021278C">
        <w:rPr>
          <w:rFonts w:ascii="Times" w:eastAsia="Times New Roman" w:hAnsi="Times" w:cs="Times New Roman"/>
          <w:color w:val="000000"/>
          <w:sz w:val="22"/>
          <w:szCs w:val="22"/>
        </w:rPr>
        <w:t xml:space="preserve"> AST showed whether isolates are susceptible (white) or intermediate/resistant (black) to a variety of antibiotics. Source of isolate and specific patient of origin were depicted in the sidebars. RBX2660-derived antibiotic resistant organisms engrafted in patients were colored as their corresponding patient. RBX2660 samples without a corresponding patient are otherwise denoted as “</w:t>
      </w:r>
      <w:r w:rsidR="00A742F7">
        <w:rPr>
          <w:rFonts w:ascii="Times" w:eastAsia="Times New Roman" w:hAnsi="Times" w:cs="Times New Roman"/>
          <w:color w:val="000000"/>
          <w:sz w:val="22"/>
          <w:szCs w:val="22"/>
        </w:rPr>
        <w:t>RBX2660</w:t>
      </w:r>
      <w:r w:rsidRPr="0021278C">
        <w:rPr>
          <w:rFonts w:ascii="Times" w:eastAsia="Times New Roman" w:hAnsi="Times" w:cs="Times New Roman"/>
          <w:color w:val="000000"/>
          <w:sz w:val="22"/>
          <w:szCs w:val="22"/>
        </w:rPr>
        <w:t>.” </w:t>
      </w:r>
    </w:p>
    <w:p w14:paraId="24E37AA5" w14:textId="77777777" w:rsidR="0021278C" w:rsidRPr="0021278C" w:rsidRDefault="0021278C" w:rsidP="0021278C">
      <w:pPr>
        <w:rPr>
          <w:rFonts w:ascii="Times New Roman" w:eastAsia="Times New Roman" w:hAnsi="Times New Roman" w:cs="Times New Roman"/>
        </w:rPr>
      </w:pPr>
    </w:p>
    <w:p w14:paraId="01905782" w14:textId="7DDDDFC2" w:rsidR="00EC20CB" w:rsidRPr="0021278C" w:rsidRDefault="00EC20CB" w:rsidP="0021278C">
      <w:pPr>
        <w:spacing w:line="480" w:lineRule="auto"/>
        <w:rPr>
          <w:rFonts w:ascii="Times New Roman" w:eastAsia="Times New Roman" w:hAnsi="Times New Roman" w:cs="Times New Roman"/>
        </w:rPr>
      </w:pPr>
    </w:p>
    <w:sectPr w:rsidR="00EC20CB" w:rsidRPr="0021278C" w:rsidSect="006C7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78C"/>
    <w:rsid w:val="00010D22"/>
    <w:rsid w:val="00013FF5"/>
    <w:rsid w:val="00034394"/>
    <w:rsid w:val="00041CD5"/>
    <w:rsid w:val="00044CD7"/>
    <w:rsid w:val="00045889"/>
    <w:rsid w:val="00076235"/>
    <w:rsid w:val="000764BB"/>
    <w:rsid w:val="00081836"/>
    <w:rsid w:val="0008356B"/>
    <w:rsid w:val="00093340"/>
    <w:rsid w:val="000A6142"/>
    <w:rsid w:val="000A6F80"/>
    <w:rsid w:val="000B192A"/>
    <w:rsid w:val="000B3583"/>
    <w:rsid w:val="000B712C"/>
    <w:rsid w:val="000D01C0"/>
    <w:rsid w:val="000E14BF"/>
    <w:rsid w:val="0011106F"/>
    <w:rsid w:val="00123107"/>
    <w:rsid w:val="00131958"/>
    <w:rsid w:val="001328E1"/>
    <w:rsid w:val="00166BC4"/>
    <w:rsid w:val="001C47F7"/>
    <w:rsid w:val="001C4811"/>
    <w:rsid w:val="001C7C5B"/>
    <w:rsid w:val="001D5A3D"/>
    <w:rsid w:val="001F2517"/>
    <w:rsid w:val="001F7987"/>
    <w:rsid w:val="001F7C41"/>
    <w:rsid w:val="00200E4F"/>
    <w:rsid w:val="00210A2F"/>
    <w:rsid w:val="0021278C"/>
    <w:rsid w:val="00223BB8"/>
    <w:rsid w:val="00230ABD"/>
    <w:rsid w:val="00252A30"/>
    <w:rsid w:val="0025614B"/>
    <w:rsid w:val="00257AED"/>
    <w:rsid w:val="00260E0D"/>
    <w:rsid w:val="002C4BFA"/>
    <w:rsid w:val="002F6432"/>
    <w:rsid w:val="002F6748"/>
    <w:rsid w:val="00327607"/>
    <w:rsid w:val="00336C19"/>
    <w:rsid w:val="00355783"/>
    <w:rsid w:val="00370F76"/>
    <w:rsid w:val="00391423"/>
    <w:rsid w:val="003960E6"/>
    <w:rsid w:val="0039683B"/>
    <w:rsid w:val="003A1620"/>
    <w:rsid w:val="003A1B56"/>
    <w:rsid w:val="003A3F8B"/>
    <w:rsid w:val="003B392A"/>
    <w:rsid w:val="003D1D4A"/>
    <w:rsid w:val="003F3316"/>
    <w:rsid w:val="0041201E"/>
    <w:rsid w:val="00433069"/>
    <w:rsid w:val="00436940"/>
    <w:rsid w:val="00443024"/>
    <w:rsid w:val="00471913"/>
    <w:rsid w:val="00477524"/>
    <w:rsid w:val="004A08F6"/>
    <w:rsid w:val="004A1876"/>
    <w:rsid w:val="005011B9"/>
    <w:rsid w:val="00517614"/>
    <w:rsid w:val="0054770C"/>
    <w:rsid w:val="00547F08"/>
    <w:rsid w:val="00557858"/>
    <w:rsid w:val="00583EE4"/>
    <w:rsid w:val="005D12B1"/>
    <w:rsid w:val="005F6F4D"/>
    <w:rsid w:val="006043F7"/>
    <w:rsid w:val="00604678"/>
    <w:rsid w:val="0061390C"/>
    <w:rsid w:val="00625E6C"/>
    <w:rsid w:val="00633A63"/>
    <w:rsid w:val="00661C65"/>
    <w:rsid w:val="00680386"/>
    <w:rsid w:val="00680E19"/>
    <w:rsid w:val="006812C5"/>
    <w:rsid w:val="006816ED"/>
    <w:rsid w:val="00695934"/>
    <w:rsid w:val="006C0C00"/>
    <w:rsid w:val="006C7EC4"/>
    <w:rsid w:val="006E1C9A"/>
    <w:rsid w:val="006F478C"/>
    <w:rsid w:val="007162AA"/>
    <w:rsid w:val="00730DBD"/>
    <w:rsid w:val="00746699"/>
    <w:rsid w:val="007502AC"/>
    <w:rsid w:val="00765623"/>
    <w:rsid w:val="007667E4"/>
    <w:rsid w:val="007A22E4"/>
    <w:rsid w:val="007D08C1"/>
    <w:rsid w:val="007E0AB6"/>
    <w:rsid w:val="007E3C56"/>
    <w:rsid w:val="00826ABD"/>
    <w:rsid w:val="0083238B"/>
    <w:rsid w:val="00832CF1"/>
    <w:rsid w:val="008416B8"/>
    <w:rsid w:val="0084586B"/>
    <w:rsid w:val="00846BAE"/>
    <w:rsid w:val="00863F1F"/>
    <w:rsid w:val="008718E0"/>
    <w:rsid w:val="00880DA7"/>
    <w:rsid w:val="00892BB4"/>
    <w:rsid w:val="008A7A7B"/>
    <w:rsid w:val="008D0965"/>
    <w:rsid w:val="008D25D1"/>
    <w:rsid w:val="008E0826"/>
    <w:rsid w:val="008F4C37"/>
    <w:rsid w:val="008F65D2"/>
    <w:rsid w:val="00906917"/>
    <w:rsid w:val="00907DD2"/>
    <w:rsid w:val="00911501"/>
    <w:rsid w:val="00971378"/>
    <w:rsid w:val="00972719"/>
    <w:rsid w:val="00985B92"/>
    <w:rsid w:val="00991720"/>
    <w:rsid w:val="009B131E"/>
    <w:rsid w:val="009B18EC"/>
    <w:rsid w:val="009B7D41"/>
    <w:rsid w:val="009E7433"/>
    <w:rsid w:val="009F2D43"/>
    <w:rsid w:val="009F622A"/>
    <w:rsid w:val="00A006F3"/>
    <w:rsid w:val="00A105A0"/>
    <w:rsid w:val="00A12064"/>
    <w:rsid w:val="00A163E0"/>
    <w:rsid w:val="00A334AE"/>
    <w:rsid w:val="00A742F7"/>
    <w:rsid w:val="00AA6FB4"/>
    <w:rsid w:val="00AB08C7"/>
    <w:rsid w:val="00AB4F6E"/>
    <w:rsid w:val="00B420C8"/>
    <w:rsid w:val="00B61045"/>
    <w:rsid w:val="00B65CBB"/>
    <w:rsid w:val="00B86804"/>
    <w:rsid w:val="00BA2B5B"/>
    <w:rsid w:val="00BA4FD2"/>
    <w:rsid w:val="00BC4B52"/>
    <w:rsid w:val="00BE2855"/>
    <w:rsid w:val="00BF1895"/>
    <w:rsid w:val="00C27D9E"/>
    <w:rsid w:val="00C3176C"/>
    <w:rsid w:val="00C70662"/>
    <w:rsid w:val="00C71DB5"/>
    <w:rsid w:val="00C81C0A"/>
    <w:rsid w:val="00CC07C9"/>
    <w:rsid w:val="00CD490D"/>
    <w:rsid w:val="00CD50C6"/>
    <w:rsid w:val="00CE01DA"/>
    <w:rsid w:val="00CE141C"/>
    <w:rsid w:val="00CF3DE7"/>
    <w:rsid w:val="00D266C0"/>
    <w:rsid w:val="00D308B7"/>
    <w:rsid w:val="00D43D24"/>
    <w:rsid w:val="00D55B77"/>
    <w:rsid w:val="00D8460D"/>
    <w:rsid w:val="00D9031C"/>
    <w:rsid w:val="00D9753E"/>
    <w:rsid w:val="00DB2674"/>
    <w:rsid w:val="00DC165F"/>
    <w:rsid w:val="00DC3DC5"/>
    <w:rsid w:val="00DE2CB8"/>
    <w:rsid w:val="00E035D7"/>
    <w:rsid w:val="00E161CD"/>
    <w:rsid w:val="00E167FB"/>
    <w:rsid w:val="00E21CAA"/>
    <w:rsid w:val="00E3011D"/>
    <w:rsid w:val="00E458CD"/>
    <w:rsid w:val="00E82A8D"/>
    <w:rsid w:val="00E92E56"/>
    <w:rsid w:val="00E97F4D"/>
    <w:rsid w:val="00EA7B23"/>
    <w:rsid w:val="00EC20CB"/>
    <w:rsid w:val="00EE2AF9"/>
    <w:rsid w:val="00EE33BF"/>
    <w:rsid w:val="00F05DAC"/>
    <w:rsid w:val="00F05F4C"/>
    <w:rsid w:val="00F25610"/>
    <w:rsid w:val="00F77EAC"/>
    <w:rsid w:val="00F91E2F"/>
    <w:rsid w:val="00F947B6"/>
    <w:rsid w:val="00FA5377"/>
    <w:rsid w:val="00FA63DE"/>
    <w:rsid w:val="00FB004B"/>
    <w:rsid w:val="00FB1DB8"/>
    <w:rsid w:val="00FF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00106"/>
  <w15:chartTrackingRefBased/>
  <w15:docId w15:val="{049CFDA1-1752-8C4B-888D-E4187F8AD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Batang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1278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390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90C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D1D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1D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D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1D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D4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20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19</Pages>
  <Words>1353</Words>
  <Characters>7717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Suryang Kwak</dc:creator>
  <cp:keywords/>
  <dc:description/>
  <cp:lastModifiedBy>Kwak, Suryang</cp:lastModifiedBy>
  <cp:revision>7</cp:revision>
  <dcterms:created xsi:type="dcterms:W3CDTF">2020-06-29T22:58:00Z</dcterms:created>
  <dcterms:modified xsi:type="dcterms:W3CDTF">2020-08-10T21:48:00Z</dcterms:modified>
</cp:coreProperties>
</file>