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E2CCC" w14:textId="77777777" w:rsidR="00FE29D8" w:rsidRPr="005171B9" w:rsidRDefault="00FE29D8" w:rsidP="00FE29D8">
      <w:pPr>
        <w:pStyle w:val="xmsonormal"/>
        <w:shd w:val="clear" w:color="auto" w:fill="FFFFFF"/>
        <w:spacing w:before="0" w:beforeAutospacing="0" w:after="0" w:afterAutospacing="0" w:line="480" w:lineRule="auto"/>
        <w:jc w:val="both"/>
        <w:rPr>
          <w:rFonts w:ascii="Arial" w:hAnsi="Arial" w:cs="Arial"/>
          <w:b/>
          <w:bCs/>
          <w:sz w:val="22"/>
          <w:szCs w:val="22"/>
          <w:lang w:val="en-US"/>
        </w:rPr>
      </w:pPr>
      <w:bookmarkStart w:id="0" w:name="_GoBack"/>
      <w:bookmarkEnd w:id="0"/>
      <w:r w:rsidRPr="005171B9">
        <w:rPr>
          <w:rFonts w:ascii="Arial" w:hAnsi="Arial" w:cs="Arial"/>
          <w:b/>
          <w:bCs/>
          <w:sz w:val="22"/>
          <w:szCs w:val="22"/>
          <w:lang w:val="en-US"/>
        </w:rPr>
        <w:t>Bioinformatics</w:t>
      </w:r>
    </w:p>
    <w:p w14:paraId="5FE96D91" w14:textId="77777777" w:rsidR="00FE29D8" w:rsidRPr="005171B9" w:rsidRDefault="00FE29D8" w:rsidP="00FE29D8">
      <w:pPr>
        <w:spacing w:line="480" w:lineRule="auto"/>
        <w:jc w:val="both"/>
        <w:outlineLvl w:val="0"/>
        <w:rPr>
          <w:rFonts w:ascii="Arial" w:hAnsi="Arial" w:cs="Arial"/>
        </w:rPr>
      </w:pPr>
      <w:r w:rsidRPr="005171B9">
        <w:rPr>
          <w:rFonts w:ascii="Arial" w:hAnsi="Arial" w:cs="Arial"/>
        </w:rPr>
        <w:t xml:space="preserve">The software VSEARCH v2.3.4 (steps documented in </w:t>
      </w:r>
      <w:hyperlink r:id="rId4" w:history="1">
        <w:r w:rsidRPr="005171B9">
          <w:rPr>
            <w:rStyle w:val="Hyperlink"/>
            <w:rFonts w:ascii="Arial" w:hAnsi="Arial" w:cs="Arial"/>
          </w:rPr>
          <w:t>http://github.com/torognes/vsearch/wiki/VSEARCH-pipeline</w:t>
        </w:r>
      </w:hyperlink>
      <w:r w:rsidRPr="005171B9">
        <w:rPr>
          <w:rFonts w:ascii="Arial" w:hAnsi="Arial" w:cs="Arial"/>
        </w:rPr>
        <w:t>) was used to generate the abundance table by constructing operational taxonomic units (OTUs), a proxy for species. Before using VSEARCH, the paired-end reads were pre-processed according to the recommendations given in author’s recent publications</w:t>
      </w:r>
      <w:r>
        <w:rPr>
          <w:rFonts w:ascii="Arial" w:hAnsi="Arial" w:cs="Arial"/>
        </w:rPr>
        <w:t xml:space="preserve"> </w:t>
      </w:r>
      <w:r>
        <w:rPr>
          <w:rFonts w:ascii="Arial" w:hAnsi="Arial" w:cs="Arial"/>
        </w:rPr>
        <w:fldChar w:fldCharType="begin">
          <w:fldData xml:space="preserve">PEVuZE5vdGU+PENpdGU+PEF1dGhvcj5TY2hpcm1lcjwvQXV0aG9yPjxZZWFyPjIwMTU8L1llYXI+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</w:fldData>
        </w:fldChar>
      </w:r>
      <w:r>
        <w:rPr>
          <w:rFonts w:ascii="Arial" w:hAnsi="Arial" w:cs="Arial"/>
        </w:rPr>
        <w:instrText xml:space="preserve"> ADDIN EN.CITE </w:instrText>
      </w:r>
      <w:r>
        <w:rPr>
          <w:rFonts w:ascii="Arial" w:hAnsi="Arial" w:cs="Arial"/>
        </w:rPr>
        <w:fldChar w:fldCharType="begin">
          <w:fldData xml:space="preserve">PEVuZE5vdGU+PENpdGU+PEF1dGhvcj5TY2hpcm1lcjwvQXV0aG9yPjxZZWFyPjIwMTU8L1llYXI+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(Schirmer et al., 2015;D'Amore et al., 2016)</w:t>
      </w:r>
      <w:r>
        <w:rPr>
          <w:rFonts w:ascii="Arial" w:hAnsi="Arial" w:cs="Arial"/>
        </w:rPr>
        <w:fldChar w:fldCharType="end"/>
      </w:r>
      <w:r w:rsidRPr="005171B9">
        <w:rPr>
          <w:rFonts w:ascii="Arial" w:hAnsi="Arial" w:cs="Arial"/>
        </w:rPr>
        <w:t xml:space="preserve">. Briefly, we quality trimmed (average Phred quality score of 20 using a sliding window approach) and filtered the reads using Sickle v1.200 </w:t>
      </w:r>
      <w:r>
        <w:rPr>
          <w:rFonts w:ascii="Arial" w:hAnsi="Arial" w:cs="Arial"/>
        </w:rPr>
        <w:fldChar w:fldCharType="begin"/>
      </w:r>
      <w:r>
        <w:rPr>
          <w:rFonts w:ascii="Arial" w:hAnsi="Arial" w:cs="Arial"/>
        </w:rPr>
        <w:instrText xml:space="preserve"> ADDIN EN.CITE &lt;EndNote&gt;&lt;Cite&gt;&lt;Author&gt;Joshi&lt;/Author&gt;&lt;Year&gt;2011&lt;/Year&gt;&lt;RecNum&gt;13238&lt;/RecNum&gt;&lt;DisplayText&gt;(Joshi and Fass, 2011)&lt;/DisplayText&gt;&lt;record&gt;&lt;rec-number&gt;13238&lt;/rec-number&gt;&lt;foreign-keys&gt;&lt;key app="EN" db-id="rtd9vstty2fxskeetsp555vkad9sr9rvss9e" timestamp="1514032018"&gt;13238&lt;/key&gt;&lt;/foreign-keys&gt;&lt;ref-type name="Computer Program"&gt;9&lt;/ref-type&gt;&lt;contributors&gt;&lt;authors&gt;&lt;author&gt;Joshi, NA.&lt;/author&gt;&lt;author&gt;Fass, JN.&lt;/author&gt;&lt;/authors&gt;&lt;/contributors&gt;&lt;titles&gt;&lt;title&gt;Sickle: A sliding-window, adaptive, quality-based trimming tool for FastQ files (Version 1.33)&lt;/title&gt;&lt;/titles&gt;&lt;edition&gt;1.33&lt;/edition&gt;&lt;dates&gt;&lt;year&gt;2011&lt;/year&gt;&lt;/dates&gt;&lt;urls&gt;&lt;related-urls&gt;&lt;url&gt;https://github.com/najoshi/sickle.&lt;/url&gt;&lt;/related-urls&gt;&lt;/urls&gt;&lt;/record&gt;&lt;/Cite&gt;&lt;/EndNote&gt;</w:instrText>
      </w:r>
      <w:r>
        <w:rPr>
          <w:rFonts w:ascii="Arial" w:hAnsi="Arial" w:cs="Arial"/>
        </w:rPr>
        <w:fldChar w:fldCharType="separate"/>
      </w:r>
      <w:r>
        <w:rPr>
          <w:rFonts w:ascii="Arial" w:hAnsi="Arial" w:cs="Arial"/>
          <w:noProof/>
        </w:rPr>
        <w:t>(Joshi and Fass, 2011)</w:t>
      </w:r>
      <w:r>
        <w:rPr>
          <w:rFonts w:ascii="Arial" w:hAnsi="Arial" w:cs="Arial"/>
        </w:rPr>
        <w:fldChar w:fldCharType="end"/>
      </w:r>
      <w:r>
        <w:rPr>
          <w:rFonts w:ascii="Arial" w:hAnsi="Arial" w:cs="Arial"/>
        </w:rPr>
        <w:t>.</w:t>
      </w:r>
      <w:r w:rsidRPr="005171B9">
        <w:rPr>
          <w:rFonts w:ascii="Arial" w:hAnsi="Arial" w:cs="Arial"/>
        </w:rPr>
        <w:t xml:space="preserve"> Next, BayesHammer </w:t>
      </w:r>
      <w:r>
        <w:rPr>
          <w:rFonts w:ascii="Arial" w:hAnsi="Arial" w:cs="Arial"/>
        </w:rPr>
        <w:fldChar w:fldCharType="begin"/>
      </w:r>
      <w:r>
        <w:rPr>
          <w:rFonts w:ascii="Arial" w:hAnsi="Arial" w:cs="Arial"/>
        </w:rPr>
        <w:instrText xml:space="preserve"> ADDIN EN.CITE &lt;EndNote&gt;&lt;Cite&gt;&lt;Author&gt;Nikolenko&lt;/Author&gt;&lt;Year&gt;2013&lt;/Year&gt;&lt;RecNum&gt;13239&lt;/RecNum&gt;&lt;DisplayText&gt;(Nikolenko et al., 2013)&lt;/DisplayText&gt;&lt;record&gt;&lt;rec-number&gt;13239&lt;/rec-number&gt;&lt;foreign-keys&gt;&lt;key app="EN" db-id="rtd9vstty2fxskeetsp555vkad9sr9rvss9e" timestamp="1514032124"&gt;13239&lt;/key&gt;&lt;/foreign-keys&gt;&lt;ref-type name="Journal Article"&gt;17&lt;/ref-type&gt;&lt;contributors&gt;&lt;authors&gt;&lt;author&gt;Nikolenko, S. I.&lt;/author&gt;&lt;author&gt;Korobeynikov, A. I.&lt;/author&gt;&lt;author&gt;Alekseyev, M. A.&lt;/author&gt;&lt;/authors&gt;&lt;/contributors&gt;&lt;auth-address&gt;Algorithmic Biology Laboratory, Academic University, St, Petersburg, Russia. sergey@logic.pdmi.ras.ru&lt;/auth-address&gt;&lt;titles&gt;&lt;title&gt;BayesHammer: Bayesian clustering for error correction in single-cell sequencing&lt;/title&gt;&lt;secondary-title&gt;BMC Genomics&lt;/secondary-title&gt;&lt;/titles&gt;&lt;periodical&gt;&lt;full-title&gt;BMC Genomics&lt;/full-title&gt;&lt;/periodical&gt;&lt;pages&gt;S7&lt;/pages&gt;&lt;volume&gt;14 Suppl 1&lt;/volume&gt;&lt;keywords&gt;&lt;keyword&gt;*Algorithms&lt;/keyword&gt;&lt;keyword&gt;Bayes Theorem&lt;/keyword&gt;&lt;keyword&gt;Cluster Analysis&lt;/keyword&gt;&lt;keyword&gt;Escherichia coli/genetics&lt;/keyword&gt;&lt;keyword&gt;*Sequence Analysis, DNA&lt;/keyword&gt;&lt;keyword&gt;Single-Cell Analysis&lt;/keyword&gt;&lt;/keywords&gt;&lt;dates&gt;&lt;year&gt;2013&lt;/year&gt;&lt;/dates&gt;&lt;isbn&gt;1471-2164 (Electronic)&amp;#xD;1471-2164 (Linking)&lt;/isbn&gt;&lt;accession-num&gt;23368723&lt;/accession-num&gt;&lt;urls&gt;&lt;related-urls&gt;&lt;url&gt;https://www.ncbi.nlm.nih.gov/pubmed/23368723&lt;/url&gt;&lt;/related-urls&gt;&lt;/urls&gt;&lt;custom2&gt;PMC3549815&lt;/custom2&gt;&lt;electronic-resource-num&gt;10.1186/1471-2164-14-S1-S7&lt;/electronic-resource-num&gt;&lt;/record&gt;&lt;/Cite&gt;&lt;/EndNote&gt;</w:instrText>
      </w:r>
      <w:r>
        <w:rPr>
          <w:rFonts w:ascii="Arial" w:hAnsi="Arial" w:cs="Arial"/>
        </w:rPr>
        <w:fldChar w:fldCharType="separate"/>
      </w:r>
      <w:r>
        <w:rPr>
          <w:rFonts w:ascii="Arial" w:hAnsi="Arial" w:cs="Arial"/>
          <w:noProof/>
        </w:rPr>
        <w:t>(Nikolenko et al., 2013)</w:t>
      </w:r>
      <w:r>
        <w:rPr>
          <w:rFonts w:ascii="Arial" w:hAnsi="Arial" w:cs="Arial"/>
        </w:rPr>
        <w:fldChar w:fldCharType="end"/>
      </w:r>
      <w:r w:rsidRPr="005171B9">
        <w:rPr>
          <w:rFonts w:ascii="Arial" w:hAnsi="Arial" w:cs="Arial"/>
        </w:rPr>
        <w:t xml:space="preserve"> was used from the Spades v2.5.0 assembler, which error-corrected the paired-end reads. Following this, pandaseqv(2.4) </w:t>
      </w:r>
      <w:r>
        <w:rPr>
          <w:rFonts w:ascii="Arial" w:hAnsi="Arial" w:cs="Arial"/>
        </w:rPr>
        <w:fldChar w:fldCharType="begin"/>
      </w:r>
      <w:r>
        <w:rPr>
          <w:rFonts w:ascii="Arial" w:hAnsi="Arial" w:cs="Arial"/>
        </w:rPr>
        <w:instrText xml:space="preserve"> ADDIN EN.CITE &lt;EndNote&gt;&lt;Cite&gt;&lt;Author&gt;Masella&lt;/Author&gt;&lt;Year&gt;2012&lt;/Year&gt;&lt;RecNum&gt;13511&lt;/RecNum&gt;&lt;DisplayText&gt;(Masella et al., 2012)&lt;/DisplayText&gt;&lt;record&gt;&lt;rec-number&gt;13511&lt;/rec-number&gt;&lt;foreign-keys&gt;&lt;key app="EN" db-id="rtd9vstty2fxskeetsp555vkad9sr9rvss9e" timestamp="1579630284"&gt;13511&lt;/key&gt;&lt;/foreign-keys&gt;&lt;ref-type name="Journal Article"&gt;17&lt;/ref-type&gt;&lt;contributors&gt;&lt;authors&gt;&lt;author&gt;Masella, Andre P&lt;/author&gt;&lt;author&gt;Bartram, Andrea K&lt;/author&gt;&lt;author&gt;Truszkowski, Jakub M&lt;/author&gt;&lt;author&gt;Brown, Daniel G&lt;/author&gt;&lt;author&gt;Neufeld, Josh D&lt;/author&gt;&lt;/authors&gt;&lt;/contributors&gt;&lt;titles&gt;&lt;title&gt;PANDAseq: paired-end assembler for illumina sequences&lt;/title&gt;&lt;secondary-title&gt;BMC bioinformatics&lt;/secondary-title&gt;&lt;/titles&gt;&lt;periodical&gt;&lt;full-title&gt;BMC Bioinformatics&lt;/full-title&gt;&lt;/periodical&gt;&lt;pages&gt;31&lt;/pages&gt;&lt;volume&gt;13&lt;/volume&gt;&lt;number&gt;1&lt;/number&gt;&lt;dates&gt;&lt;year&gt;2012&lt;/year&gt;&lt;/dates&gt;&lt;isbn&gt;1471-2105&lt;/isbn&gt;&lt;urls&gt;&lt;/urls&gt;&lt;/record&gt;&lt;/Cite&gt;&lt;/EndNote&gt;</w:instrText>
      </w:r>
      <w:r>
        <w:rPr>
          <w:rFonts w:ascii="Arial" w:hAnsi="Arial" w:cs="Arial"/>
        </w:rPr>
        <w:fldChar w:fldCharType="separate"/>
      </w:r>
      <w:r>
        <w:rPr>
          <w:rFonts w:ascii="Arial" w:hAnsi="Arial" w:cs="Arial"/>
          <w:noProof/>
        </w:rPr>
        <w:t>(Masella et al., 2012)</w:t>
      </w:r>
      <w:r>
        <w:rPr>
          <w:rFonts w:ascii="Arial" w:hAnsi="Arial" w:cs="Arial"/>
        </w:rPr>
        <w:fldChar w:fldCharType="end"/>
      </w:r>
      <w:r w:rsidRPr="005171B9">
        <w:rPr>
          <w:rFonts w:ascii="Arial" w:hAnsi="Arial" w:cs="Arial"/>
        </w:rPr>
        <w:t xml:space="preserve"> was used to assemble the forward and reverse reads into a single sequence spanning the entire V4 region with a minimum overlap of 10 bp. The reads were then pooled together, dereplicated, sorted in order of decreasing abundance and singletons were discarded. Next, the reads were clustered based on 97% similarity followed by a removal of clusters which had chimeric models built from more abundant reads (--uchime_denovo option in vsearch). In the next step, we employed a reference-based chimera filtering step (--uchime_ref option in vsearch) using a gold database (</w:t>
      </w:r>
      <w:hyperlink r:id="rId5" w:history="1">
        <w:r w:rsidRPr="005171B9">
          <w:rPr>
            <w:rStyle w:val="Hyperlink"/>
            <w:rFonts w:ascii="Arial" w:hAnsi="Arial" w:cs="Arial"/>
          </w:rPr>
          <w:t>https://www.mothur.org/w/images/f/f1/Silva.gold.bacteria.zip</w:t>
        </w:r>
      </w:hyperlink>
      <w:r w:rsidRPr="005171B9">
        <w:rPr>
          <w:rFonts w:ascii="Arial" w:hAnsi="Arial" w:cs="Arial"/>
        </w:rPr>
        <w:t>). Finally, the OTU table was generated by matching the original barcoded reads against clean OTUs (a total of 3,815 OTUs for n=86 samples) at 97% similarity (a proxy for species-level separation) with summary read statistics for samples as follows: [1</w:t>
      </w:r>
      <w:r w:rsidRPr="005171B9">
        <w:rPr>
          <w:rFonts w:ascii="Arial" w:hAnsi="Arial" w:cs="Arial"/>
          <w:vertAlign w:val="superscript"/>
        </w:rPr>
        <w:t>st</w:t>
      </w:r>
      <w:r w:rsidRPr="005171B9">
        <w:rPr>
          <w:rFonts w:ascii="Arial" w:hAnsi="Arial" w:cs="Arial"/>
        </w:rPr>
        <w:t xml:space="preserve"> Quantile: 102,454, Median: 144,736, Mean: 190,358, 3</w:t>
      </w:r>
      <w:r w:rsidRPr="005171B9">
        <w:rPr>
          <w:rFonts w:ascii="Arial" w:hAnsi="Arial" w:cs="Arial"/>
          <w:vertAlign w:val="superscript"/>
        </w:rPr>
        <w:t>rd</w:t>
      </w:r>
      <w:r w:rsidRPr="005171B9">
        <w:rPr>
          <w:rFonts w:ascii="Arial" w:hAnsi="Arial" w:cs="Arial"/>
        </w:rPr>
        <w:t xml:space="preserve"> Quantile: 267,175, Max: 1,589,970]. We then used the assign_taxonomy.py script from the Qiime workflow </w:t>
      </w:r>
      <w:r>
        <w:rPr>
          <w:rFonts w:ascii="Arial" w:hAnsi="Arial" w:cs="Arial"/>
        </w:rPr>
        <w:fldChar w:fldCharType="begin">
          <w:fldData xml:space="preserve">PEVuZE5vdGU+PENpdGU+PEF1dGhvcj5DYXBvcmFzbzwvQXV0aG9yPjxZZWFyPjIwMTA8L1llYXI+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PEVuZE5vdGU+PENpdGU+PEF1dGhvcj5DYXBvcmFzbzwvQXV0aG9yPjxZZWFyPjIwMTA8L1llYXI+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(Caporaso et al., 2010)</w:t>
      </w:r>
      <w:r>
        <w:rPr>
          <w:rFonts w:ascii="Arial" w:hAnsi="Arial" w:cs="Arial"/>
        </w:rPr>
        <w:fldChar w:fldCharType="end"/>
      </w:r>
      <w:r w:rsidRPr="005171B9">
        <w:rPr>
          <w:rFonts w:ascii="Arial" w:hAnsi="Arial" w:cs="Arial"/>
        </w:rPr>
        <w:t xml:space="preserve"> to taxonomically classify the representative OTUs against the SILVA SSU Ref NR database release v123 database. After, the OTUs were multisequence aligned using mafft v7.3</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&lt;EndNote&gt;&lt;Cite&gt;&lt;Author&gt;Katoh&lt;/Author&gt;&lt;Year&gt;2013&lt;/Year&gt;&lt;RecNum&gt;13243&lt;/RecNum&gt;&lt;DisplayText&gt;(Katoh and Standley, 2013)&lt;/DisplayText&gt;&lt;record&gt;&lt;rec-number&gt;13243&lt;/rec-number&gt;&lt;foreign-keys&gt;&lt;key app="EN" db-id="rtd9vstty2fxskeetsp555vkad9sr9rvss9e" timestamp="1514032310"&gt;13243&lt;/key&gt;&lt;/foreign-keys&gt;&lt;ref-type name="Journal Article"&gt;17&lt;/ref-type&gt;&lt;contributors&gt;&lt;authors&gt;&lt;author&gt;Katoh, K.&lt;/author&gt;&lt;author&gt;Standley, D. M.&lt;/author&gt;&lt;/authors&gt;&lt;/contributors&gt;&lt;auth-address&gt;Immunology Frontier Research Center, Osaka University, Suita, Osaka, Japan. kazutaka.katoh@aist.go.jp&lt;/auth-address&gt;&lt;titles&gt;&lt;title&gt;MAFFT multiple sequence alignment software version 7: improvements in performance and usability&lt;/title&gt;&lt;secondary-title&gt;Mol Biol Evol&lt;/secondary-title&gt;&lt;/titles&gt;&lt;periodical&gt;&lt;full-title&gt;Mol Biol Evol&lt;/full-title&gt;&lt;abbr-1&gt;Molecular biology and evolution&lt;/abbr-1&gt;&lt;/periodical&gt;&lt;pages&gt;772-80&lt;/pages&gt;&lt;volume&gt;30&lt;/volume&gt;&lt;number&gt;4&lt;/number&gt;&lt;keywords&gt;&lt;keyword&gt;Algorithms&lt;/keyword&gt;&lt;keyword&gt;Amino Acid Sequence&lt;/keyword&gt;&lt;keyword&gt;Base Sequence&lt;/keyword&gt;&lt;keyword&gt;DNA, Fungal/genetics&lt;/keyword&gt;&lt;keyword&gt;DNA, Ribosomal/genetics&lt;/keyword&gt;&lt;keyword&gt;DNA, Ribosomal Spacer/genetics&lt;/keyword&gt;&lt;keyword&gt;Fungi/genetics&lt;/keyword&gt;&lt;keyword&gt;Humans&lt;/keyword&gt;&lt;keyword&gt;Models, Genetic&lt;/keyword&gt;&lt;keyword&gt;Molecular Sequence Data&lt;/keyword&gt;&lt;keyword&gt;Phylogeny&lt;/keyword&gt;&lt;keyword&gt;Protein Structure, Tertiary&lt;/keyword&gt;&lt;keyword&gt;Quality Improvement&lt;/keyword&gt;&lt;keyword&gt;RNA, Bacterial/genetics&lt;/keyword&gt;&lt;keyword&gt;Ribonucleases/chemistry/genetics&lt;/keyword&gt;&lt;keyword&gt;Ribosome Subunits, Small, Bacterial/genetics&lt;/keyword&gt;&lt;keyword&gt;Sequence Alignment/*methods&lt;/keyword&gt;&lt;keyword&gt;*Software&lt;/keyword&gt;&lt;/keywords&gt;&lt;dates&gt;&lt;year&gt;2013&lt;/year&gt;&lt;pub-dates&gt;&lt;date&gt;Apr&lt;/date&gt;&lt;/pub-dates&gt;&lt;/dates&gt;&lt;isbn&gt;1537-1719 (Electronic)&amp;#xD;0737-4038 (Linking)&lt;/isbn&gt;&lt;accession-num&gt;23329690&lt;/accession-num&gt;&lt;urls&gt;&lt;related-urls&gt;&lt;url&gt;https://www.ncbi.nlm.nih.gov/pubmed/23329690&lt;/url&gt;&lt;/related-urls&gt;&lt;/urls&gt;&lt;custom2&gt;PMC3603318&lt;/custom2&gt;&lt;electronic-resource-num&gt;10.1093/molbev/mst010&lt;/electronic-resource-num&gt;&lt;/record&gt;&lt;/Cite&gt;&lt;/EndNote&gt;</w:instrText>
      </w:r>
      <w:r>
        <w:rPr>
          <w:rFonts w:ascii="Arial" w:hAnsi="Arial" w:cs="Arial"/>
        </w:rPr>
        <w:fldChar w:fldCharType="separate"/>
      </w:r>
      <w:r>
        <w:rPr>
          <w:rFonts w:ascii="Arial" w:hAnsi="Arial" w:cs="Arial"/>
          <w:noProof/>
        </w:rPr>
        <w:t>(Katoh and Standley, 2013)</w:t>
      </w:r>
      <w:r>
        <w:rPr>
          <w:rFonts w:ascii="Arial" w:hAnsi="Arial" w:cs="Arial"/>
        </w:rPr>
        <w:fldChar w:fldCharType="end"/>
      </w:r>
      <w:r w:rsidRPr="005171B9">
        <w:rPr>
          <w:rFonts w:ascii="Arial" w:hAnsi="Arial" w:cs="Arial"/>
        </w:rPr>
        <w:t xml:space="preserve"> and subsequently, aligned sequences were used in FastTree v2.1.7 </w:t>
      </w:r>
      <w:r>
        <w:rPr>
          <w:rFonts w:ascii="Arial" w:hAnsi="Arial" w:cs="Arial"/>
        </w:rPr>
        <w:fldChar w:fldCharType="begin"/>
      </w:r>
      <w:r>
        <w:rPr>
          <w:rFonts w:ascii="Arial" w:hAnsi="Arial" w:cs="Arial"/>
        </w:rPr>
        <w:instrText xml:space="preserve"> ADDIN EN.CITE &lt;EndNote&gt;&lt;Cite&gt;&lt;Author&gt;Price&lt;/Author&gt;&lt;Year&gt;2010&lt;/Year&gt;&lt;RecNum&gt;13244&lt;/RecNum&gt;&lt;DisplayText&gt;(Price et al., 2010)&lt;/DisplayText&gt;&lt;record&gt;&lt;rec-number&gt;13244&lt;/rec-number&gt;&lt;foreign-keys&gt;&lt;key app="EN" db-id="rtd9vstty2fxskeetsp555vkad9sr9rvss9e" timestamp="1514032387"&gt;13244&lt;/key&gt;&lt;/foreign-keys&gt;&lt;ref-type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Pr>
          <w:rFonts w:ascii="Arial" w:hAnsi="Arial" w:cs="Arial"/>
        </w:rPr>
        <w:fldChar w:fldCharType="separate"/>
      </w:r>
      <w:r>
        <w:rPr>
          <w:rFonts w:ascii="Arial" w:hAnsi="Arial" w:cs="Arial"/>
          <w:noProof/>
        </w:rPr>
        <w:t>(Price et al., 2010)</w:t>
      </w:r>
      <w:r>
        <w:rPr>
          <w:rFonts w:ascii="Arial" w:hAnsi="Arial" w:cs="Arial"/>
        </w:rPr>
        <w:fldChar w:fldCharType="end"/>
      </w:r>
      <w:r w:rsidRPr="005171B9">
        <w:rPr>
          <w:rFonts w:ascii="Arial" w:hAnsi="Arial" w:cs="Arial"/>
        </w:rPr>
        <w:t xml:space="preserve"> to generate the phylogenetic tree in NEWICK format. The biom file for the OTUs was then generated by combining the </w:t>
      </w:r>
      <w:r w:rsidRPr="005171B9">
        <w:rPr>
          <w:rFonts w:ascii="Arial" w:hAnsi="Arial" w:cs="Arial"/>
        </w:rPr>
        <w:lastRenderedPageBreak/>
        <w:t xml:space="preserve">abundance table with taxonomy information using make_otu_table.py from the Qiime workflow. </w:t>
      </w:r>
    </w:p>
    <w:p w14:paraId="191D3D41" w14:textId="77777777" w:rsidR="00FE29D8" w:rsidRPr="005171B9" w:rsidRDefault="00FE29D8" w:rsidP="00FE29D8">
      <w:pPr>
        <w:spacing w:line="480" w:lineRule="auto"/>
        <w:jc w:val="both"/>
        <w:outlineLvl w:val="0"/>
        <w:rPr>
          <w:rFonts w:ascii="Arial" w:hAnsi="Arial" w:cs="Arial"/>
          <w:b/>
          <w:bCs/>
        </w:rPr>
      </w:pPr>
      <w:r w:rsidRPr="005171B9">
        <w:rPr>
          <w:rFonts w:ascii="Arial" w:hAnsi="Arial" w:cs="Arial"/>
          <w:b/>
          <w:bCs/>
        </w:rPr>
        <w:t xml:space="preserve">Statistical Analyses </w:t>
      </w:r>
    </w:p>
    <w:p w14:paraId="11C39778" w14:textId="77777777" w:rsidR="00FE29D8" w:rsidRPr="005171B9" w:rsidRDefault="00FE29D8" w:rsidP="00FE29D8">
      <w:pPr>
        <w:spacing w:line="480" w:lineRule="auto"/>
        <w:jc w:val="both"/>
        <w:outlineLvl w:val="0"/>
        <w:rPr>
          <w:rFonts w:ascii="Arial" w:hAnsi="Arial" w:cs="Arial"/>
        </w:rPr>
      </w:pPr>
      <w:r w:rsidRPr="005171B9">
        <w:rPr>
          <w:rFonts w:ascii="Arial" w:hAnsi="Arial" w:cs="Arial"/>
        </w:rPr>
        <w:t xml:space="preserve">Statistical analyses were performed in R using the combined data generated from the bioinformatics as well as metadata associated with the study by relying on the vegan package </w:t>
      </w:r>
      <w:r>
        <w:rPr>
          <w:rFonts w:ascii="Arial" w:hAnsi="Arial" w:cs="Arial"/>
        </w:rPr>
        <w:fldChar w:fldCharType="begin"/>
      </w:r>
      <w:r>
        <w:rPr>
          <w:rFonts w:ascii="Arial" w:hAnsi="Arial" w:cs="Arial"/>
        </w:rPr>
        <w:instrText xml:space="preserve"> ADDIN EN.CITE &lt;EndNote&gt;&lt;Cite&gt;&lt;Author&gt;Oksanen&lt;/Author&gt;&lt;Year&gt;2015&lt;/Year&gt;&lt;RecNum&gt;13246&lt;/RecNum&gt;&lt;DisplayText&gt;(Oksanen et al., 2015)&lt;/DisplayText&gt;&lt;record&gt;&lt;rec-number&gt;13246&lt;/rec-number&gt;&lt;foreign-keys&gt;&lt;key app="EN" db-id="rtd9vstty2fxskeetsp555vkad9sr9rvss9e" timestamp="1514032973"&gt;13246&lt;/key&gt;&lt;/foreign-keys&gt;&lt;ref-type name="Computer Program"&gt;9&lt;/ref-type&gt;&lt;contributors&gt;&lt;authors&gt;&lt;author&gt;Oksanen, J.&lt;/author&gt;&lt;author&gt;Blanchet, FG.&lt;/author&gt;&lt;author&gt;Kindt, R.&lt;/author&gt;&lt;author&gt;Legendre, P.&lt;/author&gt;&lt;author&gt;Minchin, PR.&lt;/author&gt;&lt;author&gt;O&amp;apos;Hara, RB.&lt;/author&gt;&lt;author&gt;Simpson, GL.&lt;/author&gt;&lt;author&gt;Solymos, P.&lt;/author&gt;&lt;author&gt;Stevens, MHH.&lt;/author&gt;&lt;author&gt;Wagner, H.&lt;/author&gt;&lt;/authors&gt;&lt;/contributors&gt;&lt;titles&gt;&lt;title&gt;Vegan: Community Ecology Package, R Package version 2.2-1&lt;/title&gt;&lt;/titles&gt;&lt;edition&gt;version 2.2-1&lt;/edition&gt;&lt;dates&gt;&lt;year&gt;2015&lt;/year&gt;&lt;/dates&gt;&lt;urls&gt;&lt;related-urls&gt;&lt;url&gt;https://cran.r-project.org/web/packages/vegan/index.html&lt;/url&gt;&lt;/related-urls&gt;&lt;/urls&gt;&lt;/record&gt;&lt;/Cite&gt;&lt;/EndNote&gt;</w:instrText>
      </w:r>
      <w:r>
        <w:rPr>
          <w:rFonts w:ascii="Arial" w:hAnsi="Arial" w:cs="Arial"/>
        </w:rPr>
        <w:fldChar w:fldCharType="separate"/>
      </w:r>
      <w:r>
        <w:rPr>
          <w:rFonts w:ascii="Arial" w:hAnsi="Arial" w:cs="Arial"/>
          <w:noProof/>
        </w:rPr>
        <w:t>(Oksanen et al., 2015)</w:t>
      </w:r>
      <w:r>
        <w:rPr>
          <w:rFonts w:ascii="Arial" w:hAnsi="Arial" w:cs="Arial"/>
        </w:rPr>
        <w:fldChar w:fldCharType="end"/>
      </w:r>
      <w:r w:rsidRPr="005171B9">
        <w:rPr>
          <w:rFonts w:ascii="Arial" w:hAnsi="Arial" w:cs="Arial"/>
        </w:rPr>
        <w:t xml:space="preserve"> for alpha and beta diversity analyses. In the latter case, we have used the distance metrics: </w:t>
      </w:r>
      <w:r w:rsidRPr="005171B9">
        <w:rPr>
          <w:rFonts w:ascii="Arial" w:hAnsi="Arial" w:cs="Arial"/>
          <w:i/>
          <w:iCs/>
        </w:rPr>
        <w:t>Bray-Curtis</w:t>
      </w:r>
      <w:r w:rsidRPr="005171B9">
        <w:rPr>
          <w:rFonts w:ascii="Arial" w:hAnsi="Arial" w:cs="Arial"/>
        </w:rPr>
        <w:t xml:space="preserve"> is a distance metric which considers only OTU abundance counts; </w:t>
      </w:r>
      <w:r w:rsidRPr="005171B9">
        <w:rPr>
          <w:rFonts w:ascii="Arial" w:hAnsi="Arial" w:cs="Arial"/>
          <w:i/>
          <w:iCs/>
        </w:rPr>
        <w:t>Unweighted Unifrac</w:t>
      </w:r>
      <w:r w:rsidRPr="005171B9">
        <w:rPr>
          <w:rFonts w:ascii="Arial" w:hAnsi="Arial" w:cs="Arial"/>
        </w:rPr>
        <w:t xml:space="preserve"> is a phylogenetic distance metric which calculates the distance between samples by taking the proportion of the sum of unshared branch lengths in the sum of all the branch lengths of the phylogenetic tree for the OTUs observed in two samples, and without taking into account their abundances and; </w:t>
      </w:r>
      <w:r w:rsidRPr="005171B9">
        <w:rPr>
          <w:rFonts w:ascii="Arial" w:hAnsi="Arial" w:cs="Arial"/>
          <w:i/>
          <w:iCs/>
        </w:rPr>
        <w:t>Weighted Unifrac</w:t>
      </w:r>
      <w:r w:rsidRPr="005171B9">
        <w:rPr>
          <w:rFonts w:ascii="Arial" w:hAnsi="Arial" w:cs="Arial"/>
        </w:rPr>
        <w:t xml:space="preserve"> is a phylogenetic distance metric combining phylogenetic distance with relative abundances. This places emphasis on dominant OTUs or taxa. Unifrac distances were calculated using the phyloseq package </w:t>
      </w:r>
      <w:r>
        <w:rPr>
          <w:rFonts w:ascii="Arial" w:hAnsi="Arial" w:cs="Arial"/>
        </w:rPr>
        <w:fldChar w:fldCharType="begin"/>
      </w:r>
      <w:r>
        <w:rPr>
          <w:rFonts w:ascii="Arial" w:hAnsi="Arial" w:cs="Arial"/>
        </w:rPr>
        <w:instrText xml:space="preserve"> ADDIN EN.CITE &lt;EndNote&gt;&lt;Cite&gt;&lt;Author&gt;McMurdie&lt;/Author&gt;&lt;Year&gt;2013&lt;/Year&gt;&lt;RecNum&gt;13245&lt;/RecNum&gt;&lt;DisplayText&gt;(McMurdie and Holmes, 2013)&lt;/DisplayText&gt;&lt;record&gt;&lt;rec-number&gt;13245&lt;/rec-number&gt;&lt;foreign-keys&gt;&lt;key app="EN" db-id="rtd9vstty2fxskeetsp555vkad9sr9rvss9e" timestamp="1514032438"&gt;13245&lt;/key&gt;&lt;/foreign-keys&gt;&lt;ref-type name="Journal Article"&gt;17&lt;/ref-type&gt;&lt;contributors&gt;&lt;authors&gt;&lt;author&gt;McMurdie, P. J.&lt;/author&gt;&lt;author&gt;Holmes, S.&lt;/author&gt;&lt;/authors&gt;&lt;/contributors&gt;&lt;auth-address&gt;Department of Statistics, Stanford University, Stanford, California, United States of America.&lt;/auth-address&gt;&lt;titles&gt;&lt;title&gt;phyloseq: an R package for reproducible interactive analysis and graphics of microbiome census data&lt;/title&gt;&lt;secondary-title&gt;PLoS One&lt;/secondary-title&gt;&lt;/titles&gt;&lt;periodical&gt;&lt;full-title&gt;PLoS One&lt;/full-title&gt;&lt;/periodical&gt;&lt;pages&gt;e61217&lt;/pages&gt;&lt;volume&gt;8&lt;/volume&gt;&lt;number&gt;4&lt;/number&gt;&lt;keywords&gt;&lt;keyword&gt;Data Interpretation, Statistical&lt;/keyword&gt;&lt;keyword&gt;Humans&lt;/keyword&gt;&lt;keyword&gt;*Metagenome&lt;/keyword&gt;&lt;keyword&gt;Multivariate Analysis&lt;/keyword&gt;&lt;keyword&gt;Phylogeny&lt;/keyword&gt;&lt;keyword&gt;Principal Component Analysis&lt;/keyword&gt;&lt;keyword&gt;Sequence Analysis, DNA&lt;/keyword&gt;&lt;keyword&gt;*Software&lt;/keyword&gt;&lt;/keywords&gt;&lt;dates&gt;&lt;year&gt;2013&lt;/year&gt;&lt;/dates&gt;&lt;isbn&gt;1932-6203 (Electronic)&amp;#xD;1932-6203 (Linking)&lt;/isbn&gt;&lt;accession-num&gt;23630581&lt;/accession-num&gt;&lt;urls&gt;&lt;related-urls&gt;&lt;url&gt;https://www.ncbi.nlm.nih.gov/pubmed/23630581&lt;/url&gt;&lt;/related-urls&gt;&lt;/urls&gt;&lt;custom2&gt;PMC3632530&lt;/custom2&gt;&lt;electronic-resource-num&gt;10.1371/journal.pone.0061217&lt;/electronic-resource-num&gt;&lt;/record&gt;&lt;/Cite&gt;&lt;/EndNote&gt;</w:instrText>
      </w:r>
      <w:r>
        <w:rPr>
          <w:rFonts w:ascii="Arial" w:hAnsi="Arial" w:cs="Arial"/>
        </w:rPr>
        <w:fldChar w:fldCharType="separate"/>
      </w:r>
      <w:r>
        <w:rPr>
          <w:rFonts w:ascii="Arial" w:hAnsi="Arial" w:cs="Arial"/>
          <w:noProof/>
        </w:rPr>
        <w:t>(McMurdie and Holmes, 2013)</w:t>
      </w:r>
      <w:r>
        <w:rPr>
          <w:rFonts w:ascii="Arial" w:hAnsi="Arial" w:cs="Arial"/>
        </w:rPr>
        <w:fldChar w:fldCharType="end"/>
      </w:r>
      <w:r w:rsidRPr="005171B9">
        <w:rPr>
          <w:rFonts w:ascii="Arial" w:hAnsi="Arial" w:cs="Arial"/>
        </w:rPr>
        <w:t>.</w:t>
      </w:r>
    </w:p>
    <w:p w14:paraId="17969A8E" w14:textId="77777777" w:rsidR="00FE29D8" w:rsidRPr="005171B9" w:rsidRDefault="00FE29D8" w:rsidP="00FE29D8">
      <w:pPr>
        <w:spacing w:line="480" w:lineRule="auto"/>
        <w:jc w:val="both"/>
        <w:rPr>
          <w:rFonts w:ascii="Arial" w:hAnsi="Arial" w:cs="Arial"/>
        </w:rPr>
      </w:pPr>
      <w:r w:rsidRPr="005171B9">
        <w:rPr>
          <w:rFonts w:ascii="Arial" w:hAnsi="Arial" w:cs="Arial"/>
        </w:rPr>
        <w:t xml:space="preserve">Analysis of variance for explanatory variables (or sources of variation) was performed using Vegan’s adonis() against distance matrices (Bray-Curtis/UnweightedUniFrac/Weighted UniFrac). This function, referred to as PERMANOVA, fit linear models to distance matrices and used a permutation test with pseudo-F ratios to give sources of variation. We have used </w:t>
      </w:r>
      <w:r w:rsidRPr="005171B9">
        <w:rPr>
          <w:rFonts w:ascii="Arial" w:hAnsi="Arial" w:cs="Arial"/>
          <w:i/>
          <w:iCs/>
        </w:rPr>
        <w:t>Treatments</w:t>
      </w:r>
      <w:r w:rsidRPr="005171B9">
        <w:rPr>
          <w:rFonts w:ascii="Arial" w:hAnsi="Arial" w:cs="Arial"/>
        </w:rPr>
        <w:t xml:space="preserve"> (N, HW, and O) and </w:t>
      </w:r>
      <w:r w:rsidRPr="005171B9">
        <w:rPr>
          <w:rFonts w:ascii="Arial" w:hAnsi="Arial" w:cs="Arial"/>
          <w:i/>
          <w:iCs/>
        </w:rPr>
        <w:t>Days</w:t>
      </w:r>
      <w:r w:rsidRPr="005171B9">
        <w:rPr>
          <w:rFonts w:ascii="Arial" w:hAnsi="Arial" w:cs="Arial"/>
        </w:rPr>
        <w:t xml:space="preserve"> in beta diversity plots, and other recorded parameters</w:t>
      </w:r>
      <w:r>
        <w:rPr>
          <w:rFonts w:ascii="Arial" w:hAnsi="Arial" w:cs="Arial"/>
        </w:rPr>
        <w:t xml:space="preserve"> (</w:t>
      </w:r>
      <w:r w:rsidRPr="005171B9">
        <w:rPr>
          <w:rFonts w:ascii="Arial" w:hAnsi="Arial" w:cs="Arial"/>
          <w:b/>
          <w:bCs/>
        </w:rPr>
        <w:t>Poultry Growth and Performance Measurements</w:t>
      </w:r>
      <w:r>
        <w:rPr>
          <w:rFonts w:ascii="Arial" w:hAnsi="Arial" w:cs="Arial"/>
        </w:rPr>
        <w:t>)</w:t>
      </w:r>
      <w:r w:rsidRPr="005171B9">
        <w:rPr>
          <w:rFonts w:ascii="Arial" w:hAnsi="Arial" w:cs="Arial"/>
        </w:rPr>
        <w:t xml:space="preserve">: </w:t>
      </w:r>
      <w:r w:rsidRPr="005171B9">
        <w:rPr>
          <w:rFonts w:ascii="Arial" w:hAnsi="Arial" w:cs="Arial"/>
          <w:i/>
          <w:iCs/>
        </w:rPr>
        <w:t>Days</w:t>
      </w:r>
      <w:r w:rsidRPr="005171B9">
        <w:rPr>
          <w:rFonts w:ascii="Arial" w:hAnsi="Arial" w:cs="Arial"/>
        </w:rPr>
        <w:t xml:space="preserve">; </w:t>
      </w:r>
      <w:r w:rsidRPr="005171B9">
        <w:rPr>
          <w:rFonts w:ascii="Arial" w:hAnsi="Arial" w:cs="Arial"/>
          <w:i/>
          <w:iCs/>
        </w:rPr>
        <w:t>Weight Gain / Day (kg)</w:t>
      </w:r>
      <w:r w:rsidRPr="005171B9">
        <w:rPr>
          <w:rFonts w:ascii="Arial" w:hAnsi="Arial" w:cs="Arial"/>
        </w:rPr>
        <w:t xml:space="preserve">; </w:t>
      </w:r>
      <w:r w:rsidRPr="005171B9">
        <w:rPr>
          <w:rFonts w:ascii="Arial" w:hAnsi="Arial" w:cs="Arial"/>
          <w:i/>
          <w:iCs/>
        </w:rPr>
        <w:t>Food Conversion Ratio</w:t>
      </w:r>
      <w:r w:rsidRPr="005171B9">
        <w:rPr>
          <w:rFonts w:ascii="Arial" w:hAnsi="Arial" w:cs="Arial"/>
        </w:rPr>
        <w:t xml:space="preserve">; </w:t>
      </w:r>
      <w:r w:rsidRPr="005171B9">
        <w:rPr>
          <w:rFonts w:ascii="Arial" w:hAnsi="Arial" w:cs="Arial"/>
          <w:i/>
          <w:iCs/>
        </w:rPr>
        <w:t>EPEF</w:t>
      </w:r>
      <w:r w:rsidRPr="005171B9">
        <w:rPr>
          <w:rFonts w:ascii="Arial" w:hAnsi="Arial" w:cs="Arial"/>
        </w:rPr>
        <w:t xml:space="preserve">; </w:t>
      </w:r>
      <w:r w:rsidRPr="005171B9">
        <w:rPr>
          <w:rFonts w:ascii="Arial" w:hAnsi="Arial" w:cs="Arial"/>
          <w:i/>
          <w:iCs/>
        </w:rPr>
        <w:t>Total Mortality (%)</w:t>
      </w:r>
      <w:r w:rsidRPr="005171B9">
        <w:rPr>
          <w:rFonts w:ascii="Arial" w:hAnsi="Arial" w:cs="Arial"/>
        </w:rPr>
        <w:t xml:space="preserve">; </w:t>
      </w:r>
      <w:r w:rsidRPr="005171B9">
        <w:rPr>
          <w:rFonts w:ascii="Arial" w:hAnsi="Arial" w:cs="Arial"/>
          <w:i/>
          <w:iCs/>
        </w:rPr>
        <w:t>Total Leg Culls (%)</w:t>
      </w:r>
      <w:r w:rsidRPr="005171B9">
        <w:rPr>
          <w:rFonts w:ascii="Arial" w:hAnsi="Arial" w:cs="Arial"/>
        </w:rPr>
        <w:t xml:space="preserve">; </w:t>
      </w:r>
      <w:r w:rsidRPr="005171B9">
        <w:rPr>
          <w:rFonts w:ascii="Arial" w:hAnsi="Arial" w:cs="Arial"/>
          <w:i/>
          <w:iCs/>
        </w:rPr>
        <w:t>Pododermatitis (%)</w:t>
      </w:r>
      <w:r w:rsidRPr="005171B9">
        <w:rPr>
          <w:rFonts w:ascii="Arial" w:hAnsi="Arial" w:cs="Arial"/>
        </w:rPr>
        <w:t xml:space="preserve">; </w:t>
      </w:r>
      <w:r w:rsidRPr="005171B9">
        <w:rPr>
          <w:rFonts w:ascii="Arial" w:hAnsi="Arial" w:cs="Arial"/>
          <w:i/>
          <w:iCs/>
        </w:rPr>
        <w:t>Hockmark (%)</w:t>
      </w:r>
      <w:r w:rsidRPr="005171B9">
        <w:rPr>
          <w:rFonts w:ascii="Arial" w:hAnsi="Arial" w:cs="Arial"/>
        </w:rPr>
        <w:t xml:space="preserve">; </w:t>
      </w:r>
      <w:r w:rsidRPr="005171B9">
        <w:rPr>
          <w:rFonts w:ascii="Arial" w:hAnsi="Arial" w:cs="Arial"/>
          <w:i/>
          <w:iCs/>
        </w:rPr>
        <w:t>PMI Rejects (%)</w:t>
      </w:r>
      <w:r w:rsidRPr="005171B9">
        <w:rPr>
          <w:rFonts w:ascii="Arial" w:hAnsi="Arial" w:cs="Arial"/>
        </w:rPr>
        <w:t xml:space="preserve">; </w:t>
      </w:r>
      <w:r w:rsidRPr="005171B9">
        <w:rPr>
          <w:rFonts w:ascii="Arial" w:hAnsi="Arial" w:cs="Arial"/>
          <w:i/>
          <w:iCs/>
        </w:rPr>
        <w:t>Avg. Weight at Slaughter (kg)</w:t>
      </w:r>
      <w:r w:rsidRPr="005171B9">
        <w:rPr>
          <w:rFonts w:ascii="Arial" w:hAnsi="Arial" w:cs="Arial"/>
        </w:rPr>
        <w:t xml:space="preserve">; </w:t>
      </w:r>
      <w:r w:rsidRPr="005171B9">
        <w:rPr>
          <w:rFonts w:ascii="Arial" w:hAnsi="Arial" w:cs="Arial"/>
          <w:i/>
          <w:iCs/>
        </w:rPr>
        <w:t>Age at Thin</w:t>
      </w:r>
      <w:r w:rsidRPr="005171B9">
        <w:rPr>
          <w:rFonts w:ascii="Arial" w:hAnsi="Arial" w:cs="Arial"/>
        </w:rPr>
        <w:t xml:space="preserve">; </w:t>
      </w:r>
      <w:r w:rsidRPr="005171B9">
        <w:rPr>
          <w:rFonts w:ascii="Arial" w:hAnsi="Arial" w:cs="Arial"/>
          <w:i/>
          <w:iCs/>
        </w:rPr>
        <w:t>Age Total Depopulation</w:t>
      </w:r>
      <w:r w:rsidRPr="005171B9">
        <w:rPr>
          <w:rFonts w:ascii="Arial" w:hAnsi="Arial" w:cs="Arial"/>
        </w:rPr>
        <w:t xml:space="preserve">; </w:t>
      </w:r>
      <w:r w:rsidRPr="005171B9">
        <w:rPr>
          <w:rFonts w:ascii="Arial" w:hAnsi="Arial" w:cs="Arial"/>
          <w:i/>
          <w:iCs/>
        </w:rPr>
        <w:t>Total Water Consumption (l)</w:t>
      </w:r>
      <w:r w:rsidRPr="005171B9">
        <w:rPr>
          <w:rFonts w:ascii="Arial" w:hAnsi="Arial" w:cs="Arial"/>
        </w:rPr>
        <w:t xml:space="preserve">; </w:t>
      </w:r>
      <w:r w:rsidRPr="005171B9">
        <w:rPr>
          <w:rFonts w:ascii="Arial" w:hAnsi="Arial" w:cs="Arial"/>
          <w:i/>
          <w:iCs/>
        </w:rPr>
        <w:t>Water Consumption (l) / Bird</w:t>
      </w:r>
      <w:r w:rsidRPr="005171B9">
        <w:rPr>
          <w:rFonts w:ascii="Arial" w:hAnsi="Arial" w:cs="Arial"/>
        </w:rPr>
        <w:t xml:space="preserve">; log CFU/g </w:t>
      </w:r>
      <w:r w:rsidRPr="005171B9">
        <w:rPr>
          <w:rFonts w:ascii="Arial" w:hAnsi="Arial" w:cs="Arial"/>
          <w:i/>
          <w:iCs/>
        </w:rPr>
        <w:t>Campylobacter</w:t>
      </w:r>
      <w:r w:rsidRPr="005171B9">
        <w:rPr>
          <w:rFonts w:ascii="Arial" w:hAnsi="Arial" w:cs="Arial"/>
        </w:rPr>
        <w:t xml:space="preserve">; </w:t>
      </w:r>
      <w:r w:rsidRPr="005171B9">
        <w:rPr>
          <w:rFonts w:ascii="Arial" w:hAnsi="Arial" w:cs="Arial"/>
          <w:i/>
          <w:iCs/>
        </w:rPr>
        <w:t>Protein (% of Ration)</w:t>
      </w:r>
      <w:r w:rsidRPr="005171B9">
        <w:rPr>
          <w:rFonts w:ascii="Arial" w:hAnsi="Arial" w:cs="Arial"/>
        </w:rPr>
        <w:t xml:space="preserve">; and </w:t>
      </w:r>
      <w:r w:rsidRPr="005171B9">
        <w:rPr>
          <w:rFonts w:ascii="Arial" w:hAnsi="Arial" w:cs="Arial"/>
          <w:i/>
          <w:iCs/>
        </w:rPr>
        <w:t>Energy of Ration (Kcal/lb AME)</w:t>
      </w:r>
      <w:r w:rsidRPr="005171B9">
        <w:rPr>
          <w:rFonts w:ascii="Arial" w:hAnsi="Arial" w:cs="Arial"/>
        </w:rPr>
        <w:t>. These additional parameters were used in Table 2. R</w:t>
      </w:r>
      <w:r w:rsidRPr="005171B9">
        <w:rPr>
          <w:rFonts w:ascii="Arial" w:hAnsi="Arial" w:cs="Arial"/>
          <w:vertAlign w:val="superscript"/>
        </w:rPr>
        <w:t>2</w:t>
      </w:r>
      <w:r w:rsidRPr="005171B9">
        <w:rPr>
          <w:rFonts w:ascii="Arial" w:hAnsi="Arial" w:cs="Arial"/>
        </w:rPr>
        <w:t xml:space="preserve"> (if significant) returned by PERMANOVA then explained the percentage variability by these predictors. </w:t>
      </w:r>
    </w:p>
    <w:p w14:paraId="07B409C3" w14:textId="77777777" w:rsidR="00FE29D8" w:rsidRPr="005171B9" w:rsidRDefault="00FE29D8" w:rsidP="00FE29D8">
      <w:pPr>
        <w:spacing w:line="480" w:lineRule="auto"/>
        <w:jc w:val="both"/>
        <w:outlineLvl w:val="0"/>
        <w:rPr>
          <w:rFonts w:ascii="Arial" w:hAnsi="Arial" w:cs="Arial"/>
        </w:rPr>
      </w:pPr>
      <w:r w:rsidRPr="005171B9">
        <w:rPr>
          <w:rFonts w:ascii="Arial" w:hAnsi="Arial" w:cs="Arial"/>
        </w:rPr>
        <w:lastRenderedPageBreak/>
        <w:t>To give an account of environmental filtering (phylogenetic overdispersion versus clustering), phylogenetic distances within each sample were further characterised by calculating the nearest taxa index (NTI) and net relatedness index (NRI). This analysis helps determine whether the community structure was stochastic (overdispersion and driven by competition among taxa) or deterministic (clustering and driven by strong environmental pressure). The NTI was calculated using mntd() and ses.mntd(), and the mean phylogenetic diversity (MPD) and NRI were calculated using mpd() and ses.mpd() functions from the picante package</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&lt;EndNote&gt;&lt;Cite&gt;&lt;Author&gt;Kembel&lt;/Author&gt;&lt;Year&gt;2010&lt;/Year&gt;&lt;RecNum&gt;13257&lt;/RecNum&gt;&lt;DisplayText&gt;(Kembel et al., 2010)&lt;/DisplayText&gt;&lt;record&gt;&lt;rec-number&gt;13257&lt;/rec-number&gt;&lt;foreign-keys&gt;&lt;key app="EN" db-id="rtd9vstty2fxskeetsp555vkad9sr9rvss9e" timestamp="1522089858"&gt;13257&lt;/key&gt;&lt;/foreign-keys&gt;&lt;ref-type name="Journal Article"&gt;17&lt;/ref-type&gt;&lt;contributors&gt;&lt;authors&gt;&lt;author&gt;Kembel, S. W.&lt;/author&gt;&lt;author&gt;Cowan, P. D.&lt;/author&gt;&lt;author&gt;Helmus, M. R.&lt;/author&gt;&lt;author&gt;Cornwell, W. K.&lt;/author&gt;&lt;author&gt;Morlon, H.&lt;/author&gt;&lt;author&gt;Ackerly, D. D.&lt;/author&gt;&lt;author&gt;Blomberg, S. P.&lt;/author&gt;&lt;author&gt;Webb, C. O.&lt;/author&gt;&lt;/authors&gt;&lt;/contributors&gt;&lt;auth-address&gt;Center for Ecology and Evolutionary Biology, University of Oregon, Eugene, OR, USA.&lt;/auth-address&gt;&lt;titles&gt;&lt;title&gt;Picante: R tools for integrating phylogenies and ecology&lt;/title&gt;&lt;secondary-title&gt;Bioinformatics&lt;/secondary-title&gt;&lt;/titles&gt;&lt;periodical&gt;&lt;full-title&gt;Bioinformatics&lt;/full-title&gt;&lt;/periodical&gt;&lt;pages&gt;1463-4&lt;/pages&gt;&lt;volume&gt;26&lt;/volume&gt;&lt;number&gt;11&lt;/number&gt;&lt;keywords&gt;&lt;keyword&gt;*Biodiversity&lt;/keyword&gt;&lt;keyword&gt;Ecology&lt;/keyword&gt;&lt;keyword&gt;Phenotype&lt;/keyword&gt;&lt;keyword&gt;*Phylogeny&lt;/keyword&gt;&lt;keyword&gt;*Software&lt;/keyword&gt;&lt;/keywords&gt;&lt;dates&gt;&lt;year&gt;2010&lt;/year&gt;&lt;pub-dates&gt;&lt;date&gt;Jun 1&lt;/date&gt;&lt;/pub-dates&gt;&lt;/dates&gt;&lt;isbn&gt;1367-4811 (Electronic)&amp;#xD;1367-4803 (Linking)&lt;/isbn&gt;&lt;accession-num&gt;20395285&lt;/accession-num&gt;&lt;urls&gt;&lt;related-urls&gt;&lt;url&gt;https://www.ncbi.nlm.nih.gov/pubmed/20395285&lt;/url&gt;&lt;/related-urls&gt;&lt;/urls&gt;&lt;electronic-resource-num&gt;10.1093/bioinformatics/btq166&lt;/electronic-resource-num&gt;&lt;/record&gt;&lt;/Cite&gt;&lt;/EndNote&gt;</w:instrText>
      </w:r>
      <w:r>
        <w:rPr>
          <w:rFonts w:ascii="Arial" w:hAnsi="Arial" w:cs="Arial"/>
        </w:rPr>
        <w:fldChar w:fldCharType="separate"/>
      </w:r>
      <w:r>
        <w:rPr>
          <w:rFonts w:ascii="Arial" w:hAnsi="Arial" w:cs="Arial"/>
          <w:noProof/>
        </w:rPr>
        <w:t>(Kembel et al., 2010)</w:t>
      </w:r>
      <w:r>
        <w:rPr>
          <w:rFonts w:ascii="Arial" w:hAnsi="Arial" w:cs="Arial"/>
        </w:rPr>
        <w:fldChar w:fldCharType="end"/>
      </w:r>
      <w:r w:rsidRPr="005171B9">
        <w:rPr>
          <w:rFonts w:ascii="Arial" w:hAnsi="Arial" w:cs="Arial"/>
        </w:rPr>
        <w:t>. NTI and NRI represent the negatives of the output from ses.mntd() and ses.mpd(), respectively. Additionally, they quantify the number of standard deviations that separate the observed values from the mean of the null distribution (999 randomisation using null.model-‘richness’ in the ses.mntd() and ses.mpd() functions and only considering taxa as either present or absent regardless of their relative abundance). As opposed to authors’ recent work</w:t>
      </w:r>
      <w:r>
        <w:rPr>
          <w:rFonts w:ascii="Arial" w:hAnsi="Arial" w:cs="Arial"/>
        </w:rPr>
        <w:t xml:space="preserve"> </w:t>
      </w:r>
      <w:r>
        <w:rPr>
          <w:rFonts w:ascii="Arial" w:hAnsi="Arial" w:cs="Arial"/>
        </w:rPr>
        <w:fldChar w:fldCharType="begin">
          <w:fldData xml:space="preserve">PEVuZE5vdGU+PENpdGU+PEF1dGhvcj5JamF6PC9BdXRob3I+PFllYXI+MjAxODwvWWVhcj48UmVj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==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PEVuZE5vdGU+PENpdGU+PEF1dGhvcj5JamF6PC9BdXRob3I+PFllYXI+MjAxODwvWWVhcj48UmVj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==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(Ijaz et al., 2018)</w:t>
      </w:r>
      <w:r>
        <w:rPr>
          <w:rFonts w:ascii="Arial" w:hAnsi="Arial" w:cs="Arial"/>
        </w:rPr>
        <w:fldChar w:fldCharType="end"/>
      </w:r>
      <w:r w:rsidRPr="005171B9">
        <w:rPr>
          <w:rFonts w:ascii="Arial" w:hAnsi="Arial" w:cs="Arial"/>
        </w:rPr>
        <w:t xml:space="preserve"> OTUs collated at genera were used for the calculations. </w:t>
      </w:r>
    </w:p>
    <w:p w14:paraId="20E73EF4" w14:textId="77777777" w:rsidR="00FE29D8" w:rsidRDefault="00FE29D8" w:rsidP="00FE29D8">
      <w:pPr>
        <w:spacing w:line="480" w:lineRule="auto"/>
        <w:jc w:val="both"/>
        <w:outlineLvl w:val="0"/>
        <w:rPr>
          <w:rFonts w:ascii="Arial" w:hAnsi="Arial" w:cs="Arial"/>
        </w:rPr>
      </w:pPr>
      <w:r w:rsidRPr="005171B9">
        <w:rPr>
          <w:rFonts w:ascii="Arial" w:hAnsi="Arial" w:cs="Arial"/>
        </w:rPr>
        <w:t xml:space="preserve">Discriminant analyses were performed in two different settings. Since we have a nested design, i.e., microbial community data from production systems, N, O, and HW for both day 7 and 30, we used the Multivariate Integration (MINT) algorithm </w:t>
      </w:r>
      <w:r>
        <w:rPr>
          <w:rFonts w:ascii="Arial" w:hAnsi="Arial" w:cs="Arial"/>
        </w:rPr>
        <w:fldChar w:fldCharType="begin"/>
      </w:r>
      <w:r>
        <w:rPr>
          <w:rFonts w:ascii="Arial" w:hAnsi="Arial" w:cs="Arial"/>
        </w:rPr>
        <w:instrText xml:space="preserve"> ADDIN EN.CITE &lt;EndNote&gt;&lt;Cite&gt;&lt;Author&gt;Rohart&lt;/Author&gt;&lt;Year&gt;2017&lt;/Year&gt;&lt;RecNum&gt;13512&lt;/RecNum&gt;&lt;DisplayText&gt;(Rohart et al., 2017)&lt;/DisplayText&gt;&lt;record&gt;&lt;rec-number&gt;13512&lt;/rec-number&gt;&lt;foreign-keys&gt;&lt;key app="EN" db-id="rtd9vstty2fxskeetsp555vkad9sr9rvss9e" timestamp="1579630897"&gt;13512&lt;/key&gt;&lt;/foreign-keys&gt;&lt;ref-type name="Journal Article"&gt;17&lt;/ref-type&gt;&lt;contributors&gt;&lt;authors&gt;&lt;author&gt;Rohart, Florian&lt;/author&gt;&lt;author&gt;Eslami, Aida&lt;/author&gt;&lt;author&gt;Matigian, Nicholas&lt;/author&gt;&lt;author&gt;Bougeard, Stephanie&lt;/author&gt;&lt;author&gt;Le Cao, Kim-Anh&lt;/author&gt;&lt;/authors&gt;&lt;/contributors&gt;&lt;titles&gt;&lt;title&gt;MINT: a multivariate integrative method to identify reproducible molecular signatures across independent experiments and platforms&lt;/title&gt;&lt;secondary-title&gt;BMC bioinformatics&lt;/secondary-title&gt;&lt;/titles&gt;&lt;periodical&gt;&lt;full-title&gt;BMC Bioinformatics&lt;/full-title&gt;&lt;/periodical&gt;&lt;pages&gt;128&lt;/pages&gt;&lt;volume&gt;18&lt;/volume&gt;&lt;number&gt;1&lt;/number&gt;&lt;dates&gt;&lt;year&gt;2017&lt;/year&gt;&lt;/dates&gt;&lt;isbn&gt;1471-2105&lt;/isbn&gt;&lt;urls&gt;&lt;/urls&gt;&lt;/record&gt;&lt;/Cite&gt;&lt;/EndNote&gt;</w:instrText>
      </w:r>
      <w:r>
        <w:rPr>
          <w:rFonts w:ascii="Arial" w:hAnsi="Arial" w:cs="Arial"/>
        </w:rPr>
        <w:fldChar w:fldCharType="separate"/>
      </w:r>
      <w:r>
        <w:rPr>
          <w:rFonts w:ascii="Arial" w:hAnsi="Arial" w:cs="Arial"/>
          <w:noProof/>
        </w:rPr>
        <w:t>(Rohart et al., 2017)</w:t>
      </w:r>
      <w:r>
        <w:rPr>
          <w:rFonts w:ascii="Arial" w:hAnsi="Arial" w:cs="Arial"/>
        </w:rPr>
        <w:fldChar w:fldCharType="end"/>
      </w:r>
      <w:r w:rsidRPr="005171B9">
        <w:rPr>
          <w:rFonts w:ascii="Arial" w:hAnsi="Arial" w:cs="Arial"/>
        </w:rPr>
        <w:t xml:space="preserve"> to compare the sampling time (Days 7 and 30). The algorithm is an extension of the multi-group Projection to Latent Structure (mgPLS), and it attempts to find a common projection space across all studies (three categories as mentioned-above), defined on a small subset of discriminative variables that consistently discriminate the outcome classes (Days 7 and 30). In MINT, we have combined </w:t>
      </w:r>
      <m:oMath>
        <m:r>
          <w:rPr>
            <w:rFonts w:ascii="Cambria Math" w:hAnsi="Cambria Math" w:cs="Arial"/>
          </w:rPr>
          <m:t>M</m:t>
        </m:r>
        <m:r>
          <m:rPr>
            <m:sty m:val="p"/>
          </m:rPr>
          <w:rPr>
            <w:rFonts w:ascii="Cambria Math" w:hAnsi="Cambria Math" w:cs="Arial"/>
          </w:rPr>
          <m:t>=3</m:t>
        </m:r>
      </m:oMath>
      <w:r w:rsidRPr="005171B9">
        <w:rPr>
          <w:rFonts w:ascii="Arial" w:hAnsi="Arial" w:cs="Arial"/>
        </w:rPr>
        <w:t xml:space="preserve"> datasets denoted </w:t>
      </w:r>
      <m:oMath>
        <m:sSup>
          <m:sSupPr>
            <m:ctrlPr>
              <w:rPr>
                <w:rFonts w:ascii="Cambria Math" w:hAnsi="Cambria Math" w:cs="Arial"/>
              </w:rPr>
            </m:ctrlPr>
          </m:sSupPr>
          <m:e>
            <m:r>
              <w:rPr>
                <w:rFonts w:ascii="Cambria Math" w:hAnsi="Cambria Math" w:cs="Arial"/>
              </w:rPr>
              <m:t>X</m:t>
            </m:r>
          </m:e>
          <m:sup>
            <m:d>
              <m:dPr>
                <m:ctrlPr>
                  <w:rPr>
                    <w:rFonts w:ascii="Cambria Math" w:hAnsi="Cambria Math" w:cs="Arial"/>
                  </w:rPr>
                </m:ctrlPr>
              </m:dPr>
              <m:e>
                <m:r>
                  <m:rPr>
                    <m:sty m:val="p"/>
                  </m:rPr>
                  <w:rPr>
                    <w:rFonts w:ascii="Cambria Math" w:hAnsi="Cambria Math" w:cs="Arial"/>
                  </w:rPr>
                  <m:t>1</m:t>
                </m:r>
              </m:e>
            </m:d>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1</m:t>
                </m:r>
              </m:sub>
            </m:sSub>
            <m:r>
              <m:rPr>
                <m:sty m:val="p"/>
              </m:rPr>
              <w:rPr>
                <w:rFonts w:ascii="Cambria Math" w:hAnsi="Cambria Math" w:cs="Arial"/>
              </w:rPr>
              <m:t>×</m:t>
            </m:r>
            <m:r>
              <w:rPr>
                <w:rFonts w:ascii="Cambria Math" w:hAnsi="Cambria Math" w:cs="Arial"/>
              </w:rPr>
              <m:t>P</m:t>
            </m:r>
          </m:e>
        </m:d>
      </m:oMath>
      <w:r w:rsidRPr="005171B9">
        <w:rPr>
          <w:rFonts w:ascii="Arial" w:hAnsi="Arial" w:cs="Arial"/>
        </w:rPr>
        <w:t xml:space="preserve">, </w:t>
      </w:r>
      <m:oMath>
        <m:sSup>
          <m:sSupPr>
            <m:ctrlPr>
              <w:rPr>
                <w:rFonts w:ascii="Cambria Math" w:hAnsi="Cambria Math" w:cs="Arial"/>
              </w:rPr>
            </m:ctrlPr>
          </m:sSupPr>
          <m:e>
            <m:r>
              <w:rPr>
                <w:rFonts w:ascii="Cambria Math" w:hAnsi="Cambria Math" w:cs="Arial"/>
              </w:rPr>
              <m:t>X</m:t>
            </m:r>
          </m:e>
          <m:sup>
            <m:d>
              <m:dPr>
                <m:ctrlPr>
                  <w:rPr>
                    <w:rFonts w:ascii="Cambria Math" w:hAnsi="Cambria Math" w:cs="Arial"/>
                  </w:rPr>
                </m:ctrlPr>
              </m:dPr>
              <m:e>
                <m:r>
                  <m:rPr>
                    <m:sty m:val="p"/>
                  </m:rPr>
                  <w:rPr>
                    <w:rFonts w:ascii="Cambria Math" w:hAnsi="Cambria Math" w:cs="Arial"/>
                  </w:rPr>
                  <m:t>2</m:t>
                </m:r>
              </m:e>
            </m:d>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2</m:t>
                </m:r>
              </m:sub>
            </m:sSub>
            <m:r>
              <m:rPr>
                <m:sty m:val="p"/>
              </m:rPr>
              <w:rPr>
                <w:rFonts w:ascii="Cambria Math" w:hAnsi="Cambria Math" w:cs="Arial"/>
              </w:rPr>
              <m:t>×</m:t>
            </m:r>
            <m:r>
              <w:rPr>
                <w:rFonts w:ascii="Cambria Math" w:hAnsi="Cambria Math" w:cs="Arial"/>
              </w:rPr>
              <m:t>P</m:t>
            </m:r>
          </m:e>
        </m:d>
      </m:oMath>
      <w:r w:rsidRPr="005171B9">
        <w:rPr>
          <w:rFonts w:ascii="Arial" w:hAnsi="Arial" w:cs="Arial"/>
        </w:rPr>
        <w:t>, …,</w:t>
      </w:r>
      <m:oMath>
        <m:sSup>
          <m:sSupPr>
            <m:ctrlPr>
              <w:rPr>
                <w:rFonts w:ascii="Cambria Math" w:hAnsi="Cambria Math" w:cs="Arial"/>
              </w:rPr>
            </m:ctrlPr>
          </m:sSupPr>
          <m:e>
            <m:r>
              <w:rPr>
                <w:rFonts w:ascii="Cambria Math" w:hAnsi="Cambria Math" w:cs="Arial"/>
              </w:rPr>
              <m:t>X</m:t>
            </m:r>
          </m:e>
          <m:sup>
            <m:d>
              <m:dPr>
                <m:ctrlPr>
                  <w:rPr>
                    <w:rFonts w:ascii="Cambria Math" w:hAnsi="Cambria Math" w:cs="Arial"/>
                  </w:rPr>
                </m:ctrlPr>
              </m:dPr>
              <m:e>
                <m:r>
                  <m:rPr>
                    <m:sty m:val="p"/>
                  </m:rPr>
                  <w:rPr>
                    <w:rFonts w:ascii="Cambria Math" w:hAnsi="Cambria Math" w:cs="Arial"/>
                  </w:rPr>
                  <m:t>3</m:t>
                </m:r>
              </m:e>
            </m:d>
          </m:sup>
        </m:sSup>
        <m:d>
          <m:dPr>
            <m:ctrlPr>
              <w:rPr>
                <w:rFonts w:ascii="Cambria Math" w:hAnsi="Cambria Math" w:cs="Arial"/>
              </w:rPr>
            </m:ctrlPr>
          </m:dPr>
          <m:e>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3</m:t>
                </m:r>
              </m:sub>
            </m:sSub>
            <m:r>
              <m:rPr>
                <m:sty m:val="p"/>
              </m:rPr>
              <w:rPr>
                <w:rFonts w:ascii="Cambria Math" w:hAnsi="Cambria Math" w:cs="Arial"/>
              </w:rPr>
              <m:t>×</m:t>
            </m:r>
            <m:r>
              <w:rPr>
                <w:rFonts w:ascii="Cambria Math" w:hAnsi="Cambria Math" w:cs="Arial"/>
              </w:rPr>
              <m:t>P</m:t>
            </m:r>
          </m:e>
        </m:d>
      </m:oMath>
      <w:r w:rsidRPr="005171B9">
        <w:rPr>
          <w:rFonts w:ascii="Arial" w:hAnsi="Arial" w:cs="Arial"/>
        </w:rPr>
        <w:t xml:space="preserve"> , where all these datasets share the P genera whilst the number of samples differ, i.e., </w:t>
      </w:r>
      <m:oMath>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1</m:t>
            </m:r>
          </m:sub>
        </m:sSub>
      </m:oMath>
      <w:r w:rsidRPr="005171B9">
        <w:rPr>
          <w:rFonts w:ascii="Arial" w:hAnsi="Arial" w:cs="Arial"/>
        </w:rPr>
        <w:t xml:space="preserve">, </w:t>
      </w:r>
      <m:oMath>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2</m:t>
            </m:r>
          </m:sub>
        </m:sSub>
      </m:oMath>
      <w:r w:rsidRPr="005171B9">
        <w:rPr>
          <w:rFonts w:ascii="Arial" w:hAnsi="Arial" w:cs="Arial"/>
        </w:rPr>
        <w:t>,…,</w:t>
      </w:r>
      <m:oMath>
        <m:r>
          <m:rPr>
            <m:sty m:val="p"/>
          </m:rPr>
          <w:rPr>
            <w:rFonts w:ascii="Cambria Math" w:hAnsi="Cambria Math" w:cs="Arial"/>
          </w:rPr>
          <m:t xml:space="preserve"> </m:t>
        </m:r>
        <m:sSub>
          <m:sSubPr>
            <m:ctrlPr>
              <w:rPr>
                <w:rFonts w:ascii="Cambria Math" w:hAnsi="Cambria Math" w:cs="Arial"/>
              </w:rPr>
            </m:ctrlPr>
          </m:sSubPr>
          <m:e>
            <m:r>
              <w:rPr>
                <w:rFonts w:ascii="Cambria Math" w:hAnsi="Cambria Math" w:cs="Arial"/>
              </w:rPr>
              <m:t>N</m:t>
            </m:r>
          </m:e>
          <m:sub>
            <m:r>
              <m:rPr>
                <m:sty m:val="p"/>
              </m:rPr>
              <w:rPr>
                <w:rFonts w:ascii="Cambria Math" w:hAnsi="Cambria Math" w:cs="Arial"/>
              </w:rPr>
              <m:t>3</m:t>
            </m:r>
          </m:sub>
        </m:sSub>
      </m:oMath>
      <w:r w:rsidRPr="005171B9">
        <w:rPr>
          <w:rFonts w:ascii="Arial" w:hAnsi="Arial" w:cs="Arial"/>
        </w:rPr>
        <w:t xml:space="preserve">. All studies have associated dummy indicator outcome </w:t>
      </w:r>
      <m:oMath>
        <m:sSup>
          <m:sSupPr>
            <m:ctrlPr>
              <w:rPr>
                <w:rFonts w:ascii="Cambria Math" w:hAnsi="Cambria Math" w:cs="Arial"/>
              </w:rPr>
            </m:ctrlPr>
          </m:sSupPr>
          <m:e>
            <m:r>
              <w:rPr>
                <w:rFonts w:ascii="Cambria Math" w:hAnsi="Cambria Math" w:cs="Arial"/>
              </w:rPr>
              <m:t>Y</m:t>
            </m:r>
          </m:e>
          <m:sup>
            <m:d>
              <m:dPr>
                <m:ctrlPr>
                  <w:rPr>
                    <w:rFonts w:ascii="Cambria Math" w:hAnsi="Cambria Math" w:cs="Arial"/>
                  </w:rPr>
                </m:ctrlPr>
              </m:dPr>
              <m:e>
                <m:r>
                  <m:rPr>
                    <m:sty m:val="p"/>
                  </m:rPr>
                  <w:rPr>
                    <w:rFonts w:ascii="Cambria Math" w:hAnsi="Cambria Math" w:cs="Arial"/>
                  </w:rPr>
                  <m:t>1</m:t>
                </m:r>
              </m:e>
            </m:d>
          </m:sup>
        </m:sSup>
      </m:oMath>
      <w:r w:rsidRPr="005171B9">
        <w:rPr>
          <w:rFonts w:ascii="Arial" w:hAnsi="Arial" w:cs="Arial"/>
        </w:rPr>
        <w:t xml:space="preserve">, </w:t>
      </w:r>
      <m:oMath>
        <m:sSup>
          <m:sSupPr>
            <m:ctrlPr>
              <w:rPr>
                <w:rFonts w:ascii="Cambria Math" w:hAnsi="Cambria Math" w:cs="Arial"/>
              </w:rPr>
            </m:ctrlPr>
          </m:sSupPr>
          <m:e>
            <m:r>
              <w:rPr>
                <w:rFonts w:ascii="Cambria Math" w:hAnsi="Cambria Math" w:cs="Arial"/>
              </w:rPr>
              <m:t>Y</m:t>
            </m:r>
          </m:e>
          <m:sup>
            <m:d>
              <m:dPr>
                <m:ctrlPr>
                  <w:rPr>
                    <w:rFonts w:ascii="Cambria Math" w:hAnsi="Cambria Math" w:cs="Arial"/>
                  </w:rPr>
                </m:ctrlPr>
              </m:dPr>
              <m:e>
                <m:r>
                  <m:rPr>
                    <m:sty m:val="p"/>
                  </m:rPr>
                  <w:rPr>
                    <w:rFonts w:ascii="Cambria Math" w:hAnsi="Cambria Math" w:cs="Arial"/>
                  </w:rPr>
                  <m:t>2</m:t>
                </m:r>
              </m:e>
            </m:d>
          </m:sup>
        </m:sSup>
      </m:oMath>
      <w:r w:rsidRPr="005171B9">
        <w:rPr>
          <w:rFonts w:ascii="Arial" w:hAnsi="Arial" w:cs="Arial"/>
        </w:rPr>
        <w:t>,…,</w:t>
      </w:r>
      <m:oMath>
        <m:r>
          <m:rPr>
            <m:sty m:val="p"/>
          </m:rPr>
          <w:rPr>
            <w:rFonts w:ascii="Cambria Math" w:hAnsi="Cambria Math" w:cs="Arial"/>
          </w:rPr>
          <m:t xml:space="preserve"> </m:t>
        </m:r>
        <m:sSup>
          <m:sSupPr>
            <m:ctrlPr>
              <w:rPr>
                <w:rFonts w:ascii="Cambria Math" w:hAnsi="Cambria Math" w:cs="Arial"/>
              </w:rPr>
            </m:ctrlPr>
          </m:sSupPr>
          <m:e>
            <m:r>
              <w:rPr>
                <w:rFonts w:ascii="Cambria Math" w:hAnsi="Cambria Math" w:cs="Arial"/>
              </w:rPr>
              <m:t>Y</m:t>
            </m:r>
          </m:e>
          <m:sup>
            <m:d>
              <m:dPr>
                <m:ctrlPr>
                  <w:rPr>
                    <w:rFonts w:ascii="Cambria Math" w:hAnsi="Cambria Math" w:cs="Arial"/>
                  </w:rPr>
                </m:ctrlPr>
              </m:dPr>
              <m:e>
                <m:r>
                  <m:rPr>
                    <m:sty m:val="p"/>
                  </m:rPr>
                  <w:rPr>
                    <w:rFonts w:ascii="Cambria Math" w:hAnsi="Cambria Math" w:cs="Arial"/>
                  </w:rPr>
                  <m:t>3</m:t>
                </m:r>
              </m:e>
            </m:d>
          </m:sup>
        </m:sSup>
      </m:oMath>
      <w:r w:rsidRPr="005171B9">
        <w:rPr>
          <w:rFonts w:ascii="Arial" w:hAnsi="Arial" w:cs="Arial"/>
        </w:rPr>
        <w:t xml:space="preserve"> in which all the sampling times (Days 7 and 30) are represented. MINT then solves the problem: </w:t>
      </w:r>
      <m:oMath>
        <m:f>
          <m:fPr>
            <m:type m:val="noBar"/>
            <m:ctrlPr>
              <w:rPr>
                <w:rFonts w:ascii="Cambria Math" w:hAnsi="Cambria Math" w:cs="Arial"/>
              </w:rPr>
            </m:ctrlPr>
          </m:fPr>
          <m:num>
            <m:r>
              <m:rPr>
                <m:nor/>
              </m:rPr>
              <w:rPr>
                <w:rFonts w:ascii="Arial" w:hAnsi="Arial" w:cs="Arial"/>
              </w:rPr>
              <m:t>max</m:t>
            </m:r>
          </m:num>
          <m:den>
            <m:sSub>
              <m:sSubPr>
                <m:ctrlPr>
                  <w:rPr>
                    <w:rFonts w:ascii="Cambria Math" w:hAnsi="Cambria Math" w:cs="Arial"/>
                  </w:rPr>
                </m:ctrlPr>
              </m:sSubPr>
              <m:e>
                <m:r>
                  <w:rPr>
                    <w:rFonts w:ascii="Cambria Math" w:hAnsi="Cambria Math" w:cs="Arial"/>
                  </w:rPr>
                  <m:t>a</m:t>
                </m:r>
              </m:e>
              <m:sub>
                <m:r>
                  <w:rPr>
                    <w:rFonts w:ascii="Cambria Math" w:hAnsi="Cambria Math" w:cs="Arial"/>
                  </w:rPr>
                  <m:t>h</m:t>
                </m:r>
              </m:sub>
            </m:sSub>
            <m:r>
              <m:rPr>
                <m:sty m:val="p"/>
              </m:rPr>
              <w:rPr>
                <w:rFonts w:ascii="Cambria Math" w:hAnsi="Cambria Math" w:cs="Arial"/>
              </w:rPr>
              <m:t xml:space="preserve">, </m:t>
            </m:r>
            <m:sSub>
              <m:sSubPr>
                <m:ctrlPr>
                  <w:rPr>
                    <w:rFonts w:ascii="Cambria Math" w:hAnsi="Cambria Math" w:cs="Arial"/>
                  </w:rPr>
                </m:ctrlPr>
              </m:sSubPr>
              <m:e>
                <m:r>
                  <w:rPr>
                    <w:rFonts w:ascii="Cambria Math" w:hAnsi="Cambria Math" w:cs="Arial"/>
                  </w:rPr>
                  <m:t>b</m:t>
                </m:r>
              </m:e>
              <m:sub>
                <m:r>
                  <w:rPr>
                    <w:rFonts w:ascii="Cambria Math" w:hAnsi="Cambria Math" w:cs="Arial"/>
                  </w:rPr>
                  <m:t>h</m:t>
                </m:r>
              </m:sub>
            </m:sSub>
          </m:den>
        </m:f>
        <m:nary>
          <m:naryPr>
            <m:chr m:val="∑"/>
            <m:limLoc m:val="undOvr"/>
            <m:ctrlPr>
              <w:rPr>
                <w:rFonts w:ascii="Cambria Math" w:hAnsi="Cambria Math" w:cs="Arial"/>
              </w:rPr>
            </m:ctrlPr>
          </m:naryPr>
          <m:sub>
            <m:r>
              <w:rPr>
                <w:rFonts w:ascii="Cambria Math" w:hAnsi="Cambria Math" w:cs="Arial"/>
              </w:rPr>
              <m:t>m</m:t>
            </m:r>
            <m:r>
              <m:rPr>
                <m:sty m:val="p"/>
              </m:rPr>
              <w:rPr>
                <w:rFonts w:ascii="Cambria Math" w:hAnsi="Cambria Math" w:cs="Arial"/>
              </w:rPr>
              <m:t>=1</m:t>
            </m:r>
          </m:sub>
          <m:sup>
            <m:r>
              <w:rPr>
                <w:rFonts w:ascii="Cambria Math" w:hAnsi="Cambria Math" w:cs="Arial"/>
              </w:rPr>
              <m:t>M</m:t>
            </m:r>
          </m:sup>
          <m:e>
            <m:sSub>
              <m:sSubPr>
                <m:ctrlPr>
                  <w:rPr>
                    <w:rFonts w:ascii="Cambria Math" w:hAnsi="Cambria Math" w:cs="Arial"/>
                  </w:rPr>
                </m:ctrlPr>
              </m:sSubPr>
              <m:e>
                <m:r>
                  <w:rPr>
                    <w:rFonts w:ascii="Cambria Math" w:hAnsi="Cambria Math" w:cs="Arial"/>
                  </w:rPr>
                  <m:t>N</m:t>
                </m:r>
              </m:e>
              <m:sub>
                <m:r>
                  <w:rPr>
                    <w:rFonts w:ascii="Cambria Math" w:hAnsi="Cambria Math" w:cs="Arial"/>
                  </w:rPr>
                  <m:t>m</m:t>
                </m:r>
              </m:sub>
            </m:sSub>
            <m:r>
              <m:rPr>
                <m:nor/>
              </m:rPr>
              <w:rPr>
                <w:rFonts w:ascii="Arial" w:hAnsi="Arial" w:cs="Arial"/>
              </w:rPr>
              <m:t>cov</m:t>
            </m:r>
            <m:r>
              <m:rPr>
                <m:sty m:val="p"/>
              </m:rPr>
              <w:rPr>
                <w:rFonts w:ascii="Cambria Math" w:hAnsi="Cambria Math" w:cs="Arial"/>
              </w:rPr>
              <m:t>(</m:t>
            </m:r>
          </m:e>
        </m:nary>
        <m:sSubSup>
          <m:sSubSupPr>
            <m:ctrlPr>
              <w:rPr>
                <w:rFonts w:ascii="Cambria Math" w:hAnsi="Cambria Math" w:cs="Arial"/>
              </w:rPr>
            </m:ctrlPr>
          </m:sSubSupPr>
          <m:e>
            <m:r>
              <w:rPr>
                <w:rFonts w:ascii="Cambria Math" w:hAnsi="Cambria Math" w:cs="Arial"/>
              </w:rPr>
              <m:t>X</m:t>
            </m:r>
          </m:e>
          <m:sub>
            <m:r>
              <w:rPr>
                <w:rFonts w:ascii="Cambria Math" w:hAnsi="Cambria Math" w:cs="Arial"/>
              </w:rPr>
              <m:t>h</m:t>
            </m:r>
          </m:sub>
          <m:sup>
            <m:r>
              <m:rPr>
                <m:sty m:val="p"/>
              </m:rPr>
              <w:rPr>
                <w:rFonts w:ascii="Cambria Math" w:hAnsi="Cambria Math" w:cs="Arial"/>
              </w:rPr>
              <m:t>(</m:t>
            </m:r>
            <m:r>
              <w:rPr>
                <w:rFonts w:ascii="Cambria Math" w:hAnsi="Cambria Math" w:cs="Arial"/>
              </w:rPr>
              <m:t>m</m:t>
            </m:r>
            <m:r>
              <m:rPr>
                <m:sty m:val="p"/>
              </m:rPr>
              <w:rPr>
                <w:rFonts w:ascii="Cambria Math" w:hAnsi="Cambria Math" w:cs="Arial"/>
              </w:rPr>
              <m:t>)</m:t>
            </m:r>
          </m:sup>
        </m:sSubSup>
        <m:sSub>
          <m:sSubPr>
            <m:ctrlPr>
              <w:rPr>
                <w:rFonts w:ascii="Cambria Math" w:hAnsi="Cambria Math" w:cs="Arial"/>
              </w:rPr>
            </m:ctrlPr>
          </m:sSubPr>
          <m:e>
            <m:r>
              <w:rPr>
                <w:rFonts w:ascii="Cambria Math" w:hAnsi="Cambria Math" w:cs="Arial"/>
              </w:rPr>
              <m:t>a</m:t>
            </m:r>
          </m:e>
          <m:sub>
            <m:r>
              <w:rPr>
                <w:rFonts w:ascii="Cambria Math" w:hAnsi="Cambria Math" w:cs="Arial"/>
              </w:rPr>
              <m:t>h</m:t>
            </m:r>
          </m:sub>
        </m:sSub>
        <m:r>
          <m:rPr>
            <m:sty m:val="p"/>
          </m:rPr>
          <w:rPr>
            <w:rFonts w:ascii="Cambria Math" w:hAnsi="Cambria Math" w:cs="Arial"/>
          </w:rPr>
          <m:t>,</m:t>
        </m:r>
        <m:sSubSup>
          <m:sSubSupPr>
            <m:ctrlPr>
              <w:rPr>
                <w:rFonts w:ascii="Cambria Math" w:hAnsi="Cambria Math" w:cs="Arial"/>
              </w:rPr>
            </m:ctrlPr>
          </m:sSubSupPr>
          <m:e>
            <m:r>
              <w:rPr>
                <w:rFonts w:ascii="Cambria Math" w:hAnsi="Cambria Math" w:cs="Arial"/>
              </w:rPr>
              <m:t>Y</m:t>
            </m:r>
          </m:e>
          <m:sub>
            <m:r>
              <w:rPr>
                <w:rFonts w:ascii="Cambria Math" w:hAnsi="Cambria Math" w:cs="Arial"/>
              </w:rPr>
              <m:t>h</m:t>
            </m:r>
          </m:sub>
          <m:sup>
            <m:r>
              <m:rPr>
                <m:sty m:val="p"/>
              </m:rPr>
              <w:rPr>
                <w:rFonts w:ascii="Cambria Math" w:hAnsi="Cambria Math" w:cs="Arial"/>
              </w:rPr>
              <m:t>(</m:t>
            </m:r>
            <m:r>
              <w:rPr>
                <w:rFonts w:ascii="Cambria Math" w:hAnsi="Cambria Math" w:cs="Arial"/>
              </w:rPr>
              <m:t>m</m:t>
            </m:r>
            <m:r>
              <m:rPr>
                <m:sty m:val="p"/>
              </m:rPr>
              <w:rPr>
                <w:rFonts w:ascii="Cambria Math" w:hAnsi="Cambria Math" w:cs="Arial"/>
              </w:rPr>
              <m:t>)</m:t>
            </m:r>
          </m:sup>
        </m:sSubSup>
        <m:sSub>
          <m:sSubPr>
            <m:ctrlPr>
              <w:rPr>
                <w:rFonts w:ascii="Cambria Math" w:hAnsi="Cambria Math" w:cs="Arial"/>
              </w:rPr>
            </m:ctrlPr>
          </m:sSubPr>
          <m:e>
            <m:r>
              <w:rPr>
                <w:rFonts w:ascii="Cambria Math" w:hAnsi="Cambria Math" w:cs="Arial"/>
              </w:rPr>
              <m:t>b</m:t>
            </m:r>
          </m:e>
          <m:sub>
            <m:r>
              <w:rPr>
                <w:rFonts w:ascii="Cambria Math" w:hAnsi="Cambria Math" w:cs="Arial"/>
              </w:rPr>
              <m:t>h</m:t>
            </m:r>
          </m:sub>
        </m:sSub>
        <m:r>
          <m:rPr>
            <m:sty m:val="p"/>
          </m:rPr>
          <w:rPr>
            <w:rFonts w:ascii="Cambria Math" w:hAnsi="Cambria Math" w:cs="Arial"/>
          </w:rPr>
          <m:t>)</m:t>
        </m:r>
      </m:oMath>
      <w:r w:rsidRPr="005171B9">
        <w:rPr>
          <w:rFonts w:ascii="Arial" w:hAnsi="Arial" w:cs="Arial"/>
        </w:rPr>
        <w:t>, with the constraints</w:t>
      </w:r>
      <m:oMath>
        <m:sSub>
          <m:sSubPr>
            <m:ctrlPr>
              <w:rPr>
                <w:rFonts w:ascii="Cambria Math" w:hAnsi="Cambria Math" w:cs="Arial"/>
              </w:rPr>
            </m:ctrlPr>
          </m:sSubPr>
          <m:e>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a</m:t>
                    </m:r>
                  </m:e>
                  <m:sub>
                    <m:r>
                      <w:rPr>
                        <w:rFonts w:ascii="Cambria Math" w:hAnsi="Cambria Math" w:cs="Arial"/>
                      </w:rPr>
                      <m:t>h</m:t>
                    </m:r>
                  </m:sub>
                </m:sSub>
              </m:e>
            </m:d>
          </m:e>
          <m:sub>
            <m:r>
              <m:rPr>
                <m:sty m:val="p"/>
              </m:rPr>
              <w:rPr>
                <w:rFonts w:ascii="Cambria Math" w:hAnsi="Cambria Math" w:cs="Arial"/>
              </w:rPr>
              <m:t>2</m:t>
            </m:r>
          </m:sub>
        </m:sSub>
        <m:r>
          <m:rPr>
            <m:sty m:val="p"/>
          </m:rPr>
          <w:rPr>
            <w:rFonts w:ascii="Cambria Math" w:hAnsi="Cambria Math" w:cs="Arial"/>
          </w:rPr>
          <m:t>=1</m:t>
        </m:r>
      </m:oMath>
      <w:r w:rsidRPr="005171B9">
        <w:rPr>
          <w:rFonts w:ascii="Arial" w:hAnsi="Arial" w:cs="Arial"/>
        </w:rPr>
        <w:t xml:space="preserve"> and </w:t>
      </w:r>
      <m:oMath>
        <m:sSub>
          <m:sSubPr>
            <m:ctrlPr>
              <w:rPr>
                <w:rFonts w:ascii="Cambria Math" w:hAnsi="Cambria Math" w:cs="Arial"/>
              </w:rPr>
            </m:ctrlPr>
          </m:sSubPr>
          <m:e>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a</m:t>
                    </m:r>
                  </m:e>
                  <m:sub>
                    <m:r>
                      <w:rPr>
                        <w:rFonts w:ascii="Cambria Math" w:hAnsi="Cambria Math" w:cs="Arial"/>
                      </w:rPr>
                      <m:t>h</m:t>
                    </m:r>
                  </m:sub>
                </m:sSub>
              </m:e>
            </m:d>
          </m:e>
          <m:sub>
            <m:r>
              <m:rPr>
                <m:sty m:val="p"/>
              </m:rPr>
              <w:rPr>
                <w:rFonts w:ascii="Cambria Math" w:hAnsi="Cambria Math" w:cs="Arial"/>
              </w:rPr>
              <m:t>1</m:t>
            </m:r>
          </m:sub>
        </m:sSub>
        <m:r>
          <m:rPr>
            <m:sty m:val="p"/>
          </m:rPr>
          <w:rPr>
            <w:rFonts w:ascii="Cambria Math" w:hAnsi="Cambria Math" w:cs="Arial"/>
          </w:rPr>
          <m:t>≤</m:t>
        </m:r>
        <m:r>
          <w:rPr>
            <w:rFonts w:ascii="Cambria Math" w:hAnsi="Cambria Math" w:cs="Arial"/>
          </w:rPr>
          <m:t>λ</m:t>
        </m:r>
      </m:oMath>
      <w:r w:rsidRPr="005171B9">
        <w:rPr>
          <w:rFonts w:ascii="Arial" w:hAnsi="Arial" w:cs="Arial"/>
        </w:rPr>
        <w:t xml:space="preserve">, where the covariance of scores between the datasets are maximised by finding the global loading vectors </w:t>
      </w:r>
      <m:oMath>
        <m:sSub>
          <m:sSubPr>
            <m:ctrlPr>
              <w:rPr>
                <w:rFonts w:ascii="Cambria Math" w:hAnsi="Cambria Math" w:cs="Arial"/>
              </w:rPr>
            </m:ctrlPr>
          </m:sSubPr>
          <m:e>
            <m:r>
              <w:rPr>
                <w:rFonts w:ascii="Cambria Math" w:hAnsi="Cambria Math" w:cs="Arial"/>
              </w:rPr>
              <m:t>a</m:t>
            </m:r>
          </m:e>
          <m:sub>
            <m:r>
              <w:rPr>
                <w:rFonts w:ascii="Cambria Math" w:hAnsi="Cambria Math" w:cs="Arial"/>
              </w:rPr>
              <m:t>h</m:t>
            </m:r>
          </m:sub>
        </m:sSub>
      </m:oMath>
      <w:r w:rsidRPr="005171B9">
        <w:rPr>
          <w:rFonts w:ascii="Arial" w:hAnsi="Arial" w:cs="Arial"/>
        </w:rPr>
        <w:t xml:space="preserve"> and </w:t>
      </w:r>
      <m:oMath>
        <m:sSub>
          <m:sSubPr>
            <m:ctrlPr>
              <w:rPr>
                <w:rFonts w:ascii="Cambria Math" w:hAnsi="Cambria Math" w:cs="Arial"/>
              </w:rPr>
            </m:ctrlPr>
          </m:sSubPr>
          <m:e>
            <m:r>
              <w:rPr>
                <w:rFonts w:ascii="Cambria Math" w:hAnsi="Cambria Math" w:cs="Arial"/>
              </w:rPr>
              <m:t>b</m:t>
            </m:r>
          </m:e>
          <m:sub>
            <m:r>
              <w:rPr>
                <w:rFonts w:ascii="Cambria Math" w:hAnsi="Cambria Math" w:cs="Arial"/>
              </w:rPr>
              <m:t>h</m:t>
            </m:r>
          </m:sub>
        </m:sSub>
      </m:oMath>
      <w:r w:rsidRPr="005171B9">
        <w:rPr>
          <w:rFonts w:ascii="Arial" w:hAnsi="Arial" w:cs="Arial"/>
        </w:rPr>
        <w:t xml:space="preserve"> common to all studies (akin to PCA analysis). The first constraint ensures the </w:t>
      </w:r>
      <w:r w:rsidRPr="005171B9">
        <w:rPr>
          <w:rFonts w:ascii="Arial" w:hAnsi="Arial" w:cs="Arial"/>
        </w:rPr>
        <w:lastRenderedPageBreak/>
        <w:t xml:space="preserve">loading vector to have unit magnitude (requirement of the procedure) and the second constraint (also called </w:t>
      </w:r>
      <m:oMath>
        <m:sSub>
          <m:sSubPr>
            <m:ctrlPr>
              <w:rPr>
                <w:rFonts w:ascii="Cambria Math" w:hAnsi="Cambria Math" w:cs="Arial"/>
              </w:rPr>
            </m:ctrlPr>
          </m:sSubPr>
          <m:e>
            <m:r>
              <w:rPr>
                <w:rFonts w:ascii="Cambria Math" w:hAnsi="Cambria Math" w:cs="Arial"/>
              </w:rPr>
              <m:t>l</m:t>
            </m:r>
          </m:e>
          <m:sub>
            <m:r>
              <w:rPr>
                <w:rFonts w:ascii="Cambria Math" w:hAnsi="Cambria Math" w:cs="Arial"/>
              </w:rPr>
              <m:t>1</m:t>
            </m:r>
          </m:sub>
        </m:sSub>
      </m:oMath>
      <w:r w:rsidRPr="005171B9">
        <w:rPr>
          <w:rFonts w:ascii="Arial" w:hAnsi="Arial" w:cs="Arial"/>
        </w:rPr>
        <w:t xml:space="preserve"> penalty) to ensure that for the features that do not vary between the categories, the corresponding loading vector coefficients go to zero. This is done by using the sparsity control parameter </w:t>
      </w:r>
      <m:oMath>
        <m:r>
          <w:rPr>
            <w:rFonts w:ascii="Cambria Math" w:hAnsi="Cambria Math" w:cs="Arial"/>
          </w:rPr>
          <m:t>λ</m:t>
        </m:r>
      </m:oMath>
      <w:r w:rsidRPr="005171B9">
        <w:rPr>
          <w:rFonts w:ascii="Arial" w:hAnsi="Arial" w:cs="Arial"/>
        </w:rPr>
        <w:t xml:space="preserve"> in the above equation, and by adjusting it enforces shrinkage of loading vector coefficients.</w:t>
      </w:r>
      <w:r>
        <w:rPr>
          <w:rFonts w:ascii="Arial" w:hAnsi="Arial" w:cs="Arial"/>
        </w:rPr>
        <w:t xml:space="preserve"> </w:t>
      </w:r>
      <w:r w:rsidRPr="005171B9">
        <w:rPr>
          <w:rFonts w:ascii="Arial" w:hAnsi="Arial" w:cs="Arial"/>
        </w:rPr>
        <w:t>According to the recommendations given in mixOmics package (http://www.mixomics.org), before applying the procedure splsda(), we pre-filter 1% of the lowest abundant genera and then perform TSS+CLR (Total Sum Scaling followed by Centralised Log Ratio) normalisation. To predict the number of latent components (associated loading vectors) and the number of discriminants, the perf.plsda() and tune.splsda() functions were used, respectively. In the latter case, we fine tune the model was applied using leave-one-out cross-validation by splitting the data into training and testing sets and then finding the classification error rates employing overall error rates, between the predicted latent variables with the centroid of the class labels (categories considered in this study) using the centroid distance</w:t>
      </w:r>
    </w:p>
    <w:p w14:paraId="6266EA8F" w14:textId="77777777" w:rsidR="00FE29D8" w:rsidRPr="002D4DAB" w:rsidRDefault="00FE29D8" w:rsidP="00FE29D8">
      <w:pPr>
        <w:spacing w:line="480" w:lineRule="auto"/>
        <w:jc w:val="both"/>
        <w:outlineLvl w:val="0"/>
        <w:rPr>
          <w:rFonts w:ascii="Arial" w:hAnsi="Arial" w:cs="Arial"/>
        </w:rPr>
      </w:pPr>
      <w:r w:rsidRPr="005171B9">
        <w:rPr>
          <w:rFonts w:ascii="Arial" w:hAnsi="Arial" w:cs="Arial"/>
        </w:rPr>
        <w:t>To find genera that are significantly different between different categories, we used DESeqDataSetFromMatrix() function from DESeq2</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&lt;EndNote&gt;&lt;Cite&gt;&lt;Author&gt;Love&lt;/Author&gt;&lt;Year&gt;2014&lt;/Year&gt;&lt;RecNum&gt;13247&lt;/RecNum&gt;&lt;DisplayText&gt;(Love et al., 2014)&lt;/DisplayText&gt;&lt;record&gt;&lt;rec-number&gt;13247&lt;/rec-number&gt;&lt;foreign-keys&gt;&lt;key app="EN" db-id="rtd9vstty2fxskeetsp555vkad9sr9rvss9e" timestamp="1514033049"&gt;13247&lt;/key&gt;&lt;/foreign-keys&gt;&lt;ref-type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Biol&lt;/full-title&gt;&lt;abbr-1&gt;Genome biology&lt;/abbr-1&gt;&lt;/periodical&gt;&lt;pages&gt;550&lt;/pages&gt;&lt;volume&gt;15&lt;/volume&gt;&lt;number&gt;12&lt;/number&gt;&lt;keywords&gt;&lt;keyword&gt;Algorithms&lt;/keyword&gt;&lt;keyword&gt;Computational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Pr>
          <w:rFonts w:ascii="Arial" w:hAnsi="Arial" w:cs="Arial"/>
        </w:rPr>
        <w:fldChar w:fldCharType="separate"/>
      </w:r>
      <w:r>
        <w:rPr>
          <w:rFonts w:ascii="Arial" w:hAnsi="Arial" w:cs="Arial"/>
          <w:noProof/>
        </w:rPr>
        <w:t>(Love et al., 2014)</w:t>
      </w:r>
      <w:r>
        <w:rPr>
          <w:rFonts w:ascii="Arial" w:hAnsi="Arial" w:cs="Arial"/>
        </w:rPr>
        <w:fldChar w:fldCharType="end"/>
      </w:r>
      <w:r w:rsidRPr="005171B9">
        <w:rPr>
          <w:rFonts w:ascii="Arial" w:hAnsi="Arial" w:cs="Arial"/>
        </w:rPr>
        <w:t xml:space="preserve"> package with the adjusted p-value significance cut-off of 0.05 and log2 fold change cut-off of 2. This function uses negative binomial GLM to obtain maximum likelihood estimates for OTUs log fold change between two conditions. Then Bayesian shrinkage is applied to obtain shrunken log fold changes subsequently employing the Wald test for obtaining significances. While MINT gave the discriminants shared in a nested model on a global scale), DESeq2 identified changes on a local scale (in conjunction with beta diversity analysis) to identify genera that are causing the shift in microbial communities.</w:t>
      </w:r>
      <w:r>
        <w:rPr>
          <w:rFonts w:ascii="Arial" w:hAnsi="Arial" w:cs="Arial"/>
        </w:rPr>
        <w:t xml:space="preserve"> Furthermore, we used R’s Metacoder package to generate d</w:t>
      </w:r>
      <w:r w:rsidRPr="002D4DAB">
        <w:rPr>
          <w:rFonts w:ascii="Arial" w:hAnsi="Arial" w:cs="Arial"/>
        </w:rPr>
        <w:t xml:space="preserve">ifferential heat trees </w:t>
      </w:r>
      <w:r>
        <w:rPr>
          <w:rFonts w:ascii="Arial" w:hAnsi="Arial" w:cs="Arial"/>
        </w:rPr>
        <w:fldChar w:fldCharType="begin"/>
      </w:r>
      <w:r>
        <w:rPr>
          <w:rFonts w:ascii="Arial" w:hAnsi="Arial" w:cs="Arial"/>
        </w:rPr>
        <w:instrText xml:space="preserve"> ADDIN EN.CITE &lt;EndNote&gt;&lt;Cite&gt;&lt;Author&gt;Foster&lt;/Author&gt;&lt;Year&gt;2017&lt;/Year&gt;&lt;RecNum&gt;13520&lt;/RecNum&gt;&lt;DisplayText&gt;(Foster et al., 2017)&lt;/DisplayText&gt;&lt;record&gt;&lt;rec-number&gt;13520&lt;/rec-number&gt;&lt;foreign-keys&gt;&lt;key app="EN" db-id="rtd9vstty2fxskeetsp555vkad9sr9rvss9e" timestamp="1582228181"&gt;13520&lt;/key&gt;&lt;/foreign-keys&gt;&lt;ref-type name="Journal Article"&gt;17&lt;/ref-type&gt;&lt;contributors&gt;&lt;authors&gt;&lt;author&gt;Foster, Zachary SL&lt;/author&gt;&lt;author&gt;Sharpton, Thomas J&lt;/author&gt;&lt;author&gt;Grünwald, Niklaus J&lt;/author&gt;&lt;/authors&gt;&lt;/contributors&gt;&lt;titles&gt;&lt;title&gt;Metacoder: an R package for visualization and manipulation of community taxonomic diversity data&lt;/title&gt;&lt;secondary-title&gt;PLoS computational biology&lt;/secondary-title&gt;&lt;/titles&gt;&lt;periodical&gt;&lt;full-title&gt;PLoS Comput Biol&lt;/full-title&gt;&lt;abbr-1&gt;PLoS computational biology&lt;/abbr-1&gt;&lt;/periodical&gt;&lt;pages&gt;e1005404&lt;/pages&gt;&lt;volume&gt;13&lt;/volume&gt;&lt;number&gt;2&lt;/number&gt;&lt;dates&gt;&lt;year&gt;2017&lt;/year&gt;&lt;/dates&gt;&lt;isbn&gt;1553-7358&lt;/isbn&gt;&lt;urls&gt;&lt;/urls&gt;&lt;/record&gt;&lt;/Cite&gt;&lt;/EndNote&gt;</w:instrText>
      </w:r>
      <w:r>
        <w:rPr>
          <w:rFonts w:ascii="Arial" w:hAnsi="Arial" w:cs="Arial"/>
        </w:rPr>
        <w:fldChar w:fldCharType="separate"/>
      </w:r>
      <w:r>
        <w:rPr>
          <w:rFonts w:ascii="Arial" w:hAnsi="Arial" w:cs="Arial"/>
          <w:noProof/>
        </w:rPr>
        <w:t>(Foster et al., 2017)</w:t>
      </w:r>
      <w:r>
        <w:rPr>
          <w:rFonts w:ascii="Arial" w:hAnsi="Arial" w:cs="Arial"/>
        </w:rPr>
        <w:fldChar w:fldCharType="end"/>
      </w:r>
      <w:r w:rsidRPr="002D4DAB">
        <w:rPr>
          <w:rFonts w:ascii="Arial" w:hAnsi="Arial" w:cs="Arial"/>
        </w:rPr>
        <w:t xml:space="preserve"> visualise differentially expressed </w:t>
      </w:r>
      <w:r>
        <w:rPr>
          <w:rFonts w:ascii="Arial" w:hAnsi="Arial" w:cs="Arial"/>
        </w:rPr>
        <w:t>lineages</w:t>
      </w:r>
      <w:r w:rsidRPr="002D4DAB">
        <w:rPr>
          <w:rFonts w:ascii="Arial" w:hAnsi="Arial" w:cs="Arial"/>
        </w:rPr>
        <w:t xml:space="preserve"> (using Wilcoxin p-value test adjusted with multiple comparison) comparing different categories.</w:t>
      </w:r>
    </w:p>
    <w:p w14:paraId="21415A93" w14:textId="77777777" w:rsidR="00FE29D8" w:rsidRDefault="00FE29D8" w:rsidP="00FE29D8">
      <w:pPr>
        <w:spacing w:line="480" w:lineRule="auto"/>
        <w:jc w:val="both"/>
        <w:outlineLvl w:val="0"/>
        <w:rPr>
          <w:rFonts w:ascii="Arial" w:hAnsi="Arial" w:cs="Arial"/>
        </w:rPr>
      </w:pPr>
      <w:r w:rsidRPr="005171B9">
        <w:rPr>
          <w:rFonts w:ascii="Arial" w:hAnsi="Arial" w:cs="Arial"/>
        </w:rPr>
        <w:t xml:space="preserve">The “BVSTEP” routine </w:t>
      </w:r>
      <w:r>
        <w:rPr>
          <w:rFonts w:ascii="Arial" w:hAnsi="Arial" w:cs="Arial"/>
        </w:rPr>
        <w:fldChar w:fldCharType="begin"/>
      </w:r>
      <w:r>
        <w:rPr>
          <w:rFonts w:ascii="Arial" w:hAnsi="Arial" w:cs="Arial"/>
        </w:rPr>
        <w:instrText xml:space="preserve"> ADDIN EN.CITE &lt;EndNote&gt;&lt;Cite&gt;&lt;Author&gt;Clarke&lt;/Author&gt;&lt;Year&gt;1993&lt;/Year&gt;&lt;RecNum&gt;13259&lt;/RecNum&gt;&lt;DisplayText&gt;(Clarke and Ainsworth, 1993)&lt;/DisplayText&gt;&lt;record&gt;&lt;rec-number&gt;13259&lt;/rec-number&gt;&lt;foreign-keys&gt;&lt;key app="EN" db-id="rtd9vstty2fxskeetsp555vkad9sr9rvss9e" timestamp="1522090111"&gt;13259&lt;/key&gt;&lt;/foreign-keys&gt;&lt;ref-type name="Journal Article"&gt;17&lt;/ref-type&gt;&lt;contributors&gt;&lt;authors&gt;&lt;author&gt;Clarke, K. R.&lt;/author&gt;&lt;author&gt;Ainsworth, M.&lt;/author&gt;&lt;/authors&gt;&lt;/contributors&gt;&lt;titles&gt;&lt;title&gt;A Method of Linking Multivariate Community Structure to Environmental Variables&lt;/title&gt;&lt;secondary-title&gt;Marine Ecology Progress Series&lt;/secondary-title&gt;&lt;alt-title&gt;Mar Ecol Prog Ser&amp;#xD;Mar Ecol Prog Ser&lt;/alt-title&gt;&lt;/titles&gt;&lt;periodical&gt;&lt;full-title&gt;Marine Ecology Progress Series&lt;/full-title&gt;&lt;abbr-1&gt;Mar Ecol Prog Ser&lt;/abbr-1&gt;&lt;/periodical&gt;&lt;pages&gt;205-219&lt;/pages&gt;&lt;volume&gt;92&lt;/volume&gt;&lt;number&gt;3&lt;/number&gt;&lt;keywords&gt;&lt;keyword&gt;pollution&lt;/keyword&gt;&lt;keyword&gt;macrobenthos&lt;/keyword&gt;&lt;/keywords&gt;&lt;dates&gt;&lt;year&gt;1993&lt;/year&gt;&lt;pub-dates&gt;&lt;date&gt;Feb&lt;/date&gt;&lt;/pub-dates&gt;&lt;/dates&gt;&lt;isbn&gt;0171-8630&lt;/isbn&gt;&lt;accession-num&gt;WOS:A1993KR39200001&lt;/accession-num&gt;&lt;urls&gt;&lt;related-urls&gt;&lt;url&gt;&amp;lt;Go to ISI&amp;gt;://WOS:A1993KR39200001&lt;/url&gt;&lt;/related-urls&gt;&lt;/urls&gt;&lt;language&gt;English&lt;/language&gt;&lt;/record&gt;&lt;/Cite&gt;&lt;/EndNote&gt;</w:instrText>
      </w:r>
      <w:r>
        <w:rPr>
          <w:rFonts w:ascii="Arial" w:hAnsi="Arial" w:cs="Arial"/>
        </w:rPr>
        <w:fldChar w:fldCharType="separate"/>
      </w:r>
      <w:r>
        <w:rPr>
          <w:rFonts w:ascii="Arial" w:hAnsi="Arial" w:cs="Arial"/>
          <w:noProof/>
        </w:rPr>
        <w:t>(Clarke and Ainsworth, 1993)</w:t>
      </w:r>
      <w:r>
        <w:rPr>
          <w:rFonts w:ascii="Arial" w:hAnsi="Arial" w:cs="Arial"/>
        </w:rPr>
        <w:fldChar w:fldCharType="end"/>
      </w:r>
      <w:r w:rsidRPr="005171B9">
        <w:rPr>
          <w:rFonts w:ascii="Arial" w:hAnsi="Arial" w:cs="Arial"/>
        </w:rPr>
        <w:t xml:space="preserve"> was used to search for the highest correlation, in a Mantel test, by imploding the abundance table at genera level to absolute </w:t>
      </w:r>
      <w:r w:rsidRPr="005171B9">
        <w:rPr>
          <w:rFonts w:ascii="Arial" w:hAnsi="Arial" w:cs="Arial"/>
        </w:rPr>
        <w:lastRenderedPageBreak/>
        <w:t>minimal set of genera that preserve the beta diversity between samples. To run this algorithm, bvStep() (from the sinkr package)</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&lt;EndNote&gt;&lt;Cite&gt;&lt;Author&gt;Taylor&lt;/Author&gt;&lt;Year&gt;2014&lt;/Year&gt;&lt;RecNum&gt;13265&lt;/RecNum&gt;&lt;DisplayText&gt;(Taylor, 2014)&lt;/DisplayText&gt;&lt;record&gt;&lt;rec-number&gt;13265&lt;/rec-number&gt;&lt;foreign-keys&gt;&lt;key app="EN" db-id="rtd9vstty2fxskeetsp555vkad9sr9rvss9e" timestamp="1522409856"&gt;13265&lt;/key&gt;&lt;/foreign-keys&gt;&lt;ref-type name="Web Page"&gt;12&lt;/ref-type&gt;&lt;contributors&gt;&lt;authors&gt;&lt;author&gt;Taylor, M.&lt;/author&gt;&lt;/authors&gt;&lt;/contributors&gt;&lt;titles&gt;&lt;title&gt;sinkr: A collection of functions featured on the blog &amp;apos;me nugget&amp;apos;&lt;/title&gt;&lt;/titles&gt;&lt;dates&gt;&lt;year&gt;2014&lt;/year&gt;&lt;/dates&gt;&lt;urls&gt;&lt;related-urls&gt;&lt;url&gt;https://github.com/menugget/sinkr&lt;/url&gt;&lt;/related-urls&gt;&lt;/urls&gt;&lt;/record&gt;&lt;/Cite&gt;&lt;/EndNote&gt;</w:instrText>
      </w:r>
      <w:r>
        <w:rPr>
          <w:rFonts w:ascii="Arial" w:hAnsi="Arial" w:cs="Arial"/>
        </w:rPr>
        <w:fldChar w:fldCharType="separate"/>
      </w:r>
      <w:r>
        <w:rPr>
          <w:rFonts w:ascii="Arial" w:hAnsi="Arial" w:cs="Arial"/>
          <w:noProof/>
        </w:rPr>
        <w:t>(Taylor, 2014)</w:t>
      </w:r>
      <w:r>
        <w:rPr>
          <w:rFonts w:ascii="Arial" w:hAnsi="Arial" w:cs="Arial"/>
        </w:rPr>
        <w:fldChar w:fldCharType="end"/>
      </w:r>
      <w:r>
        <w:rPr>
          <w:rFonts w:ascii="Arial" w:hAnsi="Arial" w:cs="Arial"/>
        </w:rPr>
        <w:t xml:space="preserve"> </w:t>
      </w:r>
      <w:r w:rsidRPr="005171B9">
        <w:rPr>
          <w:rFonts w:ascii="Arial" w:hAnsi="Arial" w:cs="Arial"/>
        </w:rPr>
        <w:t xml:space="preserve">was used as considered in author’s recent publication </w:t>
      </w:r>
      <w:r>
        <w:rPr>
          <w:rFonts w:ascii="Arial" w:hAnsi="Arial" w:cs="Arial"/>
        </w:rPr>
        <w:fldChar w:fldCharType="begin">
          <w:fldData xml:space="preserve">PEVuZE5vdGU+PENpdGU+PEF1dGhvcj5JamF6PC9BdXRob3I+PFllYXI+MjAxODwvWWVhcj48UmVj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==
</w:fldData>
        </w:fldChar>
      </w:r>
      <w:r>
        <w:rPr>
          <w:rFonts w:ascii="Arial" w:hAnsi="Arial" w:cs="Arial"/>
        </w:rPr>
        <w:instrText xml:space="preserve"> ADDIN EN.CITE </w:instrText>
      </w:r>
      <w:r>
        <w:rPr>
          <w:rFonts w:ascii="Arial" w:hAnsi="Arial" w:cs="Arial"/>
        </w:rPr>
        <w:fldChar w:fldCharType="begin">
          <w:fldData xml:space="preserve">PEVuZE5vdGU+PENpdGU+PEF1dGhvcj5JamF6PC9BdXRob3I+PFllYXI+MjAxODwvWWVhcj48UmVj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==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(Ijaz et al., 2018)</w:t>
      </w:r>
      <w:r>
        <w:rPr>
          <w:rFonts w:ascii="Arial" w:hAnsi="Arial" w:cs="Arial"/>
        </w:rPr>
        <w:fldChar w:fldCharType="end"/>
      </w:r>
      <w:r w:rsidRPr="005171B9">
        <w:rPr>
          <w:rFonts w:ascii="Arial" w:hAnsi="Arial" w:cs="Arial"/>
        </w:rPr>
        <w:t xml:space="preserve">. </w:t>
      </w:r>
    </w:p>
    <w:p w14:paraId="633C7F15" w14:textId="77777777" w:rsidR="00FE29D8" w:rsidRDefault="00FE29D8" w:rsidP="00FE29D8">
      <w:pPr>
        <w:spacing w:line="480" w:lineRule="auto"/>
        <w:jc w:val="both"/>
        <w:outlineLvl w:val="0"/>
        <w:rPr>
          <w:rFonts w:ascii="Arial" w:hAnsi="Arial" w:cs="Arial"/>
        </w:rPr>
      </w:pPr>
      <w:r w:rsidRPr="675F51AD">
        <w:rPr>
          <w:rFonts w:ascii="Arial" w:hAnsi="Arial" w:cs="Arial"/>
        </w:rPr>
        <w:t xml:space="preserve">We performed subset regression </w:t>
      </w:r>
      <w:r>
        <w:rPr>
          <w:rFonts w:ascii="Arial" w:hAnsi="Arial" w:cs="Arial"/>
        </w:rPr>
        <w:t>against different microbiome metrics (Supplementary S4 to S10)</w:t>
      </w:r>
      <w:r w:rsidRPr="675F51AD">
        <w:rPr>
          <w:rFonts w:ascii="Arial" w:hAnsi="Arial" w:cs="Arial"/>
        </w:rPr>
        <w:t xml:space="preserve"> by testing all possible combination of the </w:t>
      </w:r>
      <w:r>
        <w:rPr>
          <w:rFonts w:ascii="Arial" w:hAnsi="Arial" w:cs="Arial"/>
        </w:rPr>
        <w:t>explanatory</w:t>
      </w:r>
      <w:r w:rsidRPr="675F51AD">
        <w:rPr>
          <w:rFonts w:ascii="Arial" w:hAnsi="Arial" w:cs="Arial"/>
        </w:rPr>
        <w:t xml:space="preserve"> variables, and then selecting the best model according to some statistical criteria, with recommendations given in </w:t>
      </w:r>
      <w:r>
        <w:rPr>
          <w:rFonts w:ascii="Arial" w:hAnsi="Arial" w:cs="Arial"/>
        </w:rPr>
        <w:fldChar w:fldCharType="begin"/>
      </w:r>
      <w:r>
        <w:rPr>
          <w:rFonts w:ascii="Arial" w:hAnsi="Arial" w:cs="Arial"/>
        </w:rPr>
        <w:instrText xml:space="preserve"> ADDIN EN.CITE &lt;EndNote&gt;&lt;Cite&gt;&lt;Author&gt;Kassambara&lt;/Author&gt;&lt;Year&gt;2018&lt;/Year&gt;&lt;RecNum&gt;13521&lt;/RecNum&gt;&lt;DisplayText&gt;(Kassambara, 2018)&lt;/DisplayText&gt;&lt;record&gt;&lt;rec-number&gt;13521&lt;/rec-number&gt;&lt;foreign-keys&gt;&lt;key app="EN" db-id="rtd9vstty2fxskeetsp555vkad9sr9rvss9e" timestamp="1582228334"&gt;13521&lt;/key&gt;&lt;/foreign-keys&gt;&lt;ref-type name="Book"&gt;6&lt;/ref-type&gt;&lt;contributors&gt;&lt;authors&gt;&lt;author&gt;Kassambara, Alboukadel&lt;/author&gt;&lt;/authors&gt;&lt;/contributors&gt;&lt;titles&gt;&lt;title&gt;Machine Learning Essentials: Practical Guide in R&lt;/title&gt;&lt;/titles&gt;&lt;dates&gt;&lt;year&gt;2018&lt;/year&gt;&lt;/dates&gt;&lt;publisher&gt;sthda&lt;/publisher&gt;&lt;isbn&gt;1986406857&lt;/isbn&gt;&lt;urls&gt;&lt;/urls&gt;&lt;/record&gt;&lt;/Cite&gt;&lt;/EndNote&gt;</w:instrText>
      </w:r>
      <w:r>
        <w:rPr>
          <w:rFonts w:ascii="Arial" w:hAnsi="Arial" w:cs="Arial"/>
        </w:rPr>
        <w:fldChar w:fldCharType="separate"/>
      </w:r>
      <w:r>
        <w:rPr>
          <w:rFonts w:ascii="Arial" w:hAnsi="Arial" w:cs="Arial"/>
          <w:noProof/>
        </w:rPr>
        <w:t>(Kassambara, 2018)</w:t>
      </w:r>
      <w:r>
        <w:rPr>
          <w:rFonts w:ascii="Arial" w:hAnsi="Arial" w:cs="Arial"/>
        </w:rPr>
        <w:fldChar w:fldCharType="end"/>
      </w:r>
      <w:r w:rsidRPr="675F51AD">
        <w:rPr>
          <w:rFonts w:ascii="Arial" w:hAnsi="Arial" w:cs="Arial"/>
        </w:rPr>
        <w:t xml:space="preserve"> and code available at </w:t>
      </w:r>
      <w:hyperlink r:id="rId6">
        <w:r w:rsidRPr="675F51AD">
          <w:rPr>
            <w:rStyle w:val="Hyperlink"/>
            <w:rFonts w:ascii="Arial" w:hAnsi="Arial" w:cs="Arial"/>
          </w:rPr>
          <w:t>http://www.sthda.com/english/articles/37-model-selection-essentials-in-r/155-best-subsets-regression-essentials-in-r/</w:t>
        </w:r>
      </w:hyperlink>
      <w:r w:rsidRPr="675F51AD">
        <w:rPr>
          <w:rFonts w:ascii="Arial" w:hAnsi="Arial" w:cs="Arial"/>
        </w:rPr>
        <w:t xml:space="preserve">. The R function regubsets() from leaps </w:t>
      </w:r>
      <w:r>
        <w:rPr>
          <w:rFonts w:ascii="Arial" w:hAnsi="Arial" w:cs="Arial"/>
        </w:rPr>
        <w:fldChar w:fldCharType="begin"/>
      </w:r>
      <w:r>
        <w:rPr>
          <w:rFonts w:ascii="Arial" w:hAnsi="Arial" w:cs="Arial"/>
        </w:rPr>
        <w:instrText xml:space="preserve"> ADDIN EN.CITE &lt;EndNote&gt;&lt;Cite&gt;&lt;Author&gt;Lumley&lt;/Author&gt;&lt;Year&gt;2009&lt;/Year&gt;&lt;RecNum&gt;13525&lt;/RecNum&gt;&lt;DisplayText&gt;(Lumley and Miller, 2009)&lt;/DisplayText&gt;&lt;record&gt;&lt;rec-number&gt;13525&lt;/rec-number&gt;&lt;foreign-keys&gt;&lt;key app="EN" db-id="rtd9vstty2fxskeetsp555vkad9sr9rvss9e" timestamp="1582229241"&gt;13525&lt;/key&gt;&lt;/foreign-keys&gt;&lt;ref-type name="Journal Article"&gt;17&lt;/ref-type&gt;&lt;contributors&gt;&lt;authors&gt;&lt;author&gt;Lumley, Thomas&lt;/author&gt;&lt;author&gt;Miller, A&lt;/author&gt;&lt;/authors&gt;&lt;/contributors&gt;&lt;titles&gt;&lt;title&gt;Leaps: regression subset selection. R package version 2.9&lt;/title&gt;&lt;secondary-title&gt;See http://CRAN. R-project. org/package= leaps&lt;/secondary-title&gt;&lt;/titles&gt;&lt;periodical&gt;&lt;full-title&gt;See http://CRAN. R-project. org/package= leaps&lt;/full-title&gt;&lt;/periodical&gt;&lt;dates&gt;&lt;year&gt;2009&lt;/year&gt;&lt;/dates&gt;&lt;urls&gt;&lt;/urls&gt;&lt;/record&gt;&lt;/Cite&gt;&lt;/EndNote&gt;</w:instrText>
      </w:r>
      <w:r>
        <w:rPr>
          <w:rFonts w:ascii="Arial" w:hAnsi="Arial" w:cs="Arial"/>
        </w:rPr>
        <w:fldChar w:fldCharType="separate"/>
      </w:r>
      <w:r>
        <w:rPr>
          <w:rFonts w:ascii="Arial" w:hAnsi="Arial" w:cs="Arial"/>
          <w:noProof/>
        </w:rPr>
        <w:t>(Lumley and Miller, 2009)</w:t>
      </w:r>
      <w:r>
        <w:rPr>
          <w:rFonts w:ascii="Arial" w:hAnsi="Arial" w:cs="Arial"/>
        </w:rPr>
        <w:fldChar w:fldCharType="end"/>
      </w:r>
      <w:r w:rsidRPr="675F51AD">
        <w:rPr>
          <w:rFonts w:ascii="Arial" w:hAnsi="Arial" w:cs="Arial"/>
        </w:rPr>
        <w:t xml:space="preserve"> package was used to identify different best models of different sizes, by specifying the option nvmax, set to the maximum number of predictors to incorporate the model. Having obtained the best possible subsets, the k-fold cross-validation consisting of first dividing the data into k subsets. Each subset (10%) served successively as test data set and the remaining subset (90%) as training data. The average cross-validation error is then computed as the model prediction error. This was all done using a custom function utilising R’s train() function from the caret package </w:t>
      </w:r>
      <w:r>
        <w:rPr>
          <w:rFonts w:ascii="Arial" w:hAnsi="Arial" w:cs="Arial"/>
        </w:rPr>
        <w:fldChar w:fldCharType="begin"/>
      </w:r>
      <w:r>
        <w:rPr>
          <w:rFonts w:ascii="Arial" w:hAnsi="Arial" w:cs="Arial"/>
        </w:rPr>
        <w:instrText xml:space="preserve"> ADDIN EN.CITE &lt;EndNote&gt;&lt;Cite&gt;&lt;Author&gt;Kuhn&lt;/Author&gt;&lt;Year&gt;2008&lt;/Year&gt;&lt;RecNum&gt;13522&lt;/RecNum&gt;&lt;DisplayText&gt;(Kuhn, 2008)&lt;/DisplayText&gt;&lt;record&gt;&lt;rec-number&gt;13522&lt;/rec-number&gt;&lt;foreign-keys&gt;&lt;key app="EN" db-id="rtd9vstty2fxskeetsp555vkad9sr9rvss9e" timestamp="1582228551"&gt;13522&lt;/key&gt;&lt;/foreign-keys&gt;&lt;ref-type name="Journal Article"&gt;17&lt;/ref-type&gt;&lt;contributors&gt;&lt;authors&gt;&lt;author&gt;Kuhn, Max&lt;/author&gt;&lt;/authors&gt;&lt;/contributors&gt;&lt;titles&gt;&lt;title&gt;Building predictive models in R using the caret package&lt;/title&gt;&lt;secondary-title&gt;Journal of statistical software&lt;/secondary-title&gt;&lt;/titles&gt;&lt;periodical&gt;&lt;full-title&gt;Journal of statistical software&lt;/full-title&gt;&lt;/periodical&gt;&lt;pages&gt;1-26&lt;/pages&gt;&lt;volume&gt;28&lt;/volume&gt;&lt;number&gt;5&lt;/number&gt;&lt;dates&gt;&lt;year&gt;2008&lt;/year&gt;&lt;/dates&gt;&lt;urls&gt;&lt;/urls&gt;&lt;/record&gt;&lt;/Cite&gt;&lt;/EndNote&gt;</w:instrText>
      </w:r>
      <w:r>
        <w:rPr>
          <w:rFonts w:ascii="Arial" w:hAnsi="Arial" w:cs="Arial"/>
        </w:rPr>
        <w:fldChar w:fldCharType="separate"/>
      </w:r>
      <w:r>
        <w:rPr>
          <w:rFonts w:ascii="Arial" w:hAnsi="Arial" w:cs="Arial"/>
          <w:noProof/>
        </w:rPr>
        <w:t>(Kuhn, 2008)</w:t>
      </w:r>
      <w:r>
        <w:rPr>
          <w:rFonts w:ascii="Arial" w:hAnsi="Arial" w:cs="Arial"/>
        </w:rPr>
        <w:fldChar w:fldCharType="end"/>
      </w:r>
      <w:r w:rsidRPr="675F51AD">
        <w:rPr>
          <w:rFonts w:ascii="Arial" w:hAnsi="Arial" w:cs="Arial"/>
        </w:rPr>
        <w:t xml:space="preserve">. Finally R’s tab_model() function from sjPlot package </w:t>
      </w:r>
      <w:r>
        <w:rPr>
          <w:rFonts w:ascii="Arial" w:hAnsi="Arial" w:cs="Arial"/>
        </w:rPr>
        <w:fldChar w:fldCharType="begin"/>
      </w:r>
      <w:r>
        <w:rPr>
          <w:rFonts w:ascii="Arial" w:hAnsi="Arial" w:cs="Arial"/>
        </w:rPr>
        <w:instrText xml:space="preserve"> ADDIN EN.CITE &lt;EndNote&gt;&lt;Cite&gt;&lt;Author&gt;Lüdecke&lt;/Author&gt;&lt;Year&gt;2018&lt;/Year&gt;&lt;RecNum&gt;13523&lt;/RecNum&gt;&lt;DisplayText&gt;(Lüdecke, 2018)&lt;/DisplayText&gt;&lt;record&gt;&lt;rec-number&gt;13523&lt;/rec-number&gt;&lt;foreign-keys&gt;&lt;key app="EN" db-id="rtd9vstty2fxskeetsp555vkad9sr9rvss9e" timestamp="1582228722"&gt;13523&lt;/key&gt;&lt;/foreign-keys&gt;&lt;ref-type name="Journal Article"&gt;17&lt;/ref-type&gt;&lt;contributors&gt;&lt;authors&gt;&lt;author&gt;Lüdecke, Daniel&lt;/author&gt;&lt;/authors&gt;&lt;/contributors&gt;&lt;titles&gt;&lt;title&gt;sjPlot: Data visualization for statistics in social science&lt;/title&gt;&lt;secondary-title&gt;R package version&lt;/secondary-title&gt;&lt;/titles&gt;&lt;periodical&gt;&lt;full-title&gt;R package version&lt;/full-title&gt;&lt;/periodical&gt;&lt;volume&gt;2&lt;/volume&gt;&lt;number&gt;1&lt;/number&gt;&lt;dates&gt;&lt;year&gt;2018&lt;/year&gt;&lt;/dates&gt;&lt;urls&gt;&lt;/urls&gt;&lt;/record&gt;&lt;/Cite&gt;&lt;/EndNote&gt;</w:instrText>
      </w:r>
      <w:r>
        <w:rPr>
          <w:rFonts w:ascii="Arial" w:hAnsi="Arial" w:cs="Arial"/>
        </w:rPr>
        <w:fldChar w:fldCharType="separate"/>
      </w:r>
      <w:r>
        <w:rPr>
          <w:rFonts w:ascii="Arial" w:hAnsi="Arial" w:cs="Arial"/>
          <w:noProof/>
        </w:rPr>
        <w:t>(Lüdecke, 2018)</w:t>
      </w:r>
      <w:r>
        <w:rPr>
          <w:rFonts w:ascii="Arial" w:hAnsi="Arial" w:cs="Arial"/>
        </w:rPr>
        <w:fldChar w:fldCharType="end"/>
      </w:r>
      <w:r w:rsidRPr="675F51AD">
        <w:rPr>
          <w:rFonts w:ascii="Arial" w:hAnsi="Arial" w:cs="Arial"/>
        </w:rPr>
        <w:t xml:space="preserve"> was used to obtain the statistics for each model. </w:t>
      </w:r>
      <w:r>
        <w:rPr>
          <w:rFonts w:ascii="Arial" w:eastAsia="Times New Roman" w:hAnsi="Arial" w:cs="Arial"/>
          <w:color w:val="000000" w:themeColor="text1"/>
        </w:rPr>
        <w:t xml:space="preserve">To find the core microbiome, we have used R’s microbiome package </w:t>
      </w:r>
      <w:r>
        <w:rPr>
          <w:rFonts w:ascii="Arial" w:eastAsia="Times New Roman" w:hAnsi="Arial" w:cs="Arial"/>
          <w:color w:val="000000" w:themeColor="text1"/>
        </w:rPr>
        <w:fldChar w:fldCharType="begin"/>
      </w:r>
      <w:r>
        <w:rPr>
          <w:rFonts w:ascii="Arial" w:eastAsia="Times New Roman" w:hAnsi="Arial" w:cs="Arial"/>
          <w:color w:val="000000" w:themeColor="text1"/>
        </w:rPr>
        <w:instrText xml:space="preserve"> ADDIN EN.CITE &lt;EndNote&gt;&lt;Cite&gt;&lt;Author&gt;Lahti&lt;/Author&gt;&lt;Year&gt;2017&lt;/Year&gt;&lt;RecNum&gt;13526&lt;/RecNum&gt;&lt;DisplayText&gt;(Lahti et al., 2017)&lt;/DisplayText&gt;&lt;record&gt;&lt;rec-number&gt;13526&lt;/rec-number&gt;&lt;foreign-keys&gt;&lt;key app="EN" db-id="rtd9vstty2fxskeetsp555vkad9sr9rvss9e" timestamp="1582229471"&gt;13526&lt;/key&gt;&lt;/foreign-keys&gt;&lt;ref-type name="Journal Article"&gt;17&lt;/ref-type&gt;&lt;contributors&gt;&lt;authors&gt;&lt;author&gt;Lahti, Leo&lt;/author&gt;&lt;author&gt;Shetty, Sudarshan&lt;/author&gt;&lt;author&gt;Blake, Tineka&lt;/author&gt;&lt;author&gt;Salojarvi, Jarkko&lt;/author&gt;&lt;/authors&gt;&lt;/contributors&gt;&lt;titles&gt;&lt;title&gt;microbiome R package&lt;/title&gt;&lt;secondary-title&gt;Tools Microbiome Anal R&lt;/secondary-title&gt;&lt;/titles&gt;&lt;periodical&gt;&lt;full-title&gt;Tools Microbiome Anal R&lt;/full-title&gt;&lt;/periodical&gt;&lt;dates&gt;&lt;year&gt;2017&lt;/year&gt;&lt;/dates&gt;&lt;urls&gt;&lt;/urls&gt;&lt;/record&gt;&lt;/Cite&gt;&lt;/EndNote&gt;</w:instrText>
      </w:r>
      <w:r>
        <w:rPr>
          <w:rFonts w:ascii="Arial" w:eastAsia="Times New Roman" w:hAnsi="Arial" w:cs="Arial"/>
          <w:color w:val="000000" w:themeColor="text1"/>
        </w:rPr>
        <w:fldChar w:fldCharType="separate"/>
      </w:r>
      <w:r>
        <w:rPr>
          <w:rFonts w:ascii="Arial" w:eastAsia="Times New Roman" w:hAnsi="Arial" w:cs="Arial"/>
          <w:noProof/>
          <w:color w:val="000000" w:themeColor="text1"/>
        </w:rPr>
        <w:t>(Lahti et al., 2017)</w:t>
      </w:r>
      <w:r>
        <w:rPr>
          <w:rFonts w:ascii="Arial" w:eastAsia="Times New Roman" w:hAnsi="Arial" w:cs="Arial"/>
          <w:color w:val="000000" w:themeColor="text1"/>
        </w:rPr>
        <w:fldChar w:fldCharType="end"/>
      </w:r>
      <w:r>
        <w:rPr>
          <w:rFonts w:ascii="Arial" w:eastAsia="Times New Roman" w:hAnsi="Arial" w:cs="Arial"/>
          <w:color w:val="000000" w:themeColor="text1"/>
        </w:rPr>
        <w:t xml:space="preserve"> and the recommendations given in </w:t>
      </w:r>
      <w:r>
        <w:rPr>
          <w:rFonts w:ascii="Arial" w:eastAsia="Times New Roman" w:hAnsi="Arial" w:cs="Arial"/>
          <w:color w:val="000000" w:themeColor="text1"/>
        </w:rPr>
        <w:fldChar w:fldCharType="begin"/>
      </w:r>
      <w:r>
        <w:rPr>
          <w:rFonts w:ascii="Arial" w:eastAsia="Times New Roman" w:hAnsi="Arial" w:cs="Arial"/>
          <w:color w:val="000000" w:themeColor="text1"/>
        </w:rPr>
        <w:instrText xml:space="preserve"> ADDIN EN.CITE &lt;EndNote&gt;&lt;Cite&gt;&lt;Author&gt;Shetty&lt;/Author&gt;&lt;Year&gt;2017&lt;/Year&gt;&lt;RecNum&gt;13524&lt;/RecNum&gt;&lt;DisplayText&gt;(Shetty et al., 2017)&lt;/DisplayText&gt;&lt;record&gt;&lt;rec-number&gt;13524&lt;/rec-number&gt;&lt;foreign-keys&gt;&lt;key app="EN" db-id="rtd9vstty2fxskeetsp555vkad9sr9rvss9e" timestamp="1582228905"&gt;13524&lt;/key&gt;&lt;/foreign-keys&gt;&lt;ref-type name="Journal Article"&gt;17&lt;/ref-type&gt;&lt;contributors&gt;&lt;authors&gt;&lt;author&gt;Shetty, Sudarshan A&lt;/author&gt;&lt;author&gt;Hugenholtz, Floor&lt;/author&gt;&lt;author&gt;Lahti, Leo&lt;/author&gt;&lt;author&gt;Smidt, Hauke&lt;/author&gt;&lt;author&gt;de Vos, Willem M&lt;/author&gt;&lt;/authors&gt;&lt;/contributors&gt;&lt;titles&gt;&lt;title&gt;Intestinal microbiome landscaping: insight in community assemblage and implications for microbial modulation strategies&lt;/title&gt;&lt;secondary-title&gt;FEMS microbiology reviews&lt;/secondary-title&gt;&lt;/titles&gt;&lt;periodical&gt;&lt;full-title&gt;FEMS Microbiol Rev&lt;/full-title&gt;&lt;abbr-1&gt;FEMS microbiology reviews&lt;/abbr-1&gt;&lt;/periodical&gt;&lt;pages&gt;182-199&lt;/pages&gt;&lt;volume&gt;41&lt;/volume&gt;&lt;number&gt;2&lt;/number&gt;&lt;dates&gt;&lt;year&gt;2017&lt;/year&gt;&lt;/dates&gt;&lt;isbn&gt;1574-6976&lt;/isbn&gt;&lt;urls&gt;&lt;/urls&gt;&lt;/record&gt;&lt;/Cite&gt;&lt;/EndNote&gt;</w:instrText>
      </w:r>
      <w:r>
        <w:rPr>
          <w:rFonts w:ascii="Arial" w:eastAsia="Times New Roman" w:hAnsi="Arial" w:cs="Arial"/>
          <w:color w:val="000000" w:themeColor="text1"/>
        </w:rPr>
        <w:fldChar w:fldCharType="separate"/>
      </w:r>
      <w:r>
        <w:rPr>
          <w:rFonts w:ascii="Arial" w:eastAsia="Times New Roman" w:hAnsi="Arial" w:cs="Arial"/>
          <w:noProof/>
          <w:color w:val="000000" w:themeColor="text1"/>
        </w:rPr>
        <w:t>(Shetty et al., 2017)</w:t>
      </w:r>
      <w:r>
        <w:rPr>
          <w:rFonts w:ascii="Arial" w:eastAsia="Times New Roman" w:hAnsi="Arial" w:cs="Arial"/>
          <w:color w:val="000000" w:themeColor="text1"/>
        </w:rPr>
        <w:fldChar w:fldCharType="end"/>
      </w:r>
      <w:r>
        <w:rPr>
          <w:rFonts w:ascii="Arial" w:eastAsia="Times New Roman" w:hAnsi="Arial" w:cs="Arial"/>
          <w:color w:val="000000" w:themeColor="text1"/>
        </w:rPr>
        <w:t>.</w:t>
      </w:r>
    </w:p>
    <w:p w14:paraId="22E445FC" w14:textId="77777777" w:rsidR="00FE29D8" w:rsidRPr="005171B9" w:rsidRDefault="00FE29D8" w:rsidP="00FE29D8">
      <w:pPr>
        <w:spacing w:line="480" w:lineRule="auto"/>
        <w:jc w:val="both"/>
        <w:outlineLvl w:val="0"/>
        <w:rPr>
          <w:rFonts w:ascii="Arial" w:hAnsi="Arial" w:cs="Arial"/>
        </w:rPr>
      </w:pPr>
      <w:r w:rsidRPr="005171B9">
        <w:rPr>
          <w:rFonts w:ascii="Arial" w:hAnsi="Arial" w:cs="Arial"/>
        </w:rPr>
        <w:t>In majority of the figures displaying boxplots, pair-wise ANOVA was performed taking two categories at a time, and where significant (p ≤ 0.05), joined them together by a line and plotting significance on top (*: 0.01 ≤ p &lt; 0.05; **: 0.05 ≤ p &lt; 0.001; ***: p ≤ 0.001).</w:t>
      </w:r>
    </w:p>
    <w:p w14:paraId="2A5DA9F7" w14:textId="77777777" w:rsidR="00FE29D8" w:rsidRDefault="00FE29D8"/>
    <w:p w14:paraId="664E4544" w14:textId="77777777" w:rsidR="00FE29D8" w:rsidRDefault="00FE29D8"/>
    <w:p w14:paraId="63C4280E" w14:textId="77777777" w:rsidR="00FE29D8" w:rsidRPr="00FE29D8" w:rsidRDefault="00FE29D8" w:rsidP="00FE29D8">
      <w:pPr>
        <w:pStyle w:val="EndNoteBibliography"/>
        <w:spacing w:after="0"/>
        <w:ind w:left="720" w:hanging="720"/>
      </w:pPr>
      <w:r>
        <w:fldChar w:fldCharType="begin"/>
      </w:r>
      <w:r>
        <w:instrText xml:space="preserve"> ADDIN EN.REFLIST </w:instrText>
      </w:r>
      <w:r>
        <w:fldChar w:fldCharType="separate"/>
      </w:r>
      <w:r w:rsidRPr="00FE29D8">
        <w:t xml:space="preserve">Caporaso, J.G., Kuczynski, J., Stombaugh, J., Bittinger, K., Bushman, F.D., Costello, E.K., Fierer, N., Pena, A.G., Goodrich, J.K., Gordon, J.I., Huttley, G.A., Kelley, S.T., Knights, D., Koenig, J.E., Ley, R.E., Lozupone, C.A., Mcdonald, D., Muegge, B.D., Pirrung, M., Reeder, J., Sevinsky, J.R., Turnbaugh, P.J., Walters, W.A., Widmann, J., Yatsunenko, T., Zaneveld, J., and Knight, R. (2010). QIIME allows analysis of high-throughput community sequencing data. </w:t>
      </w:r>
      <w:r w:rsidRPr="00FE29D8">
        <w:rPr>
          <w:i/>
        </w:rPr>
        <w:t>Nat Methods</w:t>
      </w:r>
      <w:r w:rsidRPr="00FE29D8">
        <w:t xml:space="preserve"> 7</w:t>
      </w:r>
      <w:r w:rsidRPr="00FE29D8">
        <w:rPr>
          <w:b/>
        </w:rPr>
        <w:t>,</w:t>
      </w:r>
      <w:r w:rsidRPr="00FE29D8">
        <w:t xml:space="preserve"> 335-336. doi: 10.1038/nmeth.f.303.</w:t>
      </w:r>
    </w:p>
    <w:p w14:paraId="77417F91" w14:textId="77777777" w:rsidR="00FE29D8" w:rsidRPr="00FE29D8" w:rsidRDefault="00FE29D8" w:rsidP="00FE29D8">
      <w:pPr>
        <w:pStyle w:val="EndNoteBibliography"/>
        <w:spacing w:after="0"/>
        <w:ind w:left="720" w:hanging="720"/>
      </w:pPr>
      <w:r w:rsidRPr="00FE29D8">
        <w:lastRenderedPageBreak/>
        <w:t xml:space="preserve">Clarke, K.R., and Ainsworth, M. (1993). A Method of Linking Multivariate Community Structure to Environmental Variables. </w:t>
      </w:r>
      <w:r w:rsidRPr="00FE29D8">
        <w:rPr>
          <w:i/>
        </w:rPr>
        <w:t>Marine Ecology Progress Series</w:t>
      </w:r>
      <w:r w:rsidRPr="00FE29D8">
        <w:t xml:space="preserve"> 92</w:t>
      </w:r>
      <w:r w:rsidRPr="00FE29D8">
        <w:rPr>
          <w:b/>
        </w:rPr>
        <w:t>,</w:t>
      </w:r>
      <w:r w:rsidRPr="00FE29D8">
        <w:t xml:space="preserve"> 205-219.</w:t>
      </w:r>
    </w:p>
    <w:p w14:paraId="26C7DFC1" w14:textId="77777777" w:rsidR="00FE29D8" w:rsidRPr="00FE29D8" w:rsidRDefault="00FE29D8" w:rsidP="00FE29D8">
      <w:pPr>
        <w:pStyle w:val="EndNoteBibliography"/>
        <w:spacing w:after="0"/>
        <w:ind w:left="720" w:hanging="720"/>
      </w:pPr>
      <w:r w:rsidRPr="00FE29D8">
        <w:t xml:space="preserve">D'amore, R., Ijaz, U.Z., Schirmer, M., Kenny, J.G., Gregory, R., Darby, A.C., Shakya, M., Podar, M., Quince, C., and Hall, N. (2016). A comprehensive benchmarking study of protocols and sequencing platforms for 16S rRNA community profiling. </w:t>
      </w:r>
      <w:r w:rsidRPr="00FE29D8">
        <w:rPr>
          <w:i/>
        </w:rPr>
        <w:t>BMC Genomics</w:t>
      </w:r>
      <w:r w:rsidRPr="00FE29D8">
        <w:t xml:space="preserve"> 17</w:t>
      </w:r>
      <w:r w:rsidRPr="00FE29D8">
        <w:rPr>
          <w:b/>
        </w:rPr>
        <w:t>,</w:t>
      </w:r>
      <w:r w:rsidRPr="00FE29D8">
        <w:t xml:space="preserve"> 55. doi: 10.1186/s12864-015-2194-9.</w:t>
      </w:r>
    </w:p>
    <w:p w14:paraId="5CDFAF2D" w14:textId="77777777" w:rsidR="00FE29D8" w:rsidRPr="00FE29D8" w:rsidRDefault="00FE29D8" w:rsidP="00FE29D8">
      <w:pPr>
        <w:pStyle w:val="EndNoteBibliography"/>
        <w:spacing w:after="0"/>
        <w:ind w:left="720" w:hanging="720"/>
      </w:pPr>
      <w:r w:rsidRPr="00FE29D8">
        <w:t xml:space="preserve">Foster, Z.S., Sharpton, T.J., and Grünwald, N.J. (2017). Metacoder: an R package for visualization and manipulation of community taxonomic diversity data. </w:t>
      </w:r>
      <w:r w:rsidRPr="00FE29D8">
        <w:rPr>
          <w:i/>
        </w:rPr>
        <w:t>PLoS computational biology</w:t>
      </w:r>
      <w:r w:rsidRPr="00FE29D8">
        <w:t xml:space="preserve"> 13</w:t>
      </w:r>
      <w:r w:rsidRPr="00FE29D8">
        <w:rPr>
          <w:b/>
        </w:rPr>
        <w:t>,</w:t>
      </w:r>
      <w:r w:rsidRPr="00FE29D8">
        <w:t xml:space="preserve"> e1005404.</w:t>
      </w:r>
    </w:p>
    <w:p w14:paraId="0C5036CE" w14:textId="77777777" w:rsidR="00FE29D8" w:rsidRPr="00FE29D8" w:rsidRDefault="00FE29D8" w:rsidP="00FE29D8">
      <w:pPr>
        <w:pStyle w:val="EndNoteBibliography"/>
        <w:spacing w:after="0"/>
        <w:ind w:left="720" w:hanging="720"/>
      </w:pPr>
      <w:r w:rsidRPr="00FE29D8">
        <w:t xml:space="preserve">Ijaz, U.Z., Sivaloganathan, L., Mckenna, A., Richmond, A., Kelly, C., Linton, M., Stratakos, A.C., Lavery, U., Elmi, A., Wren, B.W., Dorrell, N., Corcionivoschi, N., and Gundogdu, O. (2018). Comprehensive Longitudinal Microbiome Analysis of the Chicken Cecum Reveals a Shift From Competitive to Environmental Drivers and a Window of Opportunity for Campylobacter. </w:t>
      </w:r>
      <w:r w:rsidRPr="00FE29D8">
        <w:rPr>
          <w:i/>
        </w:rPr>
        <w:t>Front Microbiol</w:t>
      </w:r>
      <w:r w:rsidRPr="00FE29D8">
        <w:t xml:space="preserve"> 9</w:t>
      </w:r>
      <w:r w:rsidRPr="00FE29D8">
        <w:rPr>
          <w:b/>
        </w:rPr>
        <w:t>,</w:t>
      </w:r>
      <w:r w:rsidRPr="00FE29D8">
        <w:t xml:space="preserve"> 2452. doi: 10.3389/fmicb.2018.02452.</w:t>
      </w:r>
    </w:p>
    <w:p w14:paraId="7C532E0F" w14:textId="77777777" w:rsidR="00FE29D8" w:rsidRPr="00FE29D8" w:rsidRDefault="00FE29D8" w:rsidP="00FE29D8">
      <w:pPr>
        <w:pStyle w:val="EndNoteBibliography"/>
        <w:spacing w:after="0"/>
        <w:ind w:left="720" w:hanging="720"/>
      </w:pPr>
      <w:r w:rsidRPr="00FE29D8">
        <w:t>Joshi, N., and Fass, J. (2011). "Sickle: A sliding-window, adaptive, quality-based trimming tool for FastQ files (Version 1.33)". 1.33 ed.).</w:t>
      </w:r>
    </w:p>
    <w:p w14:paraId="1E1B029E" w14:textId="77777777" w:rsidR="00FE29D8" w:rsidRPr="00FE29D8" w:rsidRDefault="00FE29D8" w:rsidP="00FE29D8">
      <w:pPr>
        <w:pStyle w:val="EndNoteBibliography"/>
        <w:spacing w:after="0"/>
        <w:ind w:left="720" w:hanging="720"/>
      </w:pPr>
      <w:r w:rsidRPr="00FE29D8">
        <w:t xml:space="preserve">Kassambara, A. (2018). </w:t>
      </w:r>
      <w:r w:rsidRPr="00FE29D8">
        <w:rPr>
          <w:i/>
        </w:rPr>
        <w:t>Machine Learning Essentials: Practical Guide in R.</w:t>
      </w:r>
      <w:r w:rsidRPr="00FE29D8">
        <w:t xml:space="preserve"> sthda.</w:t>
      </w:r>
    </w:p>
    <w:p w14:paraId="0D4022F8" w14:textId="77777777" w:rsidR="00FE29D8" w:rsidRPr="00FE29D8" w:rsidRDefault="00FE29D8" w:rsidP="00FE29D8">
      <w:pPr>
        <w:pStyle w:val="EndNoteBibliography"/>
        <w:spacing w:after="0"/>
        <w:ind w:left="720" w:hanging="720"/>
      </w:pPr>
      <w:r w:rsidRPr="00FE29D8">
        <w:t xml:space="preserve">Katoh, K., and Standley, D.M. (2013). MAFFT multiple sequence alignment software version 7: improvements in performance and usability. </w:t>
      </w:r>
      <w:r w:rsidRPr="00FE29D8">
        <w:rPr>
          <w:i/>
        </w:rPr>
        <w:t>Mol Biol Evol</w:t>
      </w:r>
      <w:r w:rsidRPr="00FE29D8">
        <w:t xml:space="preserve"> 30</w:t>
      </w:r>
      <w:r w:rsidRPr="00FE29D8">
        <w:rPr>
          <w:b/>
        </w:rPr>
        <w:t>,</w:t>
      </w:r>
      <w:r w:rsidRPr="00FE29D8">
        <w:t xml:space="preserve"> 772-780. doi: 10.1093/molbev/mst010.</w:t>
      </w:r>
    </w:p>
    <w:p w14:paraId="708A4714" w14:textId="77777777" w:rsidR="00FE29D8" w:rsidRPr="00FE29D8" w:rsidRDefault="00FE29D8" w:rsidP="00FE29D8">
      <w:pPr>
        <w:pStyle w:val="EndNoteBibliography"/>
        <w:spacing w:after="0"/>
        <w:ind w:left="720" w:hanging="720"/>
      </w:pPr>
      <w:r w:rsidRPr="00FE29D8">
        <w:t xml:space="preserve">Kembel, S.W., Cowan, P.D., Helmus, M.R., Cornwell, W.K., Morlon, H., Ackerly, D.D., Blomberg, S.P., and Webb, C.O. (2010). Picante: R tools for integrating phylogenies and ecology. </w:t>
      </w:r>
      <w:r w:rsidRPr="00FE29D8">
        <w:rPr>
          <w:i/>
        </w:rPr>
        <w:t>Bioinformatics</w:t>
      </w:r>
      <w:r w:rsidRPr="00FE29D8">
        <w:t xml:space="preserve"> 26</w:t>
      </w:r>
      <w:r w:rsidRPr="00FE29D8">
        <w:rPr>
          <w:b/>
        </w:rPr>
        <w:t>,</w:t>
      </w:r>
      <w:r w:rsidRPr="00FE29D8">
        <w:t xml:space="preserve"> 1463-1464. doi: 10.1093/bioinformatics/btq166.</w:t>
      </w:r>
    </w:p>
    <w:p w14:paraId="03D5B2F2" w14:textId="77777777" w:rsidR="00FE29D8" w:rsidRPr="00FE29D8" w:rsidRDefault="00FE29D8" w:rsidP="00FE29D8">
      <w:pPr>
        <w:pStyle w:val="EndNoteBibliography"/>
        <w:spacing w:after="0"/>
        <w:ind w:left="720" w:hanging="720"/>
      </w:pPr>
      <w:r w:rsidRPr="00FE29D8">
        <w:t xml:space="preserve">Kuhn, M. (2008). Building predictive models in R using the caret package. </w:t>
      </w:r>
      <w:r w:rsidRPr="00FE29D8">
        <w:rPr>
          <w:i/>
        </w:rPr>
        <w:t>Journal of statistical software</w:t>
      </w:r>
      <w:r w:rsidRPr="00FE29D8">
        <w:t xml:space="preserve"> 28</w:t>
      </w:r>
      <w:r w:rsidRPr="00FE29D8">
        <w:rPr>
          <w:b/>
        </w:rPr>
        <w:t>,</w:t>
      </w:r>
      <w:r w:rsidRPr="00FE29D8">
        <w:t xml:space="preserve"> 1-26.</w:t>
      </w:r>
    </w:p>
    <w:p w14:paraId="383E97F3" w14:textId="77777777" w:rsidR="00FE29D8" w:rsidRPr="00FE29D8" w:rsidRDefault="00FE29D8" w:rsidP="00FE29D8">
      <w:pPr>
        <w:pStyle w:val="EndNoteBibliography"/>
        <w:spacing w:after="0"/>
        <w:ind w:left="720" w:hanging="720"/>
      </w:pPr>
      <w:r w:rsidRPr="00FE29D8">
        <w:t xml:space="preserve">Lahti, L., Shetty, S., Blake, T., and Salojarvi, J. (2017). microbiome R package. </w:t>
      </w:r>
      <w:r w:rsidRPr="00FE29D8">
        <w:rPr>
          <w:i/>
        </w:rPr>
        <w:t>Tools Microbiome Anal R</w:t>
      </w:r>
      <w:r w:rsidRPr="00FE29D8">
        <w:t>.</w:t>
      </w:r>
    </w:p>
    <w:p w14:paraId="54581B4B" w14:textId="77777777" w:rsidR="00FE29D8" w:rsidRPr="00FE29D8" w:rsidRDefault="00FE29D8" w:rsidP="00FE29D8">
      <w:pPr>
        <w:pStyle w:val="EndNoteBibliography"/>
        <w:spacing w:after="0"/>
        <w:ind w:left="720" w:hanging="720"/>
      </w:pPr>
      <w:r w:rsidRPr="00FE29D8">
        <w:t xml:space="preserve">Love, M.I., Huber, W., and Anders, S. (2014). Moderated estimation of fold change and dispersion for RNA-seq data with DESeq2. </w:t>
      </w:r>
      <w:r w:rsidRPr="00FE29D8">
        <w:rPr>
          <w:i/>
        </w:rPr>
        <w:t>Genome Biol</w:t>
      </w:r>
      <w:r w:rsidRPr="00FE29D8">
        <w:t xml:space="preserve"> 15</w:t>
      </w:r>
      <w:r w:rsidRPr="00FE29D8">
        <w:rPr>
          <w:b/>
        </w:rPr>
        <w:t>,</w:t>
      </w:r>
      <w:r w:rsidRPr="00FE29D8">
        <w:t xml:space="preserve"> 550. doi: 10.1186/s13059-014-0550-8.</w:t>
      </w:r>
    </w:p>
    <w:p w14:paraId="531BFA2A" w14:textId="77777777" w:rsidR="00FE29D8" w:rsidRPr="00FE29D8" w:rsidRDefault="00FE29D8" w:rsidP="00FE29D8">
      <w:pPr>
        <w:pStyle w:val="EndNoteBibliography"/>
        <w:spacing w:after="0"/>
        <w:ind w:left="720" w:hanging="720"/>
      </w:pPr>
      <w:r w:rsidRPr="00FE29D8">
        <w:t xml:space="preserve">Lüdecke, D. (2018). sjPlot: Data visualization for statistics in social science. </w:t>
      </w:r>
      <w:r w:rsidRPr="00FE29D8">
        <w:rPr>
          <w:i/>
        </w:rPr>
        <w:t>R package version</w:t>
      </w:r>
      <w:r w:rsidRPr="00FE29D8">
        <w:t xml:space="preserve"> 2.</w:t>
      </w:r>
    </w:p>
    <w:p w14:paraId="73590900" w14:textId="77777777" w:rsidR="00FE29D8" w:rsidRPr="00FE29D8" w:rsidRDefault="00FE29D8" w:rsidP="00FE29D8">
      <w:pPr>
        <w:pStyle w:val="EndNoteBibliography"/>
        <w:spacing w:after="0"/>
        <w:ind w:left="720" w:hanging="720"/>
      </w:pPr>
      <w:r w:rsidRPr="00FE29D8">
        <w:t xml:space="preserve">Lumley, T., and Miller, A. (2009). Leaps: regression subset selection. R package version 2.9. </w:t>
      </w:r>
      <w:r w:rsidRPr="00FE29D8">
        <w:rPr>
          <w:i/>
        </w:rPr>
        <w:t>See http://CRAN. R-project. org/package= leaps</w:t>
      </w:r>
      <w:r w:rsidRPr="00FE29D8">
        <w:t>.</w:t>
      </w:r>
    </w:p>
    <w:p w14:paraId="39BB4CD9" w14:textId="77777777" w:rsidR="00FE29D8" w:rsidRPr="00FE29D8" w:rsidRDefault="00FE29D8" w:rsidP="00FE29D8">
      <w:pPr>
        <w:pStyle w:val="EndNoteBibliography"/>
        <w:spacing w:after="0"/>
        <w:ind w:left="720" w:hanging="720"/>
      </w:pPr>
      <w:r w:rsidRPr="00FE29D8">
        <w:t xml:space="preserve">Masella, A.P., Bartram, A.K., Truszkowski, J.M., Brown, D.G., and Neufeld, J.D. (2012). PANDAseq: paired-end assembler for illumina sequences. </w:t>
      </w:r>
      <w:r w:rsidRPr="00FE29D8">
        <w:rPr>
          <w:i/>
        </w:rPr>
        <w:t>BMC bioinformatics</w:t>
      </w:r>
      <w:r w:rsidRPr="00FE29D8">
        <w:t xml:space="preserve"> 13</w:t>
      </w:r>
      <w:r w:rsidRPr="00FE29D8">
        <w:rPr>
          <w:b/>
        </w:rPr>
        <w:t>,</w:t>
      </w:r>
      <w:r w:rsidRPr="00FE29D8">
        <w:t xml:space="preserve"> 31.</w:t>
      </w:r>
    </w:p>
    <w:p w14:paraId="617FE072" w14:textId="77777777" w:rsidR="00FE29D8" w:rsidRPr="00FE29D8" w:rsidRDefault="00FE29D8" w:rsidP="00FE29D8">
      <w:pPr>
        <w:pStyle w:val="EndNoteBibliography"/>
        <w:spacing w:after="0"/>
        <w:ind w:left="720" w:hanging="720"/>
      </w:pPr>
      <w:r w:rsidRPr="00FE29D8">
        <w:t xml:space="preserve">Mcmurdie, P.J., and Holmes, S. (2013). phyloseq: an R package for reproducible interactive analysis and graphics of microbiome census data. </w:t>
      </w:r>
      <w:r w:rsidRPr="00FE29D8">
        <w:rPr>
          <w:i/>
        </w:rPr>
        <w:t>PLoS One</w:t>
      </w:r>
      <w:r w:rsidRPr="00FE29D8">
        <w:t xml:space="preserve"> 8</w:t>
      </w:r>
      <w:r w:rsidRPr="00FE29D8">
        <w:rPr>
          <w:b/>
        </w:rPr>
        <w:t>,</w:t>
      </w:r>
      <w:r w:rsidRPr="00FE29D8">
        <w:t xml:space="preserve"> e61217. doi: 10.1371/journal.pone.0061217.</w:t>
      </w:r>
    </w:p>
    <w:p w14:paraId="01D2576D" w14:textId="77777777" w:rsidR="00FE29D8" w:rsidRPr="00FE29D8" w:rsidRDefault="00FE29D8" w:rsidP="00FE29D8">
      <w:pPr>
        <w:pStyle w:val="EndNoteBibliography"/>
        <w:spacing w:after="0"/>
        <w:ind w:left="720" w:hanging="720"/>
      </w:pPr>
      <w:r w:rsidRPr="00FE29D8">
        <w:t xml:space="preserve">Nikolenko, S.I., Korobeynikov, A.I., and Alekseyev, M.A. (2013). BayesHammer: Bayesian clustering for error correction in single-cell sequencing. </w:t>
      </w:r>
      <w:r w:rsidRPr="00FE29D8">
        <w:rPr>
          <w:i/>
        </w:rPr>
        <w:t>BMC Genomics</w:t>
      </w:r>
      <w:r w:rsidRPr="00FE29D8">
        <w:t xml:space="preserve"> 14 Suppl 1</w:t>
      </w:r>
      <w:r w:rsidRPr="00FE29D8">
        <w:rPr>
          <w:b/>
        </w:rPr>
        <w:t>,</w:t>
      </w:r>
      <w:r w:rsidRPr="00FE29D8">
        <w:t xml:space="preserve"> S7. doi: 10.1186/1471-2164-14-S1-S7.</w:t>
      </w:r>
    </w:p>
    <w:p w14:paraId="7D70942F" w14:textId="77777777" w:rsidR="00FE29D8" w:rsidRPr="00FE29D8" w:rsidRDefault="00FE29D8" w:rsidP="00FE29D8">
      <w:pPr>
        <w:pStyle w:val="EndNoteBibliography"/>
        <w:spacing w:after="0"/>
        <w:ind w:left="720" w:hanging="720"/>
      </w:pPr>
      <w:r w:rsidRPr="00FE29D8">
        <w:t>Oksanen, J., Blanchet, F., Kindt, R., Legendre, P., Minchin, P., O'hara, R., Simpson, G., Solymos, P., Stevens, M., and Wagner, H. (2015). "Vegan: Community Ecology Package, R Package version 2.2-1". version 2.2-1 ed.).</w:t>
      </w:r>
    </w:p>
    <w:p w14:paraId="62F1D9FE" w14:textId="77777777" w:rsidR="00FE29D8" w:rsidRPr="00FE29D8" w:rsidRDefault="00FE29D8" w:rsidP="00FE29D8">
      <w:pPr>
        <w:pStyle w:val="EndNoteBibliography"/>
        <w:spacing w:after="0"/>
        <w:ind w:left="720" w:hanging="720"/>
      </w:pPr>
      <w:r w:rsidRPr="00FE29D8">
        <w:t xml:space="preserve">Price, M.N., Dehal, P.S., and Arkin, A.P. (2010). FastTree 2--approximately maximum-likelihood trees for large alignments. </w:t>
      </w:r>
      <w:r w:rsidRPr="00FE29D8">
        <w:rPr>
          <w:i/>
        </w:rPr>
        <w:t>PLoS One</w:t>
      </w:r>
      <w:r w:rsidRPr="00FE29D8">
        <w:t xml:space="preserve"> 5</w:t>
      </w:r>
      <w:r w:rsidRPr="00FE29D8">
        <w:rPr>
          <w:b/>
        </w:rPr>
        <w:t>,</w:t>
      </w:r>
      <w:r w:rsidRPr="00FE29D8">
        <w:t xml:space="preserve"> e9490. doi: 10.1371/journal.pone.0009490.</w:t>
      </w:r>
    </w:p>
    <w:p w14:paraId="7344CD0C" w14:textId="77777777" w:rsidR="00FE29D8" w:rsidRPr="00FE29D8" w:rsidRDefault="00FE29D8" w:rsidP="00FE29D8">
      <w:pPr>
        <w:pStyle w:val="EndNoteBibliography"/>
        <w:spacing w:after="0"/>
        <w:ind w:left="720" w:hanging="720"/>
      </w:pPr>
      <w:r w:rsidRPr="00FE29D8">
        <w:t xml:space="preserve">Rohart, F., Eslami, A., Matigian, N., Bougeard, S., and Le Cao, K.-A. (2017). MINT: a multivariate integrative method to identify reproducible molecular signatures across independent experiments and platforms. </w:t>
      </w:r>
      <w:r w:rsidRPr="00FE29D8">
        <w:rPr>
          <w:i/>
        </w:rPr>
        <w:t>BMC bioinformatics</w:t>
      </w:r>
      <w:r w:rsidRPr="00FE29D8">
        <w:t xml:space="preserve"> 18</w:t>
      </w:r>
      <w:r w:rsidRPr="00FE29D8">
        <w:rPr>
          <w:b/>
        </w:rPr>
        <w:t>,</w:t>
      </w:r>
      <w:r w:rsidRPr="00FE29D8">
        <w:t xml:space="preserve"> 128.</w:t>
      </w:r>
    </w:p>
    <w:p w14:paraId="317B3527" w14:textId="77777777" w:rsidR="00FE29D8" w:rsidRPr="00FE29D8" w:rsidRDefault="00FE29D8" w:rsidP="00FE29D8">
      <w:pPr>
        <w:pStyle w:val="EndNoteBibliography"/>
        <w:spacing w:after="0"/>
        <w:ind w:left="720" w:hanging="720"/>
      </w:pPr>
      <w:r w:rsidRPr="00FE29D8">
        <w:t xml:space="preserve">Schirmer, M., Ijaz, U.Z., D'amore, R., Hall, N., Sloan, W.T., and Quince, C. (2015). Insight into biases and sequencing errors for amplicon sequencing with the Illumina MiSeq platform. </w:t>
      </w:r>
      <w:r w:rsidRPr="00FE29D8">
        <w:rPr>
          <w:i/>
        </w:rPr>
        <w:t>Nucleic Acids Res</w:t>
      </w:r>
      <w:r w:rsidRPr="00FE29D8">
        <w:t xml:space="preserve"> 43</w:t>
      </w:r>
      <w:r w:rsidRPr="00FE29D8">
        <w:rPr>
          <w:b/>
        </w:rPr>
        <w:t>,</w:t>
      </w:r>
      <w:r w:rsidRPr="00FE29D8">
        <w:t xml:space="preserve"> e37. doi: 10.1093/nar/gku1341.</w:t>
      </w:r>
    </w:p>
    <w:p w14:paraId="5EB2F34E" w14:textId="77777777" w:rsidR="00FE29D8" w:rsidRPr="00FE29D8" w:rsidRDefault="00FE29D8" w:rsidP="00FE29D8">
      <w:pPr>
        <w:pStyle w:val="EndNoteBibliography"/>
        <w:spacing w:after="0"/>
        <w:ind w:left="720" w:hanging="720"/>
      </w:pPr>
      <w:r w:rsidRPr="00FE29D8">
        <w:lastRenderedPageBreak/>
        <w:t xml:space="preserve">Shetty, S.A., Hugenholtz, F., Lahti, L., Smidt, H., and De Vos, W.M. (2017). Intestinal microbiome landscaping: insight in community assemblage and implications for microbial modulation strategies. </w:t>
      </w:r>
      <w:r w:rsidRPr="00FE29D8">
        <w:rPr>
          <w:i/>
        </w:rPr>
        <w:t>FEMS microbiology reviews</w:t>
      </w:r>
      <w:r w:rsidRPr="00FE29D8">
        <w:t xml:space="preserve"> 41</w:t>
      </w:r>
      <w:r w:rsidRPr="00FE29D8">
        <w:rPr>
          <w:b/>
        </w:rPr>
        <w:t>,</w:t>
      </w:r>
      <w:r w:rsidRPr="00FE29D8">
        <w:t xml:space="preserve"> 182-199.</w:t>
      </w:r>
    </w:p>
    <w:p w14:paraId="122CE4E2" w14:textId="77777777" w:rsidR="00FE29D8" w:rsidRPr="00FE29D8" w:rsidRDefault="00FE29D8" w:rsidP="00FE29D8">
      <w:pPr>
        <w:pStyle w:val="EndNoteBibliography"/>
        <w:ind w:left="720" w:hanging="720"/>
      </w:pPr>
      <w:r w:rsidRPr="00FE29D8">
        <w:t xml:space="preserve">Taylor, M. (2014). </w:t>
      </w:r>
      <w:r w:rsidRPr="00FE29D8">
        <w:rPr>
          <w:i/>
        </w:rPr>
        <w:t xml:space="preserve">sinkr: A collection of functions featured on the blog 'me nugget' </w:t>
      </w:r>
      <w:r w:rsidRPr="00FE29D8">
        <w:t>[Online]. Available: https://github.com/menugget/sinkr [Accessed].</w:t>
      </w:r>
    </w:p>
    <w:p w14:paraId="5F557B01" w14:textId="77777777" w:rsidR="000338B8" w:rsidRDefault="00FE29D8">
      <w:r>
        <w:fldChar w:fldCharType="end"/>
      </w:r>
    </w:p>
    <w:sectPr w:rsidR="000338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Frontiers-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d9vstty2fxskeetsp555vkad9sr9rvss9e&quot;&gt;ozan-Converted2-Saved&lt;record-ids&gt;&lt;item&gt;13238&lt;/item&gt;&lt;item&gt;13239&lt;/item&gt;&lt;item&gt;13240&lt;/item&gt;&lt;item&gt;13242&lt;/item&gt;&lt;item&gt;13243&lt;/item&gt;&lt;item&gt;13244&lt;/item&gt;&lt;item&gt;13245&lt;/item&gt;&lt;item&gt;13246&lt;/item&gt;&lt;item&gt;13247&lt;/item&gt;&lt;item&gt;13252&lt;/item&gt;&lt;item&gt;13257&lt;/item&gt;&lt;item&gt;13259&lt;/item&gt;&lt;item&gt;13265&lt;/item&gt;&lt;item&gt;13462&lt;/item&gt;&lt;item&gt;13511&lt;/item&gt;&lt;item&gt;13512&lt;/item&gt;&lt;item&gt;13520&lt;/item&gt;&lt;item&gt;13521&lt;/item&gt;&lt;item&gt;13522&lt;/item&gt;&lt;item&gt;13523&lt;/item&gt;&lt;item&gt;13524&lt;/item&gt;&lt;item&gt;13525&lt;/item&gt;&lt;item&gt;13526&lt;/item&gt;&lt;/record-ids&gt;&lt;/item&gt;&lt;/Libraries&gt;"/>
  </w:docVars>
  <w:rsids>
    <w:rsidRoot w:val="00FE29D8"/>
    <w:rsid w:val="000338B8"/>
    <w:rsid w:val="00416FF9"/>
    <w:rsid w:val="00CC7AB8"/>
    <w:rsid w:val="00FE2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43EF"/>
  <w15:chartTrackingRefBased/>
  <w15:docId w15:val="{3F08AC5B-39C4-4CD4-8628-CC437BA2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E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29D8"/>
    <w:rPr>
      <w:color w:val="0000FF"/>
      <w:u w:val="single"/>
    </w:rPr>
  </w:style>
  <w:style w:type="paragraph" w:customStyle="1" w:styleId="xmsonormal">
    <w:name w:val="x_msonormal"/>
    <w:basedOn w:val="Normal"/>
    <w:rsid w:val="00FE29D8"/>
    <w:pPr>
      <w:spacing w:before="100" w:beforeAutospacing="1" w:after="100" w:afterAutospacing="1" w:line="240" w:lineRule="auto"/>
    </w:pPr>
    <w:rPr>
      <w:rFonts w:ascii="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FE29D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E29D8"/>
    <w:rPr>
      <w:rFonts w:ascii="Calibri" w:hAnsi="Calibri" w:cs="Calibri"/>
      <w:noProof/>
      <w:lang w:val="en-US"/>
    </w:rPr>
  </w:style>
  <w:style w:type="paragraph" w:customStyle="1" w:styleId="EndNoteBibliography">
    <w:name w:val="EndNote Bibliography"/>
    <w:basedOn w:val="Normal"/>
    <w:link w:val="EndNoteBibliographyChar"/>
    <w:rsid w:val="00FE29D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E29D8"/>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github.com/torognes/vsearch/wiki/VSEARCH-pipeline" TargetMode="External"/><Relationship Id="rId5" Type="http://schemas.openxmlformats.org/officeDocument/2006/relationships/hyperlink" Target="https://www.mothur.org/w/images/f/f1/Silva.gold.bacteria.zip" TargetMode="External"/><Relationship Id="rId6" Type="http://schemas.openxmlformats.org/officeDocument/2006/relationships/hyperlink" Target="http://www.sthda.com/english/articles/37-model-selection-essentials-in-r/155-best-subsets-regression-essentials-in-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5574</Words>
  <Characters>31773</Characters>
  <Application>Microsoft Macintosh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Gundogdu</dc:creator>
  <cp:keywords/>
  <dc:description/>
  <cp:lastModifiedBy>Ozan Gundogdu</cp:lastModifiedBy>
  <cp:revision>3</cp:revision>
  <dcterms:created xsi:type="dcterms:W3CDTF">2020-03-02T16:14:00Z</dcterms:created>
  <dcterms:modified xsi:type="dcterms:W3CDTF">2020-05-08T14:04:00Z</dcterms:modified>
</cp:coreProperties>
</file>