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C7F" w:rsidRDefault="00031C7F" w:rsidP="00031C7F">
      <w:pPr>
        <w:rPr>
          <w:b/>
          <w:sz w:val="24"/>
          <w:szCs w:val="24"/>
        </w:rPr>
      </w:pPr>
      <w:bookmarkStart w:id="0" w:name="_GoBack"/>
      <w:bookmarkEnd w:id="0"/>
    </w:p>
    <w:p w:rsidR="00031C7F" w:rsidRDefault="00031C7F" w:rsidP="00031C7F">
      <w:pPr>
        <w:spacing w:line="480" w:lineRule="auto"/>
        <w:rPr>
          <w:b/>
          <w:sz w:val="24"/>
          <w:szCs w:val="24"/>
        </w:rPr>
      </w:pPr>
      <w:r w:rsidRPr="004E3D4C">
        <w:rPr>
          <w:b/>
          <w:noProof/>
          <w:sz w:val="24"/>
          <w:szCs w:val="24"/>
        </w:rPr>
        <w:drawing>
          <wp:inline distT="0" distB="0" distL="0" distR="0" wp14:anchorId="4F790A6A" wp14:editId="71915F65">
            <wp:extent cx="4529328" cy="74107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1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0177" cy="7412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C7F" w:rsidRPr="009C64BA" w:rsidRDefault="00031C7F" w:rsidP="00031C7F">
      <w:pPr>
        <w:spacing w:line="480" w:lineRule="auto"/>
        <w:rPr>
          <w:b/>
          <w:sz w:val="24"/>
          <w:szCs w:val="24"/>
        </w:rPr>
      </w:pPr>
      <w:r w:rsidRPr="009C64BA">
        <w:rPr>
          <w:rFonts w:hint="eastAsia"/>
          <w:b/>
          <w:sz w:val="24"/>
          <w:szCs w:val="24"/>
        </w:rPr>
        <w:lastRenderedPageBreak/>
        <w:t xml:space="preserve">Figure S1. </w:t>
      </w:r>
      <w:r w:rsidRPr="00E00294">
        <w:rPr>
          <w:b/>
          <w:sz w:val="24"/>
          <w:szCs w:val="24"/>
        </w:rPr>
        <w:t xml:space="preserve">The largest separation between bacterial communities is spatial proximity to the root as revealed by </w:t>
      </w:r>
      <w:proofErr w:type="spellStart"/>
      <w:r w:rsidRPr="00E00294">
        <w:rPr>
          <w:b/>
          <w:sz w:val="24"/>
          <w:szCs w:val="24"/>
        </w:rPr>
        <w:t>PCoA</w:t>
      </w:r>
      <w:proofErr w:type="spellEnd"/>
      <w:r w:rsidRPr="00E00294">
        <w:rPr>
          <w:b/>
          <w:sz w:val="24"/>
          <w:szCs w:val="24"/>
        </w:rPr>
        <w:t xml:space="preserve"> plot</w:t>
      </w:r>
      <w:r>
        <w:rPr>
          <w:b/>
          <w:sz w:val="24"/>
          <w:szCs w:val="24"/>
        </w:rPr>
        <w:t>ted</w:t>
      </w:r>
      <w:r w:rsidRPr="00E00294">
        <w:rPr>
          <w:b/>
          <w:sz w:val="24"/>
          <w:szCs w:val="24"/>
        </w:rPr>
        <w:t xml:space="preserve"> from </w:t>
      </w:r>
      <w:proofErr w:type="spellStart"/>
      <w:r w:rsidRPr="00E00294">
        <w:rPr>
          <w:b/>
          <w:sz w:val="24"/>
          <w:szCs w:val="24"/>
        </w:rPr>
        <w:t>wUniFrac</w:t>
      </w:r>
      <w:proofErr w:type="spellEnd"/>
      <w:r w:rsidRPr="00E00294">
        <w:rPr>
          <w:b/>
          <w:sz w:val="24"/>
          <w:szCs w:val="24"/>
        </w:rPr>
        <w:t xml:space="preserve"> metrics</w:t>
      </w:r>
      <w:r>
        <w:rPr>
          <w:b/>
          <w:sz w:val="24"/>
          <w:szCs w:val="24"/>
        </w:rPr>
        <w:t xml:space="preserve"> </w:t>
      </w:r>
      <w:r w:rsidRPr="009C64BA">
        <w:rPr>
          <w:b/>
          <w:sz w:val="24"/>
          <w:szCs w:val="24"/>
        </w:rPr>
        <w:t xml:space="preserve">(Related to Figure 1) </w:t>
      </w:r>
      <w:r w:rsidRPr="009C64BA">
        <w:rPr>
          <w:b/>
          <w:sz w:val="24"/>
          <w:szCs w:val="24"/>
        </w:rPr>
        <w:br w:type="page"/>
      </w:r>
    </w:p>
    <w:p w:rsidR="00031C7F" w:rsidRPr="009C64BA" w:rsidRDefault="00031C7F" w:rsidP="00031C7F">
      <w:pPr>
        <w:spacing w:line="480" w:lineRule="auto"/>
        <w:rPr>
          <w:szCs w:val="24"/>
        </w:rPr>
      </w:pPr>
      <w:r w:rsidRPr="009C64BA">
        <w:rPr>
          <w:noProof/>
          <w:szCs w:val="24"/>
        </w:rPr>
        <w:lastRenderedPageBreak/>
        <w:drawing>
          <wp:inline distT="0" distB="0" distL="0" distR="0" wp14:anchorId="71058C31" wp14:editId="7CE02038">
            <wp:extent cx="3816096" cy="8071104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 S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096" cy="807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C7F" w:rsidRPr="009C64BA" w:rsidRDefault="00031C7F" w:rsidP="00031C7F">
      <w:pPr>
        <w:spacing w:line="480" w:lineRule="auto"/>
        <w:rPr>
          <w:b/>
          <w:sz w:val="24"/>
          <w:szCs w:val="24"/>
        </w:rPr>
      </w:pPr>
      <w:r w:rsidRPr="009C64BA">
        <w:rPr>
          <w:rFonts w:hint="eastAsia"/>
          <w:b/>
          <w:sz w:val="24"/>
          <w:szCs w:val="24"/>
        </w:rPr>
        <w:lastRenderedPageBreak/>
        <w:t>Figure S</w:t>
      </w:r>
      <w:r>
        <w:rPr>
          <w:b/>
          <w:sz w:val="24"/>
          <w:szCs w:val="24"/>
        </w:rPr>
        <w:t>2</w:t>
      </w:r>
      <w:r w:rsidRPr="009C64BA">
        <w:rPr>
          <w:rFonts w:hint="eastAsia"/>
          <w:b/>
          <w:sz w:val="24"/>
          <w:szCs w:val="24"/>
        </w:rPr>
        <w:t xml:space="preserve">. </w:t>
      </w:r>
      <w:r w:rsidRPr="009C64BA">
        <w:rPr>
          <w:b/>
          <w:sz w:val="24"/>
          <w:szCs w:val="24"/>
        </w:rPr>
        <w:t>Microbe richness in different compartments reflects the selectivity of plants on root-associated microbes (Related to Figure 1)</w:t>
      </w:r>
      <w:r w:rsidRPr="009C64BA">
        <w:rPr>
          <w:b/>
          <w:sz w:val="24"/>
          <w:szCs w:val="24"/>
        </w:rPr>
        <w:br w:type="page"/>
      </w:r>
    </w:p>
    <w:p w:rsidR="00031C7F" w:rsidRPr="009C64BA" w:rsidRDefault="00031C7F" w:rsidP="00031C7F">
      <w:pPr>
        <w:spacing w:line="480" w:lineRule="auto"/>
        <w:rPr>
          <w:szCs w:val="24"/>
        </w:rPr>
      </w:pPr>
      <w:r w:rsidRPr="009C64BA">
        <w:rPr>
          <w:noProof/>
          <w:szCs w:val="24"/>
        </w:rPr>
        <w:lastRenderedPageBreak/>
        <w:drawing>
          <wp:inline distT="0" distB="0" distL="0" distR="0" wp14:anchorId="3D40FE41" wp14:editId="0166CB79">
            <wp:extent cx="5274310" cy="668845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ig S2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8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C7F" w:rsidRPr="009C64BA" w:rsidRDefault="00031C7F" w:rsidP="00031C7F">
      <w:pPr>
        <w:spacing w:line="480" w:lineRule="auto"/>
        <w:rPr>
          <w:szCs w:val="24"/>
        </w:rPr>
      </w:pPr>
      <w:r w:rsidRPr="009C64BA">
        <w:rPr>
          <w:rFonts w:hint="eastAsia"/>
          <w:b/>
          <w:sz w:val="24"/>
          <w:szCs w:val="24"/>
        </w:rPr>
        <w:t>Figure S</w:t>
      </w:r>
      <w:r>
        <w:rPr>
          <w:b/>
          <w:sz w:val="24"/>
          <w:szCs w:val="24"/>
        </w:rPr>
        <w:t>3</w:t>
      </w:r>
      <w:r w:rsidRPr="009C64BA">
        <w:rPr>
          <w:rFonts w:hint="eastAsia"/>
          <w:b/>
          <w:sz w:val="24"/>
          <w:szCs w:val="24"/>
        </w:rPr>
        <w:t xml:space="preserve">. </w:t>
      </w:r>
      <w:r w:rsidRPr="009C64BA">
        <w:rPr>
          <w:b/>
          <w:sz w:val="24"/>
          <w:szCs w:val="24"/>
        </w:rPr>
        <w:t>Taxonomic structure of Abundant Community members (ACM) is affected by compartments and plant genotype (Related to Figure 1)</w:t>
      </w:r>
    </w:p>
    <w:p w:rsidR="00031C7F" w:rsidRPr="009C64BA" w:rsidRDefault="00031C7F" w:rsidP="00031C7F">
      <w:pPr>
        <w:spacing w:line="480" w:lineRule="auto"/>
        <w:rPr>
          <w:szCs w:val="24"/>
        </w:rPr>
      </w:pPr>
      <w:r w:rsidRPr="009C64BA">
        <w:rPr>
          <w:noProof/>
          <w:szCs w:val="24"/>
        </w:rPr>
        <w:lastRenderedPageBreak/>
        <w:drawing>
          <wp:inline distT="0" distB="0" distL="0" distR="0" wp14:anchorId="5F989BD9" wp14:editId="7C9FCB31">
            <wp:extent cx="5274310" cy="767270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ig S3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7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C7F" w:rsidRPr="009C64BA" w:rsidRDefault="00031C7F" w:rsidP="00031C7F">
      <w:pPr>
        <w:spacing w:line="480" w:lineRule="auto"/>
        <w:rPr>
          <w:szCs w:val="24"/>
        </w:rPr>
      </w:pPr>
      <w:r w:rsidRPr="009C64BA">
        <w:rPr>
          <w:rFonts w:hint="eastAsia"/>
          <w:b/>
          <w:sz w:val="24"/>
          <w:szCs w:val="24"/>
        </w:rPr>
        <w:t>Figure S</w:t>
      </w:r>
      <w:r>
        <w:rPr>
          <w:b/>
          <w:sz w:val="24"/>
          <w:szCs w:val="24"/>
        </w:rPr>
        <w:t>4</w:t>
      </w:r>
      <w:r w:rsidRPr="009C64BA">
        <w:rPr>
          <w:rFonts w:hint="eastAsia"/>
          <w:b/>
          <w:sz w:val="24"/>
          <w:szCs w:val="24"/>
        </w:rPr>
        <w:t xml:space="preserve">. The </w:t>
      </w:r>
      <w:r w:rsidRPr="009C64BA">
        <w:rPr>
          <w:rFonts w:hint="eastAsia"/>
          <w:b/>
          <w:i/>
          <w:sz w:val="24"/>
          <w:szCs w:val="24"/>
        </w:rPr>
        <w:t>dcl234</w:t>
      </w:r>
      <w:r w:rsidRPr="009C64BA">
        <w:rPr>
          <w:rFonts w:hint="eastAsia"/>
          <w:b/>
          <w:sz w:val="24"/>
          <w:szCs w:val="24"/>
        </w:rPr>
        <w:t xml:space="preserve"> </w:t>
      </w:r>
      <w:r w:rsidRPr="009C64BA">
        <w:rPr>
          <w:b/>
          <w:sz w:val="24"/>
          <w:szCs w:val="24"/>
        </w:rPr>
        <w:t xml:space="preserve">triple </w:t>
      </w:r>
      <w:r w:rsidRPr="009C64BA">
        <w:rPr>
          <w:rFonts w:hint="eastAsia"/>
          <w:b/>
          <w:sz w:val="24"/>
          <w:szCs w:val="24"/>
        </w:rPr>
        <w:t xml:space="preserve">mutation </w:t>
      </w:r>
      <w:r w:rsidRPr="009C64BA">
        <w:rPr>
          <w:b/>
          <w:sz w:val="24"/>
          <w:szCs w:val="24"/>
        </w:rPr>
        <w:t xml:space="preserve">alters Arabidopsis root </w:t>
      </w:r>
      <w:proofErr w:type="spellStart"/>
      <w:r w:rsidRPr="009C64BA">
        <w:rPr>
          <w:b/>
          <w:sz w:val="24"/>
          <w:szCs w:val="24"/>
        </w:rPr>
        <w:t>microbiota</w:t>
      </w:r>
      <w:proofErr w:type="spellEnd"/>
      <w:r w:rsidRPr="009C64BA">
        <w:rPr>
          <w:b/>
          <w:sz w:val="24"/>
          <w:szCs w:val="24"/>
        </w:rPr>
        <w:t xml:space="preserve"> (Related to Figure 1)</w:t>
      </w:r>
    </w:p>
    <w:p w:rsidR="00031C7F" w:rsidRPr="009C64BA" w:rsidRDefault="00031C7F" w:rsidP="00031C7F">
      <w:pPr>
        <w:spacing w:line="480" w:lineRule="auto"/>
        <w:rPr>
          <w:szCs w:val="24"/>
        </w:rPr>
      </w:pPr>
      <w:r w:rsidRPr="009C64BA">
        <w:rPr>
          <w:noProof/>
          <w:szCs w:val="24"/>
        </w:rPr>
        <w:lastRenderedPageBreak/>
        <w:drawing>
          <wp:inline distT="0" distB="0" distL="0" distR="0" wp14:anchorId="194309AB" wp14:editId="3BD6AA21">
            <wp:extent cx="5248656" cy="418795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 S4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656" cy="418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C7F" w:rsidRPr="009C64BA" w:rsidRDefault="00031C7F" w:rsidP="00031C7F">
      <w:pPr>
        <w:spacing w:line="480" w:lineRule="auto"/>
        <w:rPr>
          <w:b/>
          <w:sz w:val="24"/>
          <w:szCs w:val="24"/>
        </w:rPr>
      </w:pPr>
      <w:r w:rsidRPr="009C64BA">
        <w:rPr>
          <w:rFonts w:hint="eastAsia"/>
          <w:b/>
          <w:sz w:val="24"/>
          <w:szCs w:val="24"/>
        </w:rPr>
        <w:t>Figure S</w:t>
      </w:r>
      <w:r>
        <w:rPr>
          <w:b/>
          <w:sz w:val="24"/>
          <w:szCs w:val="24"/>
        </w:rPr>
        <w:t>5</w:t>
      </w:r>
      <w:r w:rsidRPr="009C64BA">
        <w:rPr>
          <w:rFonts w:hint="eastAsia"/>
          <w:b/>
          <w:sz w:val="24"/>
          <w:szCs w:val="24"/>
        </w:rPr>
        <w:t xml:space="preserve">. </w:t>
      </w:r>
      <w:r w:rsidRPr="009C64BA">
        <w:rPr>
          <w:b/>
          <w:sz w:val="24"/>
          <w:szCs w:val="24"/>
        </w:rPr>
        <w:t>Read counts of the metagenomic sequencing.</w:t>
      </w:r>
    </w:p>
    <w:p w:rsidR="00031C7F" w:rsidRPr="009C64BA" w:rsidRDefault="00031C7F" w:rsidP="00031C7F">
      <w:pPr>
        <w:spacing w:line="480" w:lineRule="auto"/>
        <w:rPr>
          <w:szCs w:val="24"/>
        </w:rPr>
      </w:pPr>
      <w:r w:rsidRPr="009C64BA">
        <w:rPr>
          <w:b/>
          <w:sz w:val="24"/>
          <w:szCs w:val="24"/>
        </w:rPr>
        <w:lastRenderedPageBreak/>
        <w:t xml:space="preserve"> </w:t>
      </w:r>
      <w:r w:rsidRPr="009C64BA">
        <w:rPr>
          <w:noProof/>
          <w:szCs w:val="24"/>
        </w:rPr>
        <w:drawing>
          <wp:inline distT="0" distB="0" distL="0" distR="0" wp14:anchorId="354998FE" wp14:editId="637F1C6B">
            <wp:extent cx="5108448" cy="7699248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ig S5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8448" cy="769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C7F" w:rsidRPr="009C64BA" w:rsidRDefault="00031C7F" w:rsidP="00031C7F">
      <w:pPr>
        <w:spacing w:line="480" w:lineRule="auto"/>
        <w:rPr>
          <w:b/>
          <w:sz w:val="24"/>
          <w:szCs w:val="24"/>
        </w:rPr>
      </w:pPr>
      <w:r w:rsidRPr="009C64BA">
        <w:rPr>
          <w:rFonts w:hint="eastAsia"/>
          <w:b/>
          <w:sz w:val="24"/>
          <w:szCs w:val="24"/>
        </w:rPr>
        <w:lastRenderedPageBreak/>
        <w:t>Figure S</w:t>
      </w:r>
      <w:r>
        <w:rPr>
          <w:b/>
          <w:sz w:val="24"/>
          <w:szCs w:val="24"/>
        </w:rPr>
        <w:t>6</w:t>
      </w:r>
      <w:r w:rsidRPr="009C64BA">
        <w:rPr>
          <w:rFonts w:hint="eastAsia"/>
          <w:b/>
          <w:sz w:val="24"/>
          <w:szCs w:val="24"/>
        </w:rPr>
        <w:t xml:space="preserve">. The </w:t>
      </w:r>
      <w:r w:rsidRPr="009C64BA">
        <w:rPr>
          <w:rFonts w:hint="eastAsia"/>
          <w:b/>
          <w:i/>
          <w:sz w:val="24"/>
          <w:szCs w:val="24"/>
        </w:rPr>
        <w:t>dcl234</w:t>
      </w:r>
      <w:r w:rsidRPr="009C64BA">
        <w:rPr>
          <w:rFonts w:hint="eastAsia"/>
          <w:b/>
          <w:sz w:val="24"/>
          <w:szCs w:val="24"/>
        </w:rPr>
        <w:t xml:space="preserve"> triple mutation cause</w:t>
      </w:r>
      <w:r w:rsidRPr="009C64BA">
        <w:rPr>
          <w:b/>
          <w:sz w:val="24"/>
          <w:szCs w:val="24"/>
        </w:rPr>
        <w:t>s alterations in Arabidopsis defense-related processes (Related to Figure 2)</w:t>
      </w:r>
    </w:p>
    <w:p w:rsidR="00031C7F" w:rsidRPr="009C64BA" w:rsidRDefault="00031C7F" w:rsidP="00031C7F">
      <w:pPr>
        <w:spacing w:line="480" w:lineRule="auto"/>
        <w:rPr>
          <w:szCs w:val="24"/>
        </w:rPr>
      </w:pPr>
      <w:r w:rsidRPr="009C64BA">
        <w:rPr>
          <w:noProof/>
          <w:szCs w:val="24"/>
        </w:rPr>
        <w:lastRenderedPageBreak/>
        <w:drawing>
          <wp:inline distT="0" distB="0" distL="0" distR="0" wp14:anchorId="1E720E0A" wp14:editId="18914EF5">
            <wp:extent cx="5090160" cy="7522464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Fig S6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160" cy="752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C7F" w:rsidRPr="009C64BA" w:rsidRDefault="00031C7F" w:rsidP="00031C7F">
      <w:pPr>
        <w:spacing w:line="480" w:lineRule="auto"/>
        <w:rPr>
          <w:b/>
          <w:sz w:val="24"/>
          <w:szCs w:val="24"/>
        </w:rPr>
      </w:pPr>
      <w:r w:rsidRPr="009C64BA">
        <w:rPr>
          <w:rFonts w:hint="eastAsia"/>
          <w:b/>
          <w:sz w:val="24"/>
          <w:szCs w:val="24"/>
        </w:rPr>
        <w:lastRenderedPageBreak/>
        <w:t>Figure S</w:t>
      </w:r>
      <w:r>
        <w:rPr>
          <w:b/>
          <w:sz w:val="24"/>
          <w:szCs w:val="24"/>
        </w:rPr>
        <w:t>7</w:t>
      </w:r>
      <w:r w:rsidRPr="009C64BA">
        <w:rPr>
          <w:rFonts w:hint="eastAsia"/>
          <w:b/>
          <w:sz w:val="24"/>
          <w:szCs w:val="24"/>
        </w:rPr>
        <w:t xml:space="preserve">. The </w:t>
      </w:r>
      <w:r w:rsidRPr="009C64BA">
        <w:rPr>
          <w:rFonts w:hint="eastAsia"/>
          <w:b/>
          <w:i/>
          <w:sz w:val="24"/>
          <w:szCs w:val="24"/>
        </w:rPr>
        <w:t>dcl234</w:t>
      </w:r>
      <w:r w:rsidRPr="009C64BA">
        <w:rPr>
          <w:rFonts w:hint="eastAsia"/>
          <w:b/>
          <w:sz w:val="24"/>
          <w:szCs w:val="24"/>
        </w:rPr>
        <w:t xml:space="preserve"> </w:t>
      </w:r>
      <w:r w:rsidRPr="009C64BA">
        <w:rPr>
          <w:b/>
          <w:sz w:val="24"/>
          <w:szCs w:val="24"/>
        </w:rPr>
        <w:t xml:space="preserve">mutant shows both decreased and increased accumulation of different </w:t>
      </w:r>
      <w:proofErr w:type="spellStart"/>
      <w:r w:rsidRPr="009C64BA">
        <w:rPr>
          <w:b/>
          <w:sz w:val="24"/>
          <w:szCs w:val="24"/>
        </w:rPr>
        <w:t>sRNAs</w:t>
      </w:r>
      <w:proofErr w:type="spellEnd"/>
      <w:r w:rsidRPr="009C64BA">
        <w:rPr>
          <w:b/>
          <w:sz w:val="24"/>
          <w:szCs w:val="24"/>
        </w:rPr>
        <w:t xml:space="preserve"> (Related to Figure 3)</w:t>
      </w:r>
    </w:p>
    <w:p w:rsidR="00031C7F" w:rsidRPr="009C64BA" w:rsidRDefault="00031C7F" w:rsidP="00031C7F">
      <w:pPr>
        <w:spacing w:line="480" w:lineRule="auto"/>
        <w:rPr>
          <w:szCs w:val="24"/>
        </w:rPr>
      </w:pPr>
      <w:r w:rsidRPr="009C64BA">
        <w:rPr>
          <w:noProof/>
          <w:szCs w:val="24"/>
        </w:rPr>
        <w:drawing>
          <wp:inline distT="0" distB="0" distL="0" distR="0" wp14:anchorId="198EBEC2" wp14:editId="1438E355">
            <wp:extent cx="4949952" cy="5096256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ig S7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9952" cy="509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C7F" w:rsidRPr="009C64BA" w:rsidRDefault="00031C7F" w:rsidP="00031C7F">
      <w:pPr>
        <w:spacing w:line="480" w:lineRule="auto"/>
        <w:rPr>
          <w:b/>
          <w:sz w:val="24"/>
          <w:szCs w:val="24"/>
        </w:rPr>
      </w:pPr>
      <w:r w:rsidRPr="009C64BA">
        <w:rPr>
          <w:rFonts w:hint="eastAsia"/>
          <w:b/>
          <w:sz w:val="24"/>
          <w:szCs w:val="24"/>
        </w:rPr>
        <w:t>Figure S</w:t>
      </w:r>
      <w:r>
        <w:rPr>
          <w:b/>
          <w:sz w:val="24"/>
          <w:szCs w:val="24"/>
        </w:rPr>
        <w:t>8</w:t>
      </w:r>
      <w:r w:rsidRPr="009C64BA">
        <w:rPr>
          <w:rFonts w:hint="eastAsia"/>
          <w:b/>
          <w:sz w:val="24"/>
          <w:szCs w:val="24"/>
        </w:rPr>
        <w:t xml:space="preserve">. </w:t>
      </w:r>
      <w:r w:rsidRPr="009C64BA">
        <w:rPr>
          <w:b/>
          <w:sz w:val="24"/>
          <w:szCs w:val="24"/>
        </w:rPr>
        <w:t xml:space="preserve">The </w:t>
      </w:r>
      <w:r w:rsidRPr="009C64BA">
        <w:rPr>
          <w:b/>
          <w:i/>
          <w:sz w:val="24"/>
          <w:szCs w:val="24"/>
        </w:rPr>
        <w:t>dcl234</w:t>
      </w:r>
      <w:r w:rsidRPr="009C64BA">
        <w:rPr>
          <w:b/>
          <w:sz w:val="24"/>
          <w:szCs w:val="24"/>
        </w:rPr>
        <w:t xml:space="preserve"> mutant shows altered expression of cell wall-associated genes (Related to Figure 4)</w:t>
      </w:r>
    </w:p>
    <w:p w:rsidR="00031C7F" w:rsidRPr="009C64BA" w:rsidRDefault="00031C7F" w:rsidP="00031C7F">
      <w:pPr>
        <w:spacing w:line="480" w:lineRule="auto"/>
        <w:rPr>
          <w:szCs w:val="24"/>
        </w:rPr>
      </w:pPr>
      <w:r w:rsidRPr="009C64BA">
        <w:rPr>
          <w:noProof/>
          <w:szCs w:val="24"/>
        </w:rPr>
        <w:lastRenderedPageBreak/>
        <w:drawing>
          <wp:inline distT="0" distB="0" distL="0" distR="0" wp14:anchorId="6575F8F6" wp14:editId="79DCE156">
            <wp:extent cx="5274310" cy="624078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Fig S8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4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C7F" w:rsidRPr="009C64BA" w:rsidRDefault="00031C7F" w:rsidP="00031C7F">
      <w:pPr>
        <w:spacing w:line="480" w:lineRule="auto"/>
        <w:rPr>
          <w:b/>
          <w:sz w:val="24"/>
          <w:szCs w:val="24"/>
        </w:rPr>
      </w:pPr>
      <w:r w:rsidRPr="009C64BA">
        <w:rPr>
          <w:rFonts w:hint="eastAsia"/>
          <w:b/>
          <w:sz w:val="24"/>
          <w:szCs w:val="24"/>
        </w:rPr>
        <w:t>Figure S</w:t>
      </w:r>
      <w:r>
        <w:rPr>
          <w:b/>
          <w:sz w:val="24"/>
          <w:szCs w:val="24"/>
        </w:rPr>
        <w:t>9</w:t>
      </w:r>
      <w:r w:rsidRPr="009C64BA">
        <w:rPr>
          <w:rFonts w:hint="eastAsia"/>
          <w:b/>
          <w:sz w:val="24"/>
          <w:szCs w:val="24"/>
        </w:rPr>
        <w:t xml:space="preserve">. </w:t>
      </w:r>
      <w:r w:rsidRPr="009C64BA">
        <w:rPr>
          <w:b/>
          <w:sz w:val="24"/>
          <w:szCs w:val="24"/>
        </w:rPr>
        <w:t xml:space="preserve">The </w:t>
      </w:r>
      <w:r w:rsidRPr="009C64BA">
        <w:rPr>
          <w:b/>
          <w:i/>
          <w:sz w:val="24"/>
          <w:szCs w:val="24"/>
        </w:rPr>
        <w:t>dcl234</w:t>
      </w:r>
      <w:r w:rsidRPr="009C64BA">
        <w:rPr>
          <w:b/>
          <w:sz w:val="24"/>
          <w:szCs w:val="24"/>
        </w:rPr>
        <w:t xml:space="preserve"> mutant shows altered transcription regulation of metabolism that potentially connects to alterations in root exudates (Related to Table 2)</w:t>
      </w:r>
    </w:p>
    <w:p w:rsidR="0047448B" w:rsidRDefault="0047448B"/>
    <w:sectPr w:rsidR="004744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C7F"/>
    <w:rsid w:val="00031C7F"/>
    <w:rsid w:val="00091A27"/>
    <w:rsid w:val="0047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1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1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13" Type="http://schemas.openxmlformats.org/officeDocument/2006/relationships/image" Target="media/image9.tif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12" Type="http://schemas.openxmlformats.org/officeDocument/2006/relationships/image" Target="media/image8.t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"/><Relationship Id="rId11" Type="http://schemas.openxmlformats.org/officeDocument/2006/relationships/image" Target="media/image7.tif"/><Relationship Id="rId5" Type="http://schemas.openxmlformats.org/officeDocument/2006/relationships/image" Target="media/image1.tif"/><Relationship Id="rId15" Type="http://schemas.openxmlformats.org/officeDocument/2006/relationships/theme" Target="theme/theme1.xml"/><Relationship Id="rId10" Type="http://schemas.openxmlformats.org/officeDocument/2006/relationships/image" Target="media/image6.tif"/><Relationship Id="rId4" Type="http://schemas.openxmlformats.org/officeDocument/2006/relationships/webSettings" Target="webSettings.xml"/><Relationship Id="rId9" Type="http://schemas.openxmlformats.org/officeDocument/2006/relationships/image" Target="media/image5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168</Words>
  <Characters>954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2021-01-25T07:47:00Z</dcterms:created>
  <dcterms:modified xsi:type="dcterms:W3CDTF">2021-01-25T07:48:00Z</dcterms:modified>
</cp:coreProperties>
</file>