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2.png" ContentType="image/png"/>
  <Override PartName="/word/media/image1.png" ContentType="image/png"/>
  <Override PartName="/word/media/image4.png" ContentType="image/png"/>
  <Override PartName="/word/media/image3.png" ContentType="image/png"/>
  <Override PartName="/word/header1.xml" ContentType="application/vnd.openxmlformats-officedocument.wordprocessingml.head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widowControl w:val="false"/>
        <w:spacing w:lineRule="auto" w:line="480"/>
        <w:rPr/>
      </w:pPr>
      <w:r>
        <w:rPr>
          <w:rFonts w:cs="Calibri" w:ascii="Calibri" w:hAnsi="Calibri"/>
          <w:lang w:val="en-CA"/>
        </w:rPr>
        <w:t xml:space="preserve">Supporting Information </w:t>
      </w:r>
    </w:p>
    <w:p>
      <w:pPr>
        <w:pStyle w:val="Normal"/>
        <w:rPr/>
      </w:pPr>
      <w:r>
        <w:rPr>
          <w:rFonts w:cs="Calibri" w:ascii="Calibri" w:hAnsi="Calibri"/>
        </w:rPr>
        <w:t>Article title: The bacterial communities of Alaskan mosses and their contributions to N</w:t>
      </w:r>
      <w:r>
        <w:rPr>
          <w:rFonts w:cs="Calibri" w:ascii="Calibri" w:hAnsi="Calibri"/>
          <w:vertAlign w:val="subscript"/>
        </w:rPr>
        <w:t>2</w:t>
      </w:r>
      <w:r>
        <w:rPr>
          <w:rFonts w:cs="Calibri" w:ascii="Calibri" w:hAnsi="Calibri"/>
        </w:rPr>
        <w:t>-fixation</w:t>
      </w:r>
    </w:p>
    <w:p>
      <w:pPr>
        <w:pStyle w:val="Normal"/>
        <w:rPr/>
      </w:pPr>
      <w:r>
        <w:rPr>
          <w:rFonts w:cs="Calibri" w:ascii="Calibri" w:hAnsi="Calibri"/>
        </w:rPr>
        <w:t>Authors: Hannah Holland-Moritz, Julia E. M. Stuart, Lily R. Lewis, Samantha N. Miller, Michelle C. Mack, Jose Miguel Ponciano, Stuart F. McDaniel, Noah Fierer</w:t>
      </w:r>
    </w:p>
    <w:p>
      <w:pPr>
        <w:pStyle w:val="Normal"/>
        <w:rPr/>
      </w:pPr>
      <w:r>
        <w:rPr>
          <w:rFonts w:cs="Calibri" w:ascii="Calibri" w:hAnsi="Calibri"/>
        </w:rPr>
        <w:t xml:space="preserve">Article acceptance date: </w:t>
      </w:r>
      <w:r>
        <w:rPr>
          <w:rStyle w:val="PlaceholderText"/>
          <w:rFonts w:cs="Calibri" w:ascii="Calibri" w:hAnsi="Calibri"/>
        </w:rPr>
        <w:t>NA</w:t>
      </w:r>
    </w:p>
    <w:p>
      <w:pPr>
        <w:pStyle w:val="Normal"/>
        <w:widowControl w:val="false"/>
        <w:spacing w:lineRule="auto" w:line="480"/>
        <w:rPr>
          <w:rFonts w:ascii="Calibri" w:hAnsi="Calibri" w:cs="Calibri"/>
        </w:rPr>
      </w:pPr>
      <w:r>
        <w:rPr>
          <w:rFonts w:cs="Calibri" w:ascii="Calibri" w:hAnsi="Calibri"/>
        </w:rPr>
      </w:r>
    </w:p>
    <w:p>
      <w:pPr>
        <w:pStyle w:val="Normal"/>
        <w:widowControl w:val="false"/>
        <w:spacing w:lineRule="auto" w:line="480"/>
        <w:rPr>
          <w:rFonts w:ascii="Calibri" w:hAnsi="Calibri" w:eastAsia="宋体" w:cs="Calibri"/>
          <w:color w:val="auto"/>
          <w:kern w:val="0"/>
          <w:sz w:val="24"/>
          <w:szCs w:val="24"/>
          <w:lang w:val="en-CA" w:eastAsia="en-US" w:bidi="ar-SA"/>
        </w:rPr>
      </w:pPr>
      <w:r>
        <w:rPr>
          <w:rFonts w:eastAsia="宋体" w:cs="Calibri" w:ascii="Calibri" w:hAnsi="Calibri"/>
          <w:color w:val="auto"/>
          <w:kern w:val="0"/>
          <w:sz w:val="24"/>
          <w:szCs w:val="24"/>
          <w:lang w:val="en-CA" w:eastAsia="en-US" w:bidi="ar-SA"/>
        </w:rPr>
        <w:t>List of supplementary tables and figures and their locations</w:t>
      </w:r>
    </w:p>
    <w:p>
      <w:pPr>
        <w:pStyle w:val="Normal"/>
        <w:widowControl w:val="false"/>
        <w:spacing w:lineRule="auto" w:line="480"/>
        <w:rPr/>
      </w:pPr>
      <w:r>
        <w:rPr>
          <w:rFonts w:cs="Calibri" w:ascii="Calibri" w:hAnsi="Calibri"/>
          <w:b/>
          <w:bCs/>
        </w:rPr>
        <w:t xml:space="preserve">Table S1  </w:t>
      </w:r>
      <w:r>
        <w:rPr>
          <w:rFonts w:cs="Calibri" w:ascii="Calibri" w:hAnsi="Calibri"/>
          <w:b w:val="false"/>
          <w:bCs w:val="false"/>
        </w:rPr>
        <w:t xml:space="preserve">A list of all of the moss species sampled and the number of samples collected for each. </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2</w:t>
      </w:r>
      <w:r>
        <w:rPr>
          <w:rFonts w:cs="Calibri" w:ascii="Calibri" w:hAnsi="Calibri"/>
          <w:b w:val="false"/>
          <w:bCs w:val="false"/>
        </w:rPr>
        <w:t xml:space="preserve"> A list of all of the moss species sampled and </w:t>
      </w:r>
      <w:r>
        <w:rPr>
          <w:rFonts w:eastAsia="宋体" w:cs="Calibri" w:ascii="Calibri" w:hAnsi="Calibri"/>
          <w:b w:val="false"/>
          <w:bCs w:val="false"/>
          <w:color w:val="auto"/>
          <w:kern w:val="0"/>
          <w:sz w:val="24"/>
          <w:szCs w:val="24"/>
          <w:lang w:val="en-CA" w:eastAsia="en-US" w:bidi="ar-SA"/>
        </w:rPr>
        <w:t>where and how many samples were collected for each</w:t>
      </w:r>
      <w:r>
        <w:rPr>
          <w:rFonts w:cs="Calibri" w:ascii="Calibri" w:hAnsi="Calibri"/>
          <w:b w:val="false"/>
          <w:bCs w:val="false"/>
        </w:rPr>
        <w:t xml:space="preserve">. The species sampled include 26 moss species. (Submitted </w:t>
      </w:r>
      <w:r>
        <w:rPr>
          <w:rFonts w:eastAsia="宋体" w:cs="Calibri" w:ascii="Calibri" w:hAnsi="Calibri"/>
          <w:b w:val="false"/>
          <w:bCs w:val="false"/>
          <w:color w:val="auto"/>
          <w:kern w:val="0"/>
          <w:sz w:val="24"/>
          <w:szCs w:val="24"/>
          <w:lang w:val="en-CA" w:eastAsia="en-US" w:bidi="ar-SA"/>
        </w:rPr>
        <w:t>s</w:t>
      </w:r>
      <w:r>
        <w:rPr>
          <w:rFonts w:cs="Calibri" w:ascii="Calibri" w:hAnsi="Calibri"/>
          <w:b w:val="false"/>
          <w:bCs w:val="false"/>
        </w:rPr>
        <w:t>eparately)</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3</w:t>
      </w:r>
      <w:r>
        <w:rPr>
          <w:rFonts w:cs="Calibri" w:ascii="Calibri" w:hAnsi="Calibri"/>
          <w:b w:val="false"/>
          <w:bCs w:val="false"/>
        </w:rPr>
        <w:t xml:space="preserve"> List of sites and site characteristics. 10 sites around Fairbanks, AK, </w:t>
      </w:r>
      <w:r>
        <w:rPr>
          <w:rFonts w:eastAsia="Source Han Sans CN Regular" w:cs="Lohit Devanagari" w:ascii="Calibri" w:hAnsi="Calibri"/>
          <w:b w:val="false"/>
          <w:bCs w:val="false"/>
          <w:color w:val="auto"/>
          <w:kern w:val="2"/>
          <w:sz w:val="24"/>
          <w:szCs w:val="24"/>
          <w:lang w:val="en-US" w:eastAsia="zh-CN" w:bidi="hi-IN"/>
        </w:rPr>
        <w:t>USA</w:t>
      </w:r>
      <w:r>
        <w:rPr>
          <w:rFonts w:cs="Calibri" w:ascii="Calibri" w:hAnsi="Calibri"/>
          <w:b w:val="false"/>
          <w:bCs w:val="false"/>
        </w:rPr>
        <w:t xml:space="preserve">, and four sites around Toolik Lake, AK, </w:t>
      </w:r>
      <w:r>
        <w:rPr>
          <w:rFonts w:eastAsia="Source Han Sans CN Regular" w:cs="Lohit Devanagari" w:ascii="Calibri" w:hAnsi="Calibri"/>
          <w:b w:val="false"/>
          <w:bCs w:val="false"/>
          <w:color w:val="auto"/>
          <w:kern w:val="2"/>
          <w:sz w:val="24"/>
          <w:szCs w:val="24"/>
          <w:lang w:val="en-US" w:eastAsia="zh-CN" w:bidi="hi-IN"/>
        </w:rPr>
        <w:t>USA</w:t>
      </w:r>
      <w:r>
        <w:rPr>
          <w:rFonts w:cs="Calibri" w:ascii="Calibri" w:hAnsi="Calibri"/>
          <w:b w:val="false"/>
          <w:bCs w:val="false"/>
        </w:rPr>
        <w:t xml:space="preserve"> were sampled in 2016 and an additional 10 sites from around Anchorage, AK, </w:t>
      </w:r>
      <w:r>
        <w:rPr>
          <w:rFonts w:eastAsia="Source Han Sans CN Regular" w:cs="Lohit Devanagari" w:ascii="Calibri" w:hAnsi="Calibri"/>
          <w:b w:val="false"/>
          <w:bCs w:val="false"/>
          <w:color w:val="auto"/>
          <w:kern w:val="2"/>
          <w:sz w:val="24"/>
          <w:szCs w:val="24"/>
          <w:lang w:val="en-US" w:eastAsia="zh-CN" w:bidi="hi-IN"/>
        </w:rPr>
        <w:t>USA</w:t>
      </w:r>
      <w:r>
        <w:rPr>
          <w:rFonts w:cs="Calibri" w:ascii="Calibri" w:hAnsi="Calibri"/>
          <w:b w:val="false"/>
          <w:bCs w:val="false"/>
        </w:rPr>
        <w:t>, were added in 2017. Sites were chosen to capture a breadth of common habitat types in boreal and tundra ecosystems</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4</w:t>
      </w:r>
      <w:r>
        <w:rPr>
          <w:rFonts w:cs="Calibri" w:ascii="Calibri" w:hAnsi="Calibri"/>
          <w:b/>
          <w:bCs/>
        </w:rPr>
        <w:t xml:space="preserve"> </w:t>
      </w:r>
      <w:r>
        <w:rPr>
          <w:rFonts w:cs="Calibri" w:ascii="Calibri" w:hAnsi="Calibri"/>
          <w:b w:val="false"/>
          <w:bCs w:val="false"/>
        </w:rPr>
        <w:t>Summary of the evidence for N</w:t>
      </w:r>
      <w:r>
        <w:rPr>
          <w:rFonts w:cs="Calibri" w:ascii="Calibri" w:hAnsi="Calibri"/>
          <w:b w:val="false"/>
          <w:bCs w:val="false"/>
          <w:vertAlign w:val="subscript"/>
        </w:rPr>
        <w:t>2</w:t>
      </w:r>
      <w:r>
        <w:rPr>
          <w:rFonts w:cs="Calibri" w:ascii="Calibri" w:hAnsi="Calibri"/>
          <w:b w:val="false"/>
          <w:bCs w:val="false"/>
        </w:rPr>
        <w:t>-fixation for each of the 22 phylotypes positively correlated with N</w:t>
      </w:r>
      <w:r>
        <w:rPr>
          <w:rFonts w:cs="Calibri" w:ascii="Calibri" w:hAnsi="Calibri"/>
          <w:b w:val="false"/>
          <w:bCs w:val="false"/>
          <w:vertAlign w:val="subscript"/>
        </w:rPr>
        <w:t>2</w:t>
      </w:r>
      <w:r>
        <w:rPr>
          <w:rFonts w:cs="Calibri" w:ascii="Calibri" w:hAnsi="Calibri"/>
          <w:b w:val="false"/>
          <w:bCs w:val="false"/>
        </w:rPr>
        <w:t>-fixation rate. (Submitted separately)</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5</w:t>
      </w:r>
      <w:r>
        <w:rPr>
          <w:rFonts w:cs="Calibri" w:ascii="Calibri" w:hAnsi="Calibri"/>
          <w:b/>
          <w:bCs/>
        </w:rPr>
        <w:t xml:space="preserve"> </w:t>
      </w:r>
      <w:r>
        <w:rPr>
          <w:rFonts w:cs="Calibri" w:ascii="Calibri" w:hAnsi="Calibri"/>
          <w:b w:val="false"/>
          <w:bCs w:val="false"/>
        </w:rPr>
        <w:t>Relative abundances of microbial families in each host species. (Submitted separately)</w:t>
      </w:r>
    </w:p>
    <w:p>
      <w:pPr>
        <w:pStyle w:val="Normal"/>
        <w:widowControl w:val="false"/>
        <w:spacing w:lineRule="auto" w:line="480"/>
        <w:rPr/>
      </w:pPr>
      <w:r>
        <w:rPr>
          <w:rFonts w:cs="Calibri" w:ascii="Calibri" w:hAnsi="Calibri"/>
          <w:b/>
          <w:bCs/>
          <w:i w:val="false"/>
          <w:iCs w:val="false"/>
        </w:rPr>
        <w:t>Table S</w:t>
      </w:r>
      <w:r>
        <w:rPr>
          <w:rFonts w:eastAsia="宋体" w:cs="Calibri" w:ascii="Calibri" w:hAnsi="Calibri"/>
          <w:b/>
          <w:bCs/>
          <w:i w:val="false"/>
          <w:iCs w:val="false"/>
          <w:color w:val="auto"/>
          <w:kern w:val="0"/>
          <w:sz w:val="24"/>
          <w:szCs w:val="24"/>
          <w:lang w:val="en-CA" w:eastAsia="en-US" w:bidi="ar-SA"/>
        </w:rPr>
        <w:t>6</w:t>
      </w:r>
      <w:r>
        <w:rPr>
          <w:rFonts w:cs="Calibri" w:ascii="Calibri" w:hAnsi="Calibri"/>
          <w:b/>
          <w:bCs/>
          <w:i w:val="false"/>
          <w:iCs w:val="false"/>
        </w:rPr>
        <w:t xml:space="preserve"> </w:t>
      </w:r>
      <w:r>
        <w:rPr>
          <w:rFonts w:cs="Calibri" w:ascii="Calibri" w:hAnsi="Calibri"/>
          <w:b w:val="false"/>
          <w:bCs w:val="false"/>
          <w:i w:val="false"/>
          <w:iCs w:val="false"/>
        </w:rPr>
        <w:t xml:space="preserve">Table summarizing the </w:t>
      </w:r>
      <w:r>
        <w:rPr>
          <w:rFonts w:eastAsia="宋体" w:cs="Calibri" w:ascii="Calibri" w:hAnsi="Calibri"/>
          <w:b w:val="false"/>
          <w:bCs w:val="false"/>
          <w:i w:val="false"/>
          <w:iCs w:val="false"/>
          <w:color w:val="auto"/>
          <w:kern w:val="0"/>
          <w:sz w:val="24"/>
          <w:szCs w:val="24"/>
          <w:lang w:val="en-CA" w:eastAsia="en-US" w:bidi="ar-SA"/>
        </w:rPr>
        <w:t>results of a Mantel test between moss microbial communities and moss phylogenetic relatedness. Microbial communities are significantly correlated with phylogenetic structure. An analysis of Sphagnum shows that these results are primarily driven by phylogenetic structuring within the Sphagnum branch of the phylogeny.</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7</w:t>
      </w:r>
      <w:r>
        <w:rPr>
          <w:rFonts w:cs="Calibri" w:ascii="Calibri" w:hAnsi="Calibri"/>
          <w:b w:val="false"/>
          <w:bCs w:val="false"/>
        </w:rPr>
        <w:t xml:space="preserve"> Results of PERMANOVAs run on eight individual sites showing the effect of species in explaining microbial community differences.</w:t>
      </w:r>
    </w:p>
    <w:p>
      <w:pPr>
        <w:pStyle w:val="Normal"/>
        <w:widowControl w:val="false"/>
        <w:spacing w:lineRule="auto" w:line="480"/>
        <w:rPr/>
      </w:pPr>
      <w:r>
        <w:rPr>
          <w:rFonts w:cs="Calibri" w:ascii="Calibri" w:hAnsi="Calibri"/>
          <w:b/>
          <w:bCs/>
        </w:rPr>
        <w:t>Fig. S1</w:t>
      </w:r>
      <w:r>
        <w:rPr>
          <w:rFonts w:cs="Calibri" w:ascii="Calibri" w:hAnsi="Calibri"/>
          <w:b w:val="false"/>
          <w:bCs w:val="false"/>
        </w:rPr>
        <w:t xml:space="preserve"> The best environmental predictors shaping microbial communities for each of the seven most abundant host species.</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8</w:t>
      </w:r>
      <w:r>
        <w:rPr>
          <w:rFonts w:cs="Calibri" w:ascii="Calibri" w:hAnsi="Calibri"/>
          <w:b w:val="false"/>
          <w:bCs w:val="false"/>
        </w:rPr>
        <w:t xml:space="preserve"> Results of PERMANOVAs run on seven individual species showing the effect of site in explaining microbial community differences.</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9</w:t>
      </w:r>
      <w:r>
        <w:rPr>
          <w:rFonts w:cs="Calibri" w:ascii="Calibri" w:hAnsi="Calibri"/>
          <w:b/>
          <w:bCs/>
        </w:rPr>
        <w:t xml:space="preserve"> </w:t>
      </w:r>
      <w:r>
        <w:rPr>
          <w:rFonts w:cs="Calibri" w:ascii="Calibri" w:hAnsi="Calibri"/>
          <w:b w:val="false"/>
          <w:bCs w:val="false"/>
        </w:rPr>
        <w:t>Table summarizing the correlations between N</w:t>
      </w:r>
      <w:r>
        <w:rPr>
          <w:rFonts w:eastAsia="宋体" w:cs="Calibri" w:ascii="Calibri" w:hAnsi="Calibri"/>
          <w:b w:val="false"/>
          <w:bCs w:val="false"/>
          <w:color w:val="auto"/>
          <w:kern w:val="0"/>
          <w:sz w:val="24"/>
          <w:szCs w:val="24"/>
          <w:vertAlign w:val="subscript"/>
          <w:lang w:val="en-CA" w:eastAsia="en-US" w:bidi="ar-SA"/>
        </w:rPr>
        <w:t>2</w:t>
      </w:r>
      <w:r>
        <w:rPr>
          <w:rFonts w:cs="Calibri" w:ascii="Calibri" w:hAnsi="Calibri"/>
          <w:b w:val="false"/>
          <w:bCs w:val="false"/>
        </w:rPr>
        <w:t>-fixation rate and the 22 putative N</w:t>
      </w:r>
      <w:r>
        <w:rPr>
          <w:rFonts w:eastAsia="宋体" w:cs="Calibri" w:ascii="Calibri" w:hAnsi="Calibri"/>
          <w:b w:val="false"/>
          <w:bCs w:val="false"/>
          <w:color w:val="auto"/>
          <w:kern w:val="0"/>
          <w:sz w:val="24"/>
          <w:szCs w:val="24"/>
          <w:vertAlign w:val="subscript"/>
          <w:lang w:val="en-CA" w:eastAsia="en-US" w:bidi="ar-SA"/>
        </w:rPr>
        <w:t>2</w:t>
      </w:r>
      <w:r>
        <w:rPr>
          <w:rFonts w:cs="Calibri" w:ascii="Calibri" w:hAnsi="Calibri"/>
          <w:b w:val="false"/>
          <w:bCs w:val="false"/>
        </w:rPr>
        <w:t>-fixing phylotypes. (Submitted separately)</w:t>
      </w:r>
    </w:p>
    <w:p>
      <w:pPr>
        <w:pStyle w:val="Normal"/>
        <w:widowControl w:val="false"/>
        <w:spacing w:lineRule="auto" w:line="480"/>
        <w:rPr/>
      </w:pPr>
      <w:r>
        <w:rPr>
          <w:rFonts w:cs="Calibri" w:ascii="Calibri" w:hAnsi="Calibri"/>
          <w:b/>
          <w:bCs/>
        </w:rPr>
        <w:t>Table S</w:t>
      </w:r>
      <w:r>
        <w:rPr>
          <w:rFonts w:eastAsia="宋体" w:cs="Calibri" w:ascii="Calibri" w:hAnsi="Calibri"/>
          <w:b/>
          <w:bCs/>
          <w:color w:val="auto"/>
          <w:kern w:val="0"/>
          <w:sz w:val="24"/>
          <w:szCs w:val="24"/>
          <w:lang w:val="en-CA" w:eastAsia="en-US" w:bidi="ar-SA"/>
        </w:rPr>
        <w:t>10</w:t>
      </w:r>
      <w:r>
        <w:rPr>
          <w:rFonts w:cs="Calibri" w:ascii="Calibri" w:hAnsi="Calibri"/>
          <w:b/>
          <w:bCs/>
        </w:rPr>
        <w:t xml:space="preserve"> </w:t>
      </w:r>
      <w:r>
        <w:rPr>
          <w:rFonts w:cs="Calibri" w:ascii="Calibri" w:hAnsi="Calibri"/>
          <w:b w:val="false"/>
          <w:bCs w:val="false"/>
          <w:i w:val="false"/>
          <w:iCs w:val="false"/>
        </w:rPr>
        <w:t>Table summarizing the findings from nine studies about prevalence and strength of host phylogenetic structuring of plant-microbial communities. (Submitted separately)</w:t>
      </w:r>
    </w:p>
    <w:p>
      <w:pPr>
        <w:pStyle w:val="Normal"/>
        <w:widowControl w:val="false"/>
        <w:spacing w:lineRule="auto" w:line="480"/>
        <w:rPr>
          <w:rFonts w:ascii="Calibri" w:hAnsi="Calibri" w:cs="Calibri"/>
        </w:rPr>
      </w:pPr>
      <w:r>
        <w:rPr>
          <w:rFonts w:cs="Calibri" w:ascii="Calibri" w:hAnsi="Calibri"/>
          <w:b/>
        </w:rPr>
      </w:r>
    </w:p>
    <w:p>
      <w:pPr>
        <w:sectPr>
          <w:headerReference w:type="default" r:id="rId2"/>
          <w:type w:val="nextPage"/>
          <w:pgSz w:w="12240" w:h="15840"/>
          <w:pgMar w:left="1440" w:right="1440" w:header="709" w:top="1440" w:footer="0" w:bottom="1440" w:gutter="0"/>
          <w:pgNumType w:fmt="decimal"/>
          <w:formProt w:val="false"/>
          <w:textDirection w:val="lrTb"/>
          <w:docGrid w:type="default" w:linePitch="600" w:charSpace="32768"/>
        </w:sectPr>
      </w:pPr>
    </w:p>
    <w:p>
      <w:pPr>
        <w:pStyle w:val="Normal"/>
        <w:widowControl w:val="false"/>
        <w:spacing w:lineRule="auto" w:line="360"/>
        <w:rPr/>
      </w:pPr>
      <w:r>
        <w:rPr>
          <w:rFonts w:cs="Calibri" w:ascii="Calibri" w:hAnsi="Calibri"/>
          <w:b/>
        </w:rPr>
        <w:t>Table S1</w:t>
      </w:r>
      <w:r>
        <w:rPr>
          <w:rFonts w:cs="Calibri" w:ascii="Calibri" w:hAnsi="Calibri"/>
        </w:rPr>
        <w:t xml:space="preserve"> A list of all of the moss species sampled and the number of samples collected for each. The species sampled include 26 moss species and one liverwort (used as a phylogenetic outgroup). </w:t>
      </w:r>
    </w:p>
    <w:p>
      <w:pPr>
        <w:pStyle w:val="Normal"/>
        <w:rPr/>
      </w:pPr>
      <w:r>
        <w:rPr/>
      </w:r>
    </w:p>
    <w:tbl>
      <w:tblPr>
        <w:tblW w:w="9368" w:type="dxa"/>
        <w:jc w:val="left"/>
        <w:tblInd w:w="0" w:type="dxa"/>
        <w:tblCellMar>
          <w:top w:w="55" w:type="dxa"/>
          <w:left w:w="55" w:type="dxa"/>
          <w:bottom w:w="55" w:type="dxa"/>
          <w:right w:w="55" w:type="dxa"/>
        </w:tblCellMar>
      </w:tblPr>
      <w:tblGrid>
        <w:gridCol w:w="7930"/>
        <w:gridCol w:w="1437"/>
      </w:tblGrid>
      <w:tr>
        <w:trPr>
          <w:trHeight w:val="314" w:hRule="atLeast"/>
        </w:trPr>
        <w:tc>
          <w:tcPr>
            <w:tcW w:w="7930" w:type="dxa"/>
            <w:tcBorders>
              <w:top w:val="single" w:sz="4" w:space="0" w:color="000000"/>
              <w:left w:val="single" w:sz="4" w:space="0" w:color="000000"/>
              <w:bottom w:val="single" w:sz="4" w:space="0" w:color="000000"/>
            </w:tcBorders>
            <w:shd w:fill="auto" w:val="clear"/>
            <w:vAlign w:val="center"/>
          </w:tcPr>
          <w:p>
            <w:pPr>
              <w:pStyle w:val="TableContents"/>
              <w:jc w:val="left"/>
              <w:rPr>
                <w:b/>
                <w:b/>
              </w:rPr>
            </w:pPr>
            <w:r>
              <w:rPr>
                <w:b/>
              </w:rPr>
              <w:t>Moss Species</w:t>
            </w:r>
          </w:p>
        </w:tc>
        <w:tc>
          <w:tcPr>
            <w:tcW w:w="1437" w:type="dxa"/>
            <w:tcBorders>
              <w:top w:val="single" w:sz="4" w:space="0" w:color="000000"/>
              <w:left w:val="single" w:sz="4" w:space="0" w:color="000000"/>
              <w:bottom w:val="single" w:sz="4" w:space="0" w:color="000000"/>
              <w:right w:val="single" w:sz="4" w:space="0" w:color="000000"/>
            </w:tcBorders>
            <w:shd w:fill="auto" w:val="clear"/>
            <w:vAlign w:val="center"/>
          </w:tcPr>
          <w:p>
            <w:pPr>
              <w:pStyle w:val="TableContents"/>
              <w:jc w:val="left"/>
              <w:rPr>
                <w:b/>
                <w:b/>
              </w:rPr>
            </w:pPr>
            <w:r>
              <w:rPr>
                <w:b/>
              </w:rPr>
              <w:t>Number of Samples</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Hyocomium splendens</w:t>
            </w:r>
            <w:r>
              <w:rPr/>
              <w:t xml:space="preserve"> (Hedw.) Schimp.</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87</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Pleurozium schreberi</w:t>
            </w:r>
            <w:r>
              <w:rPr/>
              <w:t xml:space="preserve"> (Brid.) Mitt</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80</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Aulacomnium palustre</w:t>
            </w:r>
            <w:r>
              <w:rPr/>
              <w:t xml:space="preserve"> (Hedw.) Schwägr.</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47</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Ptilium crista-castrensis</w:t>
            </w:r>
            <w:r>
              <w:rPr/>
              <w:t xml:space="preserve"> (Hedw.) De Not.</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36</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Polytrichum commune</w:t>
            </w:r>
            <w:r>
              <w:rPr/>
              <w:t xml:space="preserve"> Hedw.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27</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Polytrichum strictum</w:t>
            </w:r>
            <w:r>
              <w:rPr/>
              <w:t xml:space="preserve"> Brid.</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22</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russowii</w:t>
            </w:r>
            <w:r>
              <w:rPr/>
              <w:t xml:space="preserve"> Warnst.</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19</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polysetum</w:t>
            </w:r>
            <w:r>
              <w:rPr/>
              <w:t xml:space="preserve"> Sw.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19</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Aulacomnium turgidum</w:t>
            </w:r>
            <w:r>
              <w:rPr/>
              <w:t xml:space="preserve"> (Wahlenb.) Schwägr.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16</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acutifolium</w:t>
            </w:r>
            <w:r>
              <w:rPr/>
              <w:t xml:space="preserve"> (Lindb. &amp; Arnell) C.E.O. Jensen ex Weinm.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12</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girgensohnii</w:t>
            </w:r>
            <w:r>
              <w:rPr/>
              <w:t xml:space="preserve"> Russow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10</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angustifolium</w:t>
            </w:r>
            <w:r>
              <w:rPr/>
              <w:t xml:space="preserve"> (C.E.O. Jensen ex Russow) C.E.O. Jensen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10</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Rhytidium rugosum</w:t>
            </w:r>
            <w:r>
              <w:rPr/>
              <w:t xml:space="preserve"> (Hedw.) Kindb.</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9</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magellanicum</w:t>
            </w:r>
            <w:r>
              <w:rPr/>
              <w:t xml:space="preserve"> Brid.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9</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Tomentypnum nitens</w:t>
            </w:r>
            <w:r>
              <w:rPr/>
              <w:t xml:space="preserve"> (Hedw.) Loeske</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8</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scoparium</w:t>
            </w:r>
            <w:r>
              <w:rPr/>
              <w:t xml:space="preserve"> Hedw.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8</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undulatum</w:t>
            </w:r>
            <w:r>
              <w:rPr/>
              <w:t xml:space="preserve"> Brid.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7</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elongatum</w:t>
            </w:r>
            <w:r>
              <w:rPr/>
              <w:t xml:space="preserve"> Schleich. ex Schwägr.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7</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fuscum</w:t>
            </w:r>
            <w:r>
              <w:rPr/>
              <w:t xml:space="preserve"> (Schimp.) Klinggr.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6</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fuscescens</w:t>
            </w:r>
            <w:r>
              <w:rPr/>
              <w:t xml:space="preserve"> Turner</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5</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Dicranum fragilifolium</w:t>
            </w:r>
            <w:r>
              <w:rPr/>
              <w:t xml:space="preserve"> Lindb.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5</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Racomitrium lanuginosum</w:t>
            </w:r>
            <w:r>
              <w:rPr/>
              <w:t xml:space="preserve"> (Hedw.) Brid.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4</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squarrosum</w:t>
            </w:r>
            <w:r>
              <w:rPr/>
              <w:t xml:space="preserve"> Crome</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4</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Niphotrichum canescens</w:t>
            </w:r>
            <w:r>
              <w:rPr/>
              <w:t xml:space="preserve"> (Hedw.) Bednarek-Ochyra &amp; Ochyra</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3</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Sphagnum fimbriatum</w:t>
            </w:r>
            <w:r>
              <w:rPr/>
              <w:t xml:space="preserve"> Wilson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Hypnum lindbergii</w:t>
            </w:r>
            <w:r>
              <w:rPr/>
              <w:t xml:space="preserve"> Mitt.</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1</w:t>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rPr/>
            </w:pPr>
            <w:r>
              <w:rPr/>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rPr/>
            </w:pPr>
            <w:r>
              <w:rPr/>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b/>
                <w:b/>
              </w:rPr>
            </w:pPr>
            <w:r>
              <w:rPr>
                <w:b/>
              </w:rPr>
              <w:t>Liverwort (used as outgroup)</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b/>
                <w:b/>
              </w:rPr>
            </w:pPr>
            <w:r>
              <w:rPr>
                <w:b/>
              </w:rPr>
            </w:r>
          </w:p>
        </w:tc>
      </w:tr>
      <w:tr>
        <w:trPr>
          <w:trHeight w:val="314" w:hRule="atLeast"/>
        </w:trPr>
        <w:tc>
          <w:tcPr>
            <w:tcW w:w="7930" w:type="dxa"/>
            <w:tcBorders>
              <w:left w:val="single" w:sz="4" w:space="0" w:color="000000"/>
              <w:bottom w:val="single" w:sz="4" w:space="0" w:color="000000"/>
            </w:tcBorders>
            <w:shd w:fill="auto" w:val="clear"/>
            <w:vAlign w:val="center"/>
          </w:tcPr>
          <w:p>
            <w:pPr>
              <w:pStyle w:val="TableContents"/>
              <w:jc w:val="left"/>
              <w:rPr/>
            </w:pPr>
            <w:r>
              <w:rPr>
                <w:i/>
                <w:iCs/>
              </w:rPr>
              <w:t>Ptilidium ciliare</w:t>
            </w:r>
            <w:r>
              <w:rPr/>
              <w:t xml:space="preserve"> (L.) Hampe </w:t>
            </w:r>
          </w:p>
        </w:tc>
        <w:tc>
          <w:tcPr>
            <w:tcW w:w="1437"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9</w:t>
            </w:r>
          </w:p>
        </w:tc>
      </w:tr>
    </w:tbl>
    <w:p>
      <w:pPr>
        <w:pStyle w:val="Normal"/>
        <w:widowControl w:val="false"/>
        <w:spacing w:lineRule="auto" w:line="360"/>
        <w:rPr>
          <w:rFonts w:ascii="Calibri" w:hAnsi="Calibri" w:cs="Calibri"/>
        </w:rPr>
      </w:pPr>
      <w:r>
        <w:rPr>
          <w:rFonts w:cs="Calibri" w:ascii="Calibri" w:hAnsi="Calibri"/>
        </w:rPr>
      </w:r>
    </w:p>
    <w:p>
      <w:pPr>
        <w:pStyle w:val="Normal"/>
        <w:widowControl w:val="false"/>
        <w:spacing w:lineRule="auto" w:line="480"/>
        <w:rPr>
          <w:rFonts w:ascii="Calibri" w:hAnsi="Calibri" w:cs="Calibri"/>
        </w:rPr>
      </w:pPr>
      <w:r>
        <w:rPr>
          <w:rFonts w:cs="Calibri" w:ascii="Calibri" w:hAnsi="Calibri"/>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rPr>
      </w:pPr>
      <w:r>
        <w:rPr>
          <w:rFonts w:cs="Calibri" w:ascii="Calibri" w:hAnsi="Calibri"/>
          <w:b/>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rPr>
      </w:pPr>
      <w:r>
        <w:rPr>
          <w:rFonts w:cs="Calibri" w:ascii="Calibri" w:hAnsi="Calibri"/>
          <w:b/>
        </w:rPr>
      </w:r>
    </w:p>
    <w:p>
      <w:pPr>
        <w:pStyle w:val="Normal"/>
        <w:widowControl w:val="false"/>
        <w:spacing w:lineRule="auto" w:line="360"/>
        <w:rPr/>
      </w:pPr>
      <w:r>
        <w:rPr>
          <w:rFonts w:cs="Calibri" w:ascii="Calibri" w:hAnsi="Calibri"/>
          <w:b/>
        </w:rPr>
        <w:t>Table S</w:t>
      </w:r>
      <w:r>
        <w:rPr>
          <w:rFonts w:eastAsia="宋体" w:cs="Calibri" w:ascii="Calibri" w:hAnsi="Calibri"/>
          <w:b/>
          <w:color w:val="auto"/>
          <w:kern w:val="0"/>
          <w:sz w:val="24"/>
          <w:szCs w:val="24"/>
          <w:lang w:val="en-CA" w:eastAsia="en-US" w:bidi="ar-SA"/>
        </w:rPr>
        <w:t>2</w:t>
      </w:r>
      <w:r>
        <w:rPr>
          <w:rFonts w:cs="Calibri" w:ascii="Calibri" w:hAnsi="Calibri"/>
        </w:rPr>
        <w:t xml:space="preserve"> A list of all of the moss species sampled and </w:t>
      </w:r>
      <w:r>
        <w:rPr>
          <w:rFonts w:eastAsia="宋体" w:cs="Calibri" w:ascii="Calibri" w:hAnsi="Calibri"/>
          <w:color w:val="auto"/>
          <w:kern w:val="0"/>
          <w:sz w:val="24"/>
          <w:szCs w:val="24"/>
          <w:lang w:val="en-CA" w:eastAsia="en-US" w:bidi="ar-SA"/>
        </w:rPr>
        <w:t>where and how many samples were collected for each</w:t>
      </w:r>
      <w:r>
        <w:rPr>
          <w:rFonts w:cs="Calibri" w:ascii="Calibri" w:hAnsi="Calibri"/>
        </w:rPr>
        <w:t>. The species sampled include 26 moss species. (</w:t>
      </w:r>
      <w:r>
        <w:rPr>
          <w:rFonts w:eastAsia="宋体" w:cs="Calibri" w:ascii="Calibri" w:hAnsi="Calibri"/>
          <w:color w:val="auto"/>
          <w:kern w:val="0"/>
          <w:sz w:val="24"/>
          <w:szCs w:val="24"/>
          <w:lang w:val="en-CA" w:eastAsia="en-US" w:bidi="ar-SA"/>
        </w:rPr>
        <w:t>Table provided in a separate file</w:t>
      </w:r>
      <w:r>
        <w:rPr>
          <w:rFonts w:cs="Calibri" w:ascii="Calibri" w:hAnsi="Calibri"/>
        </w:rPr>
        <w:t>)</w:t>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rPr>
      </w:pPr>
      <w:r>
        <w:rPr>
          <w:rFonts w:cs="Calibri" w:ascii="Calibri" w:hAnsi="Calibri"/>
        </w:rPr>
      </w: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3</w:t>
      </w:r>
      <w:r>
        <w:rPr>
          <w:rFonts w:cs="Calibri" w:ascii="Calibri" w:hAnsi="Calibri"/>
          <w:b/>
          <w:bCs/>
        </w:rPr>
        <w:t xml:space="preserve"> </w:t>
      </w:r>
      <w:r>
        <w:rPr>
          <w:rFonts w:cs="Calibri" w:ascii="Calibri" w:hAnsi="Calibri"/>
          <w:b w:val="false"/>
          <w:bCs w:val="false"/>
        </w:rPr>
        <w:t xml:space="preserve">List of sites and site characteristics. 10 sites around Fairbanks, AK, </w:t>
      </w:r>
      <w:r>
        <w:rPr>
          <w:rFonts w:eastAsia="Source Han Sans CN Regular" w:cs="Lohit Devanagari" w:ascii="Calibri" w:hAnsi="Calibri"/>
          <w:b w:val="false"/>
          <w:bCs w:val="false"/>
          <w:color w:val="auto"/>
          <w:kern w:val="2"/>
          <w:sz w:val="24"/>
          <w:szCs w:val="24"/>
          <w:lang w:val="en-US" w:eastAsia="zh-CN" w:bidi="hi-IN"/>
        </w:rPr>
        <w:t>USA</w:t>
      </w:r>
      <w:r>
        <w:rPr>
          <w:rFonts w:cs="Calibri" w:ascii="Calibri" w:hAnsi="Calibri"/>
          <w:b w:val="false"/>
          <w:bCs w:val="false"/>
        </w:rPr>
        <w:t xml:space="preserve">, and four sites around Toolik Lake, AK, </w:t>
      </w:r>
      <w:r>
        <w:rPr>
          <w:rFonts w:eastAsia="Source Han Sans CN Regular" w:cs="Lohit Devanagari" w:ascii="Calibri" w:hAnsi="Calibri"/>
          <w:b w:val="false"/>
          <w:bCs w:val="false"/>
          <w:color w:val="auto"/>
          <w:kern w:val="2"/>
          <w:sz w:val="24"/>
          <w:szCs w:val="24"/>
          <w:lang w:val="en-US" w:eastAsia="zh-CN" w:bidi="hi-IN"/>
        </w:rPr>
        <w:t>USA</w:t>
      </w:r>
      <w:r>
        <w:rPr>
          <w:rFonts w:cs="Calibri" w:ascii="Calibri" w:hAnsi="Calibri"/>
          <w:b w:val="false"/>
          <w:bCs w:val="false"/>
        </w:rPr>
        <w:t xml:space="preserve"> were sampled in 2016 and an additional 10 sites from around Anchorage, AK, </w:t>
      </w:r>
      <w:r>
        <w:rPr>
          <w:rFonts w:eastAsia="Source Han Sans CN Regular" w:cs="Lohit Devanagari" w:ascii="Calibri" w:hAnsi="Calibri"/>
          <w:b w:val="false"/>
          <w:bCs w:val="false"/>
          <w:color w:val="auto"/>
          <w:kern w:val="2"/>
          <w:sz w:val="24"/>
          <w:szCs w:val="24"/>
          <w:lang w:val="en-US" w:eastAsia="zh-CN" w:bidi="hi-IN"/>
        </w:rPr>
        <w:t>USA</w:t>
      </w:r>
      <w:r>
        <w:rPr>
          <w:rFonts w:cs="Calibri" w:ascii="Calibri" w:hAnsi="Calibri"/>
          <w:b w:val="false"/>
          <w:bCs w:val="false"/>
        </w:rPr>
        <w:t>, were added in 2017. Sites were chosen to capture a breadth of common habitat types in boreal and tundra ecosystems.</w:t>
      </w:r>
    </w:p>
    <w:p>
      <w:pPr>
        <w:pStyle w:val="Normal"/>
        <w:spacing w:lineRule="auto" w:line="360"/>
        <w:rPr>
          <w:rStyle w:val="PlaceholderText"/>
          <w:rFonts w:ascii="Calibri" w:hAnsi="Calibri" w:cs="Calibri"/>
        </w:rPr>
      </w:pPr>
      <w:r>
        <w:rPr>
          <w:rFonts w:cs="Calibri" w:ascii="Calibri" w:hAnsi="Calibri"/>
        </w:rPr>
      </w:r>
    </w:p>
    <w:tbl>
      <w:tblPr>
        <w:tblW w:w="9368" w:type="dxa"/>
        <w:jc w:val="left"/>
        <w:tblInd w:w="0" w:type="dxa"/>
        <w:tblCellMar>
          <w:top w:w="55" w:type="dxa"/>
          <w:left w:w="55" w:type="dxa"/>
          <w:bottom w:w="55" w:type="dxa"/>
          <w:right w:w="55" w:type="dxa"/>
        </w:tblCellMar>
      </w:tblPr>
      <w:tblGrid>
        <w:gridCol w:w="889"/>
        <w:gridCol w:w="1004"/>
        <w:gridCol w:w="1255"/>
        <w:gridCol w:w="1442"/>
        <w:gridCol w:w="4778"/>
      </w:tblGrid>
      <w:tr>
        <w:trPr>
          <w:trHeight w:val="314" w:hRule="atLeast"/>
        </w:trPr>
        <w:tc>
          <w:tcPr>
            <w:tcW w:w="889" w:type="dxa"/>
            <w:tcBorders>
              <w:top w:val="single" w:sz="4" w:space="0" w:color="000000"/>
              <w:left w:val="single" w:sz="4" w:space="0" w:color="000000"/>
              <w:bottom w:val="single" w:sz="4" w:space="0" w:color="000000"/>
            </w:tcBorders>
            <w:shd w:fill="auto" w:val="clear"/>
            <w:vAlign w:val="center"/>
          </w:tcPr>
          <w:p>
            <w:pPr>
              <w:pStyle w:val="TableContents"/>
              <w:jc w:val="left"/>
              <w:rPr>
                <w:b/>
                <w:b/>
                <w:bCs/>
              </w:rPr>
            </w:pPr>
            <w:r>
              <w:rPr>
                <w:b/>
                <w:bCs/>
              </w:rPr>
              <w:t>Site ID</w:t>
            </w:r>
          </w:p>
        </w:tc>
        <w:tc>
          <w:tcPr>
            <w:tcW w:w="1004" w:type="dxa"/>
            <w:tcBorders>
              <w:top w:val="single" w:sz="4" w:space="0" w:color="000000"/>
              <w:left w:val="single" w:sz="4" w:space="0" w:color="000000"/>
              <w:bottom w:val="single" w:sz="4" w:space="0" w:color="000000"/>
            </w:tcBorders>
            <w:shd w:fill="auto" w:val="clear"/>
            <w:vAlign w:val="center"/>
          </w:tcPr>
          <w:p>
            <w:pPr>
              <w:pStyle w:val="TableContents"/>
              <w:jc w:val="left"/>
              <w:rPr>
                <w:b/>
                <w:b/>
                <w:bCs/>
              </w:rPr>
            </w:pPr>
            <w:r>
              <w:rPr>
                <w:b/>
                <w:bCs/>
              </w:rPr>
              <w:t>Latitude</w:t>
            </w:r>
          </w:p>
        </w:tc>
        <w:tc>
          <w:tcPr>
            <w:tcW w:w="1255" w:type="dxa"/>
            <w:tcBorders>
              <w:top w:val="single" w:sz="4" w:space="0" w:color="000000"/>
              <w:left w:val="single" w:sz="4" w:space="0" w:color="000000"/>
              <w:bottom w:val="single" w:sz="4" w:space="0" w:color="000000"/>
            </w:tcBorders>
            <w:shd w:fill="auto" w:val="clear"/>
            <w:vAlign w:val="center"/>
          </w:tcPr>
          <w:p>
            <w:pPr>
              <w:pStyle w:val="TableContents"/>
              <w:jc w:val="left"/>
              <w:rPr>
                <w:b/>
                <w:b/>
                <w:bCs/>
              </w:rPr>
            </w:pPr>
            <w:r>
              <w:rPr>
                <w:b/>
                <w:bCs/>
              </w:rPr>
              <w:t>Longitude</w:t>
            </w:r>
          </w:p>
        </w:tc>
        <w:tc>
          <w:tcPr>
            <w:tcW w:w="1442" w:type="dxa"/>
            <w:tcBorders>
              <w:top w:val="single" w:sz="4" w:space="0" w:color="000000"/>
              <w:left w:val="single" w:sz="4" w:space="0" w:color="000000"/>
              <w:bottom w:val="single" w:sz="4" w:space="0" w:color="000000"/>
            </w:tcBorders>
            <w:shd w:fill="auto" w:val="clear"/>
            <w:vAlign w:val="center"/>
          </w:tcPr>
          <w:p>
            <w:pPr>
              <w:pStyle w:val="TableContents"/>
              <w:jc w:val="left"/>
              <w:rPr>
                <w:b/>
                <w:b/>
                <w:bCs/>
              </w:rPr>
            </w:pPr>
            <w:r>
              <w:rPr>
                <w:b/>
                <w:bCs/>
              </w:rPr>
              <w:t>Focal Transect Location</w:t>
            </w:r>
          </w:p>
        </w:tc>
        <w:tc>
          <w:tcPr>
            <w:tcW w:w="4778" w:type="dxa"/>
            <w:tcBorders>
              <w:top w:val="single" w:sz="4" w:space="0" w:color="000000"/>
              <w:left w:val="single" w:sz="4" w:space="0" w:color="000000"/>
              <w:bottom w:val="single" w:sz="4" w:space="0" w:color="000000"/>
              <w:right w:val="single" w:sz="4" w:space="0" w:color="000000"/>
            </w:tcBorders>
            <w:shd w:fill="auto" w:val="clear"/>
            <w:vAlign w:val="center"/>
          </w:tcPr>
          <w:p>
            <w:pPr>
              <w:pStyle w:val="TableContents"/>
              <w:jc w:val="left"/>
              <w:rPr>
                <w:b/>
                <w:b/>
                <w:bCs/>
              </w:rPr>
            </w:pPr>
            <w:r>
              <w:rPr>
                <w:b/>
                <w:bCs/>
              </w:rPr>
              <w:t>Site Description</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w:t>
            </w:r>
          </w:p>
        </w:tc>
        <w:tc>
          <w:tcPr>
            <w:tcW w:w="1004" w:type="dxa"/>
            <w:tcBorders>
              <w:left w:val="single" w:sz="4" w:space="0" w:color="000000"/>
              <w:bottom w:val="single" w:sz="4" w:space="0" w:color="000000"/>
            </w:tcBorders>
            <w:shd w:fill="auto" w:val="clear"/>
            <w:vAlign w:val="center"/>
          </w:tcPr>
          <w:p>
            <w:pPr>
              <w:pStyle w:val="TableContents"/>
              <w:jc w:val="right"/>
              <w:rPr/>
            </w:pPr>
            <w:r>
              <w:rPr/>
              <w:t>64.77</w:t>
            </w:r>
          </w:p>
        </w:tc>
        <w:tc>
          <w:tcPr>
            <w:tcW w:w="1255" w:type="dxa"/>
            <w:tcBorders>
              <w:left w:val="single" w:sz="4" w:space="0" w:color="000000"/>
              <w:bottom w:val="single" w:sz="4" w:space="0" w:color="000000"/>
            </w:tcBorders>
            <w:shd w:fill="auto" w:val="clear"/>
            <w:vAlign w:val="center"/>
          </w:tcPr>
          <w:p>
            <w:pPr>
              <w:pStyle w:val="TableContents"/>
              <w:jc w:val="right"/>
              <w:rPr/>
            </w:pPr>
            <w:r>
              <w:rPr/>
              <w:t>-148.3</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Bonanza Creek, </w:t>
            </w:r>
            <w:r>
              <w:rPr>
                <w:i/>
                <w:iCs/>
              </w:rPr>
              <w:t>Picea mariana</w:t>
            </w:r>
            <w:r>
              <w:rPr/>
              <w:t xml:space="preserve"> (Black Spruce)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2</w:t>
            </w:r>
          </w:p>
        </w:tc>
        <w:tc>
          <w:tcPr>
            <w:tcW w:w="1004" w:type="dxa"/>
            <w:tcBorders>
              <w:left w:val="single" w:sz="4" w:space="0" w:color="000000"/>
              <w:bottom w:val="single" w:sz="4" w:space="0" w:color="000000"/>
            </w:tcBorders>
            <w:shd w:fill="auto" w:val="clear"/>
            <w:vAlign w:val="center"/>
          </w:tcPr>
          <w:p>
            <w:pPr>
              <w:pStyle w:val="TableContents"/>
              <w:jc w:val="right"/>
              <w:rPr/>
            </w:pPr>
            <w:r>
              <w:rPr/>
              <w:t>64.77</w:t>
            </w:r>
          </w:p>
        </w:tc>
        <w:tc>
          <w:tcPr>
            <w:tcW w:w="1255" w:type="dxa"/>
            <w:tcBorders>
              <w:left w:val="single" w:sz="4" w:space="0" w:color="000000"/>
              <w:bottom w:val="single" w:sz="4" w:space="0" w:color="000000"/>
            </w:tcBorders>
            <w:shd w:fill="auto" w:val="clear"/>
            <w:vAlign w:val="center"/>
          </w:tcPr>
          <w:p>
            <w:pPr>
              <w:pStyle w:val="TableContents"/>
              <w:jc w:val="right"/>
              <w:rPr/>
            </w:pPr>
            <w:r>
              <w:rPr/>
              <w:t>-148.27</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Bonanza Creek,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3</w:t>
            </w:r>
          </w:p>
        </w:tc>
        <w:tc>
          <w:tcPr>
            <w:tcW w:w="1004" w:type="dxa"/>
            <w:tcBorders>
              <w:left w:val="single" w:sz="4" w:space="0" w:color="000000"/>
              <w:bottom w:val="single" w:sz="4" w:space="0" w:color="000000"/>
            </w:tcBorders>
            <w:shd w:fill="auto" w:val="clear"/>
            <w:vAlign w:val="center"/>
          </w:tcPr>
          <w:p>
            <w:pPr>
              <w:pStyle w:val="TableContents"/>
              <w:jc w:val="right"/>
              <w:rPr/>
            </w:pPr>
            <w:r>
              <w:rPr/>
              <w:t>64.77</w:t>
            </w:r>
          </w:p>
        </w:tc>
        <w:tc>
          <w:tcPr>
            <w:tcW w:w="1255" w:type="dxa"/>
            <w:tcBorders>
              <w:left w:val="single" w:sz="4" w:space="0" w:color="000000"/>
              <w:bottom w:val="single" w:sz="4" w:space="0" w:color="000000"/>
            </w:tcBorders>
            <w:shd w:fill="auto" w:val="clear"/>
            <w:vAlign w:val="center"/>
          </w:tcPr>
          <w:p>
            <w:pPr>
              <w:pStyle w:val="TableContents"/>
              <w:jc w:val="right"/>
              <w:rPr/>
            </w:pPr>
            <w:r>
              <w:rPr/>
              <w:t>-148.3</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Bonanza Creek,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4</w:t>
            </w:r>
          </w:p>
        </w:tc>
        <w:tc>
          <w:tcPr>
            <w:tcW w:w="1004" w:type="dxa"/>
            <w:tcBorders>
              <w:left w:val="single" w:sz="4" w:space="0" w:color="000000"/>
              <w:bottom w:val="single" w:sz="4" w:space="0" w:color="000000"/>
            </w:tcBorders>
            <w:shd w:fill="auto" w:val="clear"/>
            <w:vAlign w:val="center"/>
          </w:tcPr>
          <w:p>
            <w:pPr>
              <w:pStyle w:val="TableContents"/>
              <w:jc w:val="right"/>
              <w:rPr/>
            </w:pPr>
            <w:r>
              <w:rPr/>
              <w:t>64.71</w:t>
            </w:r>
          </w:p>
        </w:tc>
        <w:tc>
          <w:tcPr>
            <w:tcW w:w="1255" w:type="dxa"/>
            <w:tcBorders>
              <w:left w:val="single" w:sz="4" w:space="0" w:color="000000"/>
              <w:bottom w:val="single" w:sz="4" w:space="0" w:color="000000"/>
            </w:tcBorders>
            <w:shd w:fill="auto" w:val="clear"/>
            <w:vAlign w:val="center"/>
          </w:tcPr>
          <w:p>
            <w:pPr>
              <w:pStyle w:val="TableContents"/>
              <w:jc w:val="right"/>
              <w:rPr/>
            </w:pPr>
            <w:r>
              <w:rPr/>
              <w:t>-148.31</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Bonanza Creek </w:t>
            </w:r>
            <w:r>
              <w:rPr>
                <w:i/>
                <w:iCs/>
              </w:rPr>
              <w:t>Picea glauca</w:t>
            </w:r>
            <w:r>
              <w:rPr/>
              <w:t>/Alder/Birch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5</w:t>
            </w:r>
          </w:p>
        </w:tc>
        <w:tc>
          <w:tcPr>
            <w:tcW w:w="1004" w:type="dxa"/>
            <w:tcBorders>
              <w:left w:val="single" w:sz="4" w:space="0" w:color="000000"/>
              <w:bottom w:val="single" w:sz="4" w:space="0" w:color="000000"/>
            </w:tcBorders>
            <w:shd w:fill="auto" w:val="clear"/>
            <w:vAlign w:val="center"/>
          </w:tcPr>
          <w:p>
            <w:pPr>
              <w:pStyle w:val="TableContents"/>
              <w:jc w:val="right"/>
              <w:rPr/>
            </w:pPr>
            <w:r>
              <w:rPr/>
              <w:t>64.7</w:t>
            </w:r>
          </w:p>
        </w:tc>
        <w:tc>
          <w:tcPr>
            <w:tcW w:w="1255" w:type="dxa"/>
            <w:tcBorders>
              <w:left w:val="single" w:sz="4" w:space="0" w:color="000000"/>
              <w:bottom w:val="single" w:sz="4" w:space="0" w:color="000000"/>
            </w:tcBorders>
            <w:shd w:fill="auto" w:val="clear"/>
            <w:vAlign w:val="center"/>
          </w:tcPr>
          <w:p>
            <w:pPr>
              <w:pStyle w:val="TableContents"/>
              <w:jc w:val="right"/>
              <w:rPr/>
            </w:pPr>
            <w:r>
              <w:rPr/>
              <w:t>-148.3</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Bonanza Creek bog-like,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6</w:t>
            </w:r>
          </w:p>
        </w:tc>
        <w:tc>
          <w:tcPr>
            <w:tcW w:w="1004" w:type="dxa"/>
            <w:tcBorders>
              <w:left w:val="single" w:sz="4" w:space="0" w:color="000000"/>
              <w:bottom w:val="single" w:sz="4" w:space="0" w:color="000000"/>
            </w:tcBorders>
            <w:shd w:fill="auto" w:val="clear"/>
            <w:vAlign w:val="center"/>
          </w:tcPr>
          <w:p>
            <w:pPr>
              <w:pStyle w:val="TableContents"/>
              <w:jc w:val="right"/>
              <w:rPr/>
            </w:pPr>
            <w:r>
              <w:rPr/>
              <w:t>64.7</w:t>
            </w:r>
          </w:p>
        </w:tc>
        <w:tc>
          <w:tcPr>
            <w:tcW w:w="1255" w:type="dxa"/>
            <w:tcBorders>
              <w:left w:val="single" w:sz="4" w:space="0" w:color="000000"/>
              <w:bottom w:val="single" w:sz="4" w:space="0" w:color="000000"/>
            </w:tcBorders>
            <w:shd w:fill="auto" w:val="clear"/>
            <w:vAlign w:val="center"/>
          </w:tcPr>
          <w:p>
            <w:pPr>
              <w:pStyle w:val="TableContents"/>
              <w:jc w:val="right"/>
              <w:rPr/>
            </w:pPr>
            <w:r>
              <w:rPr/>
              <w:t>-148.29</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Bonanza Creek, fen-like, open canopy</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7</w:t>
            </w:r>
          </w:p>
        </w:tc>
        <w:tc>
          <w:tcPr>
            <w:tcW w:w="1004" w:type="dxa"/>
            <w:tcBorders>
              <w:left w:val="single" w:sz="4" w:space="0" w:color="000000"/>
              <w:bottom w:val="single" w:sz="4" w:space="0" w:color="000000"/>
            </w:tcBorders>
            <w:shd w:fill="auto" w:val="clear"/>
            <w:vAlign w:val="center"/>
          </w:tcPr>
          <w:p>
            <w:pPr>
              <w:pStyle w:val="TableContents"/>
              <w:jc w:val="right"/>
              <w:rPr/>
            </w:pPr>
            <w:r>
              <w:rPr/>
              <w:t>64.87</w:t>
            </w:r>
          </w:p>
        </w:tc>
        <w:tc>
          <w:tcPr>
            <w:tcW w:w="1255" w:type="dxa"/>
            <w:tcBorders>
              <w:left w:val="single" w:sz="4" w:space="0" w:color="000000"/>
              <w:bottom w:val="single" w:sz="4" w:space="0" w:color="000000"/>
            </w:tcBorders>
            <w:shd w:fill="auto" w:val="clear"/>
            <w:vAlign w:val="center"/>
          </w:tcPr>
          <w:p>
            <w:pPr>
              <w:pStyle w:val="TableContents"/>
              <w:jc w:val="right"/>
              <w:rPr/>
            </w:pPr>
            <w:r>
              <w:rPr/>
              <w:t>-147.86</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UAF, tussock</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8</w:t>
            </w:r>
          </w:p>
        </w:tc>
        <w:tc>
          <w:tcPr>
            <w:tcW w:w="1004" w:type="dxa"/>
            <w:tcBorders>
              <w:left w:val="single" w:sz="4" w:space="0" w:color="000000"/>
              <w:bottom w:val="single" w:sz="4" w:space="0" w:color="000000"/>
            </w:tcBorders>
            <w:shd w:fill="auto" w:val="clear"/>
            <w:vAlign w:val="center"/>
          </w:tcPr>
          <w:p>
            <w:pPr>
              <w:pStyle w:val="TableContents"/>
              <w:jc w:val="right"/>
              <w:rPr/>
            </w:pPr>
            <w:r>
              <w:rPr/>
              <w:t>64.96</w:t>
            </w:r>
          </w:p>
        </w:tc>
        <w:tc>
          <w:tcPr>
            <w:tcW w:w="1255" w:type="dxa"/>
            <w:tcBorders>
              <w:left w:val="single" w:sz="4" w:space="0" w:color="000000"/>
              <w:bottom w:val="single" w:sz="4" w:space="0" w:color="000000"/>
            </w:tcBorders>
            <w:shd w:fill="auto" w:val="clear"/>
            <w:vAlign w:val="center"/>
          </w:tcPr>
          <w:p>
            <w:pPr>
              <w:pStyle w:val="TableContents"/>
              <w:jc w:val="right"/>
              <w:rPr/>
            </w:pPr>
            <w:r>
              <w:rPr/>
              <w:t>-148.37</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Murphy Dome, Montane tundra</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9</w:t>
            </w:r>
          </w:p>
        </w:tc>
        <w:tc>
          <w:tcPr>
            <w:tcW w:w="1004" w:type="dxa"/>
            <w:tcBorders>
              <w:left w:val="single" w:sz="4" w:space="0" w:color="000000"/>
              <w:bottom w:val="single" w:sz="4" w:space="0" w:color="000000"/>
            </w:tcBorders>
            <w:shd w:fill="auto" w:val="clear"/>
            <w:vAlign w:val="center"/>
          </w:tcPr>
          <w:p>
            <w:pPr>
              <w:pStyle w:val="TableContents"/>
              <w:jc w:val="right"/>
              <w:rPr/>
            </w:pPr>
            <w:r>
              <w:rPr/>
              <w:t>64.88</w:t>
            </w:r>
          </w:p>
        </w:tc>
        <w:tc>
          <w:tcPr>
            <w:tcW w:w="1255" w:type="dxa"/>
            <w:tcBorders>
              <w:left w:val="single" w:sz="4" w:space="0" w:color="000000"/>
              <w:bottom w:val="single" w:sz="4" w:space="0" w:color="000000"/>
            </w:tcBorders>
            <w:shd w:fill="auto" w:val="clear"/>
            <w:vAlign w:val="center"/>
          </w:tcPr>
          <w:p>
            <w:pPr>
              <w:pStyle w:val="TableContents"/>
              <w:jc w:val="right"/>
              <w:rPr/>
            </w:pPr>
            <w:r>
              <w:rPr/>
              <w:t>-148.39</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Murphy Dome, Aspen dominated</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10</w:t>
            </w:r>
          </w:p>
        </w:tc>
        <w:tc>
          <w:tcPr>
            <w:tcW w:w="1004" w:type="dxa"/>
            <w:tcBorders>
              <w:left w:val="single" w:sz="4" w:space="0" w:color="000000"/>
              <w:bottom w:val="single" w:sz="4" w:space="0" w:color="000000"/>
            </w:tcBorders>
            <w:shd w:fill="auto" w:val="clear"/>
            <w:vAlign w:val="center"/>
          </w:tcPr>
          <w:p>
            <w:pPr>
              <w:pStyle w:val="TableContents"/>
              <w:jc w:val="right"/>
              <w:rPr/>
            </w:pPr>
            <w:r>
              <w:rPr/>
              <w:t>64.88</w:t>
            </w:r>
          </w:p>
        </w:tc>
        <w:tc>
          <w:tcPr>
            <w:tcW w:w="1255" w:type="dxa"/>
            <w:tcBorders>
              <w:left w:val="single" w:sz="4" w:space="0" w:color="000000"/>
              <w:bottom w:val="single" w:sz="4" w:space="0" w:color="000000"/>
            </w:tcBorders>
            <w:shd w:fill="auto" w:val="clear"/>
            <w:vAlign w:val="center"/>
          </w:tcPr>
          <w:p>
            <w:pPr>
              <w:pStyle w:val="TableContents"/>
              <w:jc w:val="right"/>
              <w:rPr/>
            </w:pPr>
            <w:r>
              <w:rPr/>
              <w:t>-148.4</w:t>
            </w:r>
          </w:p>
        </w:tc>
        <w:tc>
          <w:tcPr>
            <w:tcW w:w="1442" w:type="dxa"/>
            <w:tcBorders>
              <w:left w:val="single" w:sz="4" w:space="0" w:color="000000"/>
              <w:bottom w:val="single" w:sz="4" w:space="0" w:color="000000"/>
            </w:tcBorders>
            <w:shd w:fill="auto" w:val="clear"/>
            <w:vAlign w:val="center"/>
          </w:tcPr>
          <w:p>
            <w:pPr>
              <w:pStyle w:val="TableContents"/>
              <w:jc w:val="left"/>
              <w:rPr/>
            </w:pPr>
            <w:r>
              <w:rPr/>
              <w:t>Fairbanks</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Murphy Dome,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11</w:t>
            </w:r>
          </w:p>
        </w:tc>
        <w:tc>
          <w:tcPr>
            <w:tcW w:w="1004" w:type="dxa"/>
            <w:tcBorders>
              <w:left w:val="single" w:sz="4" w:space="0" w:color="000000"/>
              <w:bottom w:val="single" w:sz="4" w:space="0" w:color="000000"/>
            </w:tcBorders>
            <w:shd w:fill="auto" w:val="clear"/>
            <w:vAlign w:val="center"/>
          </w:tcPr>
          <w:p>
            <w:pPr>
              <w:pStyle w:val="TableContents"/>
              <w:jc w:val="right"/>
              <w:rPr/>
            </w:pPr>
            <w:r>
              <w:rPr/>
              <w:t>68.64</w:t>
            </w:r>
          </w:p>
        </w:tc>
        <w:tc>
          <w:tcPr>
            <w:tcW w:w="1255" w:type="dxa"/>
            <w:tcBorders>
              <w:left w:val="single" w:sz="4" w:space="0" w:color="000000"/>
              <w:bottom w:val="single" w:sz="4" w:space="0" w:color="000000"/>
            </w:tcBorders>
            <w:shd w:fill="auto" w:val="clear"/>
            <w:vAlign w:val="center"/>
          </w:tcPr>
          <w:p>
            <w:pPr>
              <w:pStyle w:val="TableContents"/>
              <w:jc w:val="right"/>
              <w:rPr/>
            </w:pPr>
            <w:r>
              <w:rPr/>
              <w:t>-149.59</w:t>
            </w:r>
          </w:p>
        </w:tc>
        <w:tc>
          <w:tcPr>
            <w:tcW w:w="1442" w:type="dxa"/>
            <w:tcBorders>
              <w:left w:val="single" w:sz="4" w:space="0" w:color="000000"/>
              <w:bottom w:val="single" w:sz="4" w:space="0" w:color="000000"/>
            </w:tcBorders>
            <w:shd w:fill="auto" w:val="clear"/>
            <w:vAlign w:val="center"/>
          </w:tcPr>
          <w:p>
            <w:pPr>
              <w:pStyle w:val="TableContents"/>
              <w:jc w:val="left"/>
              <w:rPr/>
            </w:pPr>
            <w:r>
              <w:rPr/>
              <w:t>Toolik Lake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Toolik, heath, many rocks no canopy</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12</w:t>
            </w:r>
          </w:p>
        </w:tc>
        <w:tc>
          <w:tcPr>
            <w:tcW w:w="1004" w:type="dxa"/>
            <w:tcBorders>
              <w:left w:val="single" w:sz="4" w:space="0" w:color="000000"/>
              <w:bottom w:val="single" w:sz="4" w:space="0" w:color="000000"/>
            </w:tcBorders>
            <w:shd w:fill="auto" w:val="clear"/>
            <w:vAlign w:val="center"/>
          </w:tcPr>
          <w:p>
            <w:pPr>
              <w:pStyle w:val="TableContents"/>
              <w:jc w:val="right"/>
              <w:rPr/>
            </w:pPr>
            <w:r>
              <w:rPr/>
              <w:t>68.64</w:t>
            </w:r>
          </w:p>
        </w:tc>
        <w:tc>
          <w:tcPr>
            <w:tcW w:w="1255" w:type="dxa"/>
            <w:tcBorders>
              <w:left w:val="single" w:sz="4" w:space="0" w:color="000000"/>
              <w:bottom w:val="single" w:sz="4" w:space="0" w:color="000000"/>
            </w:tcBorders>
            <w:shd w:fill="auto" w:val="clear"/>
            <w:vAlign w:val="center"/>
          </w:tcPr>
          <w:p>
            <w:pPr>
              <w:pStyle w:val="TableContents"/>
              <w:jc w:val="right"/>
              <w:rPr/>
            </w:pPr>
            <w:r>
              <w:rPr/>
              <w:t>-149.57</w:t>
            </w:r>
          </w:p>
        </w:tc>
        <w:tc>
          <w:tcPr>
            <w:tcW w:w="1442" w:type="dxa"/>
            <w:tcBorders>
              <w:left w:val="single" w:sz="4" w:space="0" w:color="000000"/>
              <w:bottom w:val="single" w:sz="4" w:space="0" w:color="000000"/>
            </w:tcBorders>
            <w:shd w:fill="auto" w:val="clear"/>
            <w:vAlign w:val="center"/>
          </w:tcPr>
          <w:p>
            <w:pPr>
              <w:pStyle w:val="TableContents"/>
              <w:jc w:val="left"/>
              <w:rPr/>
            </w:pPr>
            <w:r>
              <w:rPr/>
              <w:t>Toolik Lake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Toolik, shrub tundra, no canopy</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13</w:t>
            </w:r>
          </w:p>
        </w:tc>
        <w:tc>
          <w:tcPr>
            <w:tcW w:w="1004" w:type="dxa"/>
            <w:tcBorders>
              <w:left w:val="single" w:sz="4" w:space="0" w:color="000000"/>
              <w:bottom w:val="single" w:sz="4" w:space="0" w:color="000000"/>
            </w:tcBorders>
            <w:shd w:fill="auto" w:val="clear"/>
            <w:vAlign w:val="center"/>
          </w:tcPr>
          <w:p>
            <w:pPr>
              <w:pStyle w:val="TableContents"/>
              <w:jc w:val="right"/>
              <w:rPr/>
            </w:pPr>
            <w:r>
              <w:rPr/>
              <w:t>68.64</w:t>
            </w:r>
          </w:p>
        </w:tc>
        <w:tc>
          <w:tcPr>
            <w:tcW w:w="1255" w:type="dxa"/>
            <w:tcBorders>
              <w:left w:val="single" w:sz="4" w:space="0" w:color="000000"/>
              <w:bottom w:val="single" w:sz="4" w:space="0" w:color="000000"/>
            </w:tcBorders>
            <w:shd w:fill="auto" w:val="clear"/>
            <w:vAlign w:val="center"/>
          </w:tcPr>
          <w:p>
            <w:pPr>
              <w:pStyle w:val="TableContents"/>
              <w:jc w:val="right"/>
              <w:rPr/>
            </w:pPr>
            <w:r>
              <w:rPr/>
              <w:t>-149.57</w:t>
            </w:r>
          </w:p>
        </w:tc>
        <w:tc>
          <w:tcPr>
            <w:tcW w:w="1442" w:type="dxa"/>
            <w:tcBorders>
              <w:left w:val="single" w:sz="4" w:space="0" w:color="000000"/>
              <w:bottom w:val="single" w:sz="4" w:space="0" w:color="000000"/>
            </w:tcBorders>
            <w:shd w:fill="auto" w:val="clear"/>
            <w:vAlign w:val="center"/>
          </w:tcPr>
          <w:p>
            <w:pPr>
              <w:pStyle w:val="TableContents"/>
              <w:jc w:val="left"/>
              <w:rPr/>
            </w:pPr>
            <w:r>
              <w:rPr/>
              <w:t>Toolik Lake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Toolik, moist acidic tundra, no canopy</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14</w:t>
            </w:r>
          </w:p>
        </w:tc>
        <w:tc>
          <w:tcPr>
            <w:tcW w:w="1004" w:type="dxa"/>
            <w:tcBorders>
              <w:left w:val="single" w:sz="4" w:space="0" w:color="000000"/>
              <w:bottom w:val="single" w:sz="4" w:space="0" w:color="000000"/>
            </w:tcBorders>
            <w:shd w:fill="auto" w:val="clear"/>
            <w:vAlign w:val="center"/>
          </w:tcPr>
          <w:p>
            <w:pPr>
              <w:pStyle w:val="TableContents"/>
              <w:jc w:val="right"/>
              <w:rPr/>
            </w:pPr>
            <w:r>
              <w:rPr/>
              <w:t>68.63</w:t>
            </w:r>
          </w:p>
        </w:tc>
        <w:tc>
          <w:tcPr>
            <w:tcW w:w="1255" w:type="dxa"/>
            <w:tcBorders>
              <w:left w:val="single" w:sz="4" w:space="0" w:color="000000"/>
              <w:bottom w:val="single" w:sz="4" w:space="0" w:color="000000"/>
            </w:tcBorders>
            <w:shd w:fill="auto" w:val="clear"/>
            <w:vAlign w:val="center"/>
          </w:tcPr>
          <w:p>
            <w:pPr>
              <w:pStyle w:val="TableContents"/>
              <w:jc w:val="right"/>
              <w:rPr/>
            </w:pPr>
            <w:r>
              <w:rPr/>
              <w:t>-149.64</w:t>
            </w:r>
          </w:p>
        </w:tc>
        <w:tc>
          <w:tcPr>
            <w:tcW w:w="1442" w:type="dxa"/>
            <w:tcBorders>
              <w:left w:val="single" w:sz="4" w:space="0" w:color="000000"/>
              <w:bottom w:val="single" w:sz="4" w:space="0" w:color="000000"/>
            </w:tcBorders>
            <w:shd w:fill="auto" w:val="clear"/>
            <w:vAlign w:val="center"/>
          </w:tcPr>
          <w:p>
            <w:pPr>
              <w:pStyle w:val="TableContents"/>
              <w:jc w:val="left"/>
              <w:rPr/>
            </w:pPr>
            <w:r>
              <w:rPr/>
              <w:t>Toolik Lake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Toolik, basic tundra, no canopy</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15</w:t>
            </w:r>
          </w:p>
        </w:tc>
        <w:tc>
          <w:tcPr>
            <w:tcW w:w="1004" w:type="dxa"/>
            <w:tcBorders>
              <w:left w:val="single" w:sz="4" w:space="0" w:color="000000"/>
              <w:bottom w:val="single" w:sz="4" w:space="0" w:color="000000"/>
            </w:tcBorders>
            <w:shd w:fill="auto" w:val="clear"/>
            <w:vAlign w:val="center"/>
          </w:tcPr>
          <w:p>
            <w:pPr>
              <w:pStyle w:val="TableContents"/>
              <w:jc w:val="right"/>
              <w:rPr/>
            </w:pPr>
            <w:r>
              <w:rPr/>
              <w:t>61.2</w:t>
            </w:r>
          </w:p>
        </w:tc>
        <w:tc>
          <w:tcPr>
            <w:tcW w:w="1255" w:type="dxa"/>
            <w:tcBorders>
              <w:left w:val="single" w:sz="4" w:space="0" w:color="000000"/>
              <w:bottom w:val="single" w:sz="4" w:space="0" w:color="000000"/>
            </w:tcBorders>
            <w:shd w:fill="auto" w:val="clear"/>
            <w:vAlign w:val="center"/>
          </w:tcPr>
          <w:p>
            <w:pPr>
              <w:pStyle w:val="TableContents"/>
              <w:jc w:val="right"/>
              <w:rPr/>
            </w:pPr>
            <w:r>
              <w:rPr/>
              <w:t>-149.81</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UAA Arboretum, </w:t>
            </w:r>
            <w:r>
              <w:rPr>
                <w:i/>
                <w:iCs/>
              </w:rPr>
              <w:t>Picea mariana</w:t>
            </w:r>
            <w:r>
              <w:rPr/>
              <w:t xml:space="preserve"> dominant, bog-ish</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16</w:t>
            </w:r>
          </w:p>
        </w:tc>
        <w:tc>
          <w:tcPr>
            <w:tcW w:w="1004" w:type="dxa"/>
            <w:tcBorders>
              <w:left w:val="single" w:sz="4" w:space="0" w:color="000000"/>
              <w:bottom w:val="single" w:sz="4" w:space="0" w:color="000000"/>
            </w:tcBorders>
            <w:shd w:fill="auto" w:val="clear"/>
            <w:vAlign w:val="center"/>
          </w:tcPr>
          <w:p>
            <w:pPr>
              <w:pStyle w:val="TableContents"/>
              <w:jc w:val="right"/>
              <w:rPr/>
            </w:pPr>
            <w:r>
              <w:rPr/>
              <w:t>61.2</w:t>
            </w:r>
          </w:p>
        </w:tc>
        <w:tc>
          <w:tcPr>
            <w:tcW w:w="1255" w:type="dxa"/>
            <w:tcBorders>
              <w:left w:val="single" w:sz="4" w:space="0" w:color="000000"/>
              <w:bottom w:val="single" w:sz="4" w:space="0" w:color="000000"/>
            </w:tcBorders>
            <w:shd w:fill="auto" w:val="clear"/>
            <w:vAlign w:val="center"/>
          </w:tcPr>
          <w:p>
            <w:pPr>
              <w:pStyle w:val="TableContents"/>
              <w:jc w:val="right"/>
              <w:rPr/>
            </w:pPr>
            <w:r>
              <w:rPr/>
              <w:t>-149.81</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UAA Arboretum, </w:t>
            </w:r>
            <w:r>
              <w:rPr>
                <w:i/>
                <w:iCs/>
              </w:rPr>
              <w:t>Picea glauca</w:t>
            </w:r>
            <w:r>
              <w:rPr/>
              <w:t xml:space="preserve"> (White Spruce) upland</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17</w:t>
            </w:r>
          </w:p>
        </w:tc>
        <w:tc>
          <w:tcPr>
            <w:tcW w:w="1004" w:type="dxa"/>
            <w:tcBorders>
              <w:left w:val="single" w:sz="4" w:space="0" w:color="000000"/>
              <w:bottom w:val="single" w:sz="4" w:space="0" w:color="000000"/>
            </w:tcBorders>
            <w:shd w:fill="auto" w:val="clear"/>
            <w:vAlign w:val="center"/>
          </w:tcPr>
          <w:p>
            <w:pPr>
              <w:pStyle w:val="TableContents"/>
              <w:jc w:val="right"/>
              <w:rPr/>
            </w:pPr>
            <w:r>
              <w:rPr/>
              <w:t>61.16</w:t>
            </w:r>
          </w:p>
        </w:tc>
        <w:tc>
          <w:tcPr>
            <w:tcW w:w="1255" w:type="dxa"/>
            <w:tcBorders>
              <w:left w:val="single" w:sz="4" w:space="0" w:color="000000"/>
              <w:bottom w:val="single" w:sz="4" w:space="0" w:color="000000"/>
            </w:tcBorders>
            <w:shd w:fill="auto" w:val="clear"/>
            <w:vAlign w:val="center"/>
          </w:tcPr>
          <w:p>
            <w:pPr>
              <w:pStyle w:val="TableContents"/>
              <w:jc w:val="right"/>
              <w:rPr/>
            </w:pPr>
            <w:r>
              <w:rPr/>
              <w:t>-149.8</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Campbell Creek, hummocky mixed dominance forest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18</w:t>
            </w:r>
          </w:p>
        </w:tc>
        <w:tc>
          <w:tcPr>
            <w:tcW w:w="1004" w:type="dxa"/>
            <w:tcBorders>
              <w:left w:val="single" w:sz="4" w:space="0" w:color="000000"/>
              <w:bottom w:val="single" w:sz="4" w:space="0" w:color="000000"/>
            </w:tcBorders>
            <w:shd w:fill="auto" w:val="clear"/>
            <w:vAlign w:val="center"/>
          </w:tcPr>
          <w:p>
            <w:pPr>
              <w:pStyle w:val="TableContents"/>
              <w:jc w:val="right"/>
              <w:rPr/>
            </w:pPr>
            <w:r>
              <w:rPr/>
              <w:t>61</w:t>
            </w:r>
          </w:p>
        </w:tc>
        <w:tc>
          <w:tcPr>
            <w:tcW w:w="1255" w:type="dxa"/>
            <w:tcBorders>
              <w:left w:val="single" w:sz="4" w:space="0" w:color="000000"/>
              <w:bottom w:val="single" w:sz="4" w:space="0" w:color="000000"/>
            </w:tcBorders>
            <w:shd w:fill="auto" w:val="clear"/>
            <w:vAlign w:val="center"/>
          </w:tcPr>
          <w:p>
            <w:pPr>
              <w:pStyle w:val="TableContents"/>
              <w:jc w:val="right"/>
              <w:rPr/>
            </w:pPr>
            <w:r>
              <w:rPr/>
              <w:t>-149.09</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Winner's Creek, Girdwood, </w:t>
            </w:r>
            <w:r>
              <w:rPr>
                <w:i/>
                <w:iCs/>
              </w:rPr>
              <w:t xml:space="preserve">Tsuga heterophylla </w:t>
            </w:r>
            <w:r>
              <w:rPr>
                <w:i w:val="false"/>
                <w:iCs w:val="false"/>
              </w:rPr>
              <w:t>(western hemlock)</w:t>
            </w:r>
            <w:r>
              <w:rPr/>
              <w:t xml:space="preserve"> forest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19</w:t>
            </w:r>
          </w:p>
        </w:tc>
        <w:tc>
          <w:tcPr>
            <w:tcW w:w="1004" w:type="dxa"/>
            <w:tcBorders>
              <w:left w:val="single" w:sz="4" w:space="0" w:color="000000"/>
              <w:bottom w:val="single" w:sz="4" w:space="0" w:color="000000"/>
            </w:tcBorders>
            <w:shd w:fill="auto" w:val="clear"/>
            <w:vAlign w:val="center"/>
          </w:tcPr>
          <w:p>
            <w:pPr>
              <w:pStyle w:val="TableContents"/>
              <w:jc w:val="right"/>
              <w:rPr/>
            </w:pPr>
            <w:r>
              <w:rPr/>
              <w:t>60.97</w:t>
            </w:r>
          </w:p>
        </w:tc>
        <w:tc>
          <w:tcPr>
            <w:tcW w:w="1255" w:type="dxa"/>
            <w:tcBorders>
              <w:left w:val="single" w:sz="4" w:space="0" w:color="000000"/>
              <w:bottom w:val="single" w:sz="4" w:space="0" w:color="000000"/>
            </w:tcBorders>
            <w:shd w:fill="auto" w:val="clear"/>
            <w:vAlign w:val="center"/>
          </w:tcPr>
          <w:p>
            <w:pPr>
              <w:pStyle w:val="TableContents"/>
              <w:jc w:val="right"/>
              <w:rPr/>
            </w:pPr>
            <w:r>
              <w:rPr/>
              <w:t>-149.11</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Moose Meadows, Girdwood, </w:t>
            </w:r>
            <w:r>
              <w:rPr>
                <w:i/>
                <w:iCs/>
              </w:rPr>
              <w:t>Tsuga heterophylla</w:t>
            </w:r>
            <w:r>
              <w:rPr>
                <w:i w:val="false"/>
                <w:iCs w:val="false"/>
              </w:rPr>
              <w:t>/</w:t>
            </w:r>
            <w:r>
              <w:rPr>
                <w:i/>
                <w:iCs/>
              </w:rPr>
              <w:t xml:space="preserve"> Picea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20</w:t>
            </w:r>
          </w:p>
        </w:tc>
        <w:tc>
          <w:tcPr>
            <w:tcW w:w="1004" w:type="dxa"/>
            <w:tcBorders>
              <w:left w:val="single" w:sz="4" w:space="0" w:color="000000"/>
              <w:bottom w:val="single" w:sz="4" w:space="0" w:color="000000"/>
            </w:tcBorders>
            <w:shd w:fill="auto" w:val="clear"/>
            <w:vAlign w:val="center"/>
          </w:tcPr>
          <w:p>
            <w:pPr>
              <w:pStyle w:val="TableContents"/>
              <w:jc w:val="right"/>
              <w:rPr/>
            </w:pPr>
            <w:r>
              <w:rPr/>
              <w:t>60.97</w:t>
            </w:r>
          </w:p>
        </w:tc>
        <w:tc>
          <w:tcPr>
            <w:tcW w:w="1255" w:type="dxa"/>
            <w:tcBorders>
              <w:left w:val="single" w:sz="4" w:space="0" w:color="000000"/>
              <w:bottom w:val="single" w:sz="4" w:space="0" w:color="000000"/>
            </w:tcBorders>
            <w:shd w:fill="auto" w:val="clear"/>
            <w:vAlign w:val="center"/>
          </w:tcPr>
          <w:p>
            <w:pPr>
              <w:pStyle w:val="TableContents"/>
              <w:jc w:val="right"/>
              <w:rPr/>
            </w:pPr>
            <w:r>
              <w:rPr/>
              <w:t>-149.11</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Moose Meadows, Girdwood, open fen-like</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21</w:t>
            </w:r>
          </w:p>
        </w:tc>
        <w:tc>
          <w:tcPr>
            <w:tcW w:w="1004" w:type="dxa"/>
            <w:tcBorders>
              <w:left w:val="single" w:sz="4" w:space="0" w:color="000000"/>
              <w:bottom w:val="single" w:sz="4" w:space="0" w:color="000000"/>
            </w:tcBorders>
            <w:shd w:fill="auto" w:val="clear"/>
            <w:vAlign w:val="center"/>
          </w:tcPr>
          <w:p>
            <w:pPr>
              <w:pStyle w:val="TableContents"/>
              <w:jc w:val="right"/>
              <w:rPr/>
            </w:pPr>
            <w:r>
              <w:rPr/>
              <w:t>61.14</w:t>
            </w:r>
          </w:p>
        </w:tc>
        <w:tc>
          <w:tcPr>
            <w:tcW w:w="1255" w:type="dxa"/>
            <w:tcBorders>
              <w:left w:val="single" w:sz="4" w:space="0" w:color="000000"/>
              <w:bottom w:val="single" w:sz="4" w:space="0" w:color="000000"/>
            </w:tcBorders>
            <w:shd w:fill="auto" w:val="clear"/>
            <w:vAlign w:val="center"/>
          </w:tcPr>
          <w:p>
            <w:pPr>
              <w:pStyle w:val="TableContents"/>
              <w:jc w:val="right"/>
              <w:rPr/>
            </w:pPr>
            <w:r>
              <w:rPr/>
              <w:t>-149.77</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Anchorage High School (AC),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22</w:t>
            </w:r>
          </w:p>
        </w:tc>
        <w:tc>
          <w:tcPr>
            <w:tcW w:w="1004" w:type="dxa"/>
            <w:tcBorders>
              <w:left w:val="single" w:sz="4" w:space="0" w:color="000000"/>
              <w:bottom w:val="single" w:sz="4" w:space="0" w:color="000000"/>
            </w:tcBorders>
            <w:shd w:fill="auto" w:val="clear"/>
            <w:vAlign w:val="center"/>
          </w:tcPr>
          <w:p>
            <w:pPr>
              <w:pStyle w:val="TableContents"/>
              <w:jc w:val="right"/>
              <w:rPr/>
            </w:pPr>
            <w:r>
              <w:rPr/>
              <w:t>61.17</w:t>
            </w:r>
          </w:p>
        </w:tc>
        <w:tc>
          <w:tcPr>
            <w:tcW w:w="1255" w:type="dxa"/>
            <w:tcBorders>
              <w:left w:val="single" w:sz="4" w:space="0" w:color="000000"/>
              <w:bottom w:val="single" w:sz="4" w:space="0" w:color="000000"/>
            </w:tcBorders>
            <w:shd w:fill="auto" w:val="clear"/>
            <w:vAlign w:val="center"/>
          </w:tcPr>
          <w:p>
            <w:pPr>
              <w:pStyle w:val="TableContents"/>
              <w:jc w:val="right"/>
              <w:rPr/>
            </w:pPr>
            <w:r>
              <w:rPr/>
              <w:t>-149.78</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Campbell Creek (AB),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23</w:t>
            </w:r>
          </w:p>
        </w:tc>
        <w:tc>
          <w:tcPr>
            <w:tcW w:w="1004" w:type="dxa"/>
            <w:tcBorders>
              <w:left w:val="single" w:sz="4" w:space="0" w:color="000000"/>
              <w:bottom w:val="single" w:sz="4" w:space="0" w:color="000000"/>
            </w:tcBorders>
            <w:shd w:fill="auto" w:val="clear"/>
            <w:vAlign w:val="center"/>
          </w:tcPr>
          <w:p>
            <w:pPr>
              <w:pStyle w:val="TableContents"/>
              <w:jc w:val="right"/>
              <w:rPr/>
            </w:pPr>
            <w:r>
              <w:rPr/>
              <w:t>61.2</w:t>
            </w:r>
          </w:p>
        </w:tc>
        <w:tc>
          <w:tcPr>
            <w:tcW w:w="1255" w:type="dxa"/>
            <w:tcBorders>
              <w:left w:val="single" w:sz="4" w:space="0" w:color="000000"/>
              <w:bottom w:val="single" w:sz="4" w:space="0" w:color="000000"/>
            </w:tcBorders>
            <w:shd w:fill="auto" w:val="clear"/>
            <w:vAlign w:val="center"/>
          </w:tcPr>
          <w:p>
            <w:pPr>
              <w:pStyle w:val="TableContents"/>
              <w:jc w:val="right"/>
              <w:rPr/>
            </w:pPr>
            <w:r>
              <w:rPr/>
              <w:t>-149.81</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UAA Arboretum (AA), </w:t>
            </w:r>
            <w:r>
              <w:rPr>
                <w:i/>
                <w:iCs/>
              </w:rPr>
              <w:t>Picea mariana</w:t>
            </w:r>
            <w:r>
              <w:rPr/>
              <w:t xml:space="preserve"> dominant</w:t>
            </w:r>
          </w:p>
        </w:tc>
      </w:tr>
      <w:tr>
        <w:trPr>
          <w:trHeight w:val="314" w:hRule="atLeast"/>
        </w:trPr>
        <w:tc>
          <w:tcPr>
            <w:tcW w:w="889" w:type="dxa"/>
            <w:tcBorders>
              <w:left w:val="single" w:sz="4" w:space="0" w:color="000000"/>
              <w:bottom w:val="single" w:sz="4" w:space="0" w:color="000000"/>
            </w:tcBorders>
            <w:shd w:fill="auto" w:val="clear"/>
            <w:vAlign w:val="center"/>
          </w:tcPr>
          <w:p>
            <w:pPr>
              <w:pStyle w:val="TableContents"/>
              <w:jc w:val="right"/>
              <w:rPr/>
            </w:pPr>
            <w:r>
              <w:rPr/>
              <w:t>24</w:t>
            </w:r>
          </w:p>
        </w:tc>
        <w:tc>
          <w:tcPr>
            <w:tcW w:w="1004" w:type="dxa"/>
            <w:tcBorders>
              <w:left w:val="single" w:sz="4" w:space="0" w:color="000000"/>
              <w:bottom w:val="single" w:sz="4" w:space="0" w:color="000000"/>
            </w:tcBorders>
            <w:shd w:fill="auto" w:val="clear"/>
            <w:vAlign w:val="center"/>
          </w:tcPr>
          <w:p>
            <w:pPr>
              <w:pStyle w:val="TableContents"/>
              <w:jc w:val="right"/>
              <w:rPr/>
            </w:pPr>
            <w:r>
              <w:rPr/>
              <w:t>61.22</w:t>
            </w:r>
          </w:p>
        </w:tc>
        <w:tc>
          <w:tcPr>
            <w:tcW w:w="1255" w:type="dxa"/>
            <w:tcBorders>
              <w:left w:val="single" w:sz="4" w:space="0" w:color="000000"/>
              <w:bottom w:val="single" w:sz="4" w:space="0" w:color="000000"/>
            </w:tcBorders>
            <w:shd w:fill="auto" w:val="clear"/>
            <w:vAlign w:val="center"/>
          </w:tcPr>
          <w:p>
            <w:pPr>
              <w:pStyle w:val="TableContents"/>
              <w:jc w:val="right"/>
              <w:rPr/>
            </w:pPr>
            <w:r>
              <w:rPr/>
              <w:t>-149.43</w:t>
            </w:r>
          </w:p>
        </w:tc>
        <w:tc>
          <w:tcPr>
            <w:tcW w:w="1442" w:type="dxa"/>
            <w:tcBorders>
              <w:left w:val="single" w:sz="4" w:space="0" w:color="000000"/>
              <w:bottom w:val="single" w:sz="4" w:space="0" w:color="000000"/>
            </w:tcBorders>
            <w:shd w:fill="auto" w:val="clear"/>
            <w:vAlign w:val="center"/>
          </w:tcPr>
          <w:p>
            <w:pPr>
              <w:pStyle w:val="TableContents"/>
              <w:jc w:val="left"/>
              <w:rPr/>
            </w:pPr>
            <w:r>
              <w:rPr/>
              <w:t>Anchorage</w:t>
            </w:r>
          </w:p>
        </w:tc>
        <w:tc>
          <w:tcPr>
            <w:tcW w:w="4778" w:type="dxa"/>
            <w:tcBorders>
              <w:left w:val="single" w:sz="4" w:space="0" w:color="000000"/>
              <w:bottom w:val="single" w:sz="4" w:space="0" w:color="000000"/>
              <w:right w:val="single" w:sz="4" w:space="0" w:color="000000"/>
            </w:tcBorders>
            <w:shd w:fill="auto" w:val="clear"/>
            <w:vAlign w:val="center"/>
          </w:tcPr>
          <w:p>
            <w:pPr>
              <w:pStyle w:val="TableContents"/>
              <w:jc w:val="left"/>
              <w:rPr/>
            </w:pPr>
            <w:r>
              <w:rPr/>
              <w:t xml:space="preserve">Harp Mountain, Alpine tundra, </w:t>
            </w:r>
            <w:r>
              <w:rPr>
                <w:i/>
                <w:iCs/>
              </w:rPr>
              <w:t>Betula nana</w:t>
            </w:r>
          </w:p>
        </w:tc>
      </w:tr>
    </w:tbl>
    <w:p>
      <w:pPr>
        <w:pStyle w:val="Normal"/>
        <w:widowControl w:val="false"/>
        <w:spacing w:lineRule="auto" w:line="360"/>
        <w:rPr>
          <w:rFonts w:ascii="Calibri" w:hAnsi="Calibri" w:cs="Calibri"/>
          <w:b/>
          <w:b/>
          <w:bCs/>
        </w:rPr>
      </w:pPr>
      <w:r>
        <w:rPr>
          <w:rFonts w:cs="Calibri" w:ascii="Calibri" w:hAnsi="Calibri"/>
          <w:b/>
          <w:bCs/>
        </w:rPr>
      </w:r>
    </w:p>
    <w:p>
      <w:pPr>
        <w:pStyle w:val="Normal"/>
        <w:widowControl w:val="false"/>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4</w:t>
      </w:r>
      <w:r>
        <w:rPr>
          <w:rFonts w:cs="Calibri" w:ascii="Calibri" w:hAnsi="Calibri"/>
          <w:b/>
          <w:bCs/>
        </w:rPr>
        <w:t xml:space="preserve"> </w:t>
      </w:r>
      <w:r>
        <w:rPr>
          <w:rFonts w:cs="Calibri" w:ascii="Calibri" w:hAnsi="Calibri"/>
          <w:b w:val="false"/>
          <w:bCs w:val="false"/>
        </w:rPr>
        <w:t>Evidence for N</w:t>
      </w:r>
      <w:r>
        <w:rPr>
          <w:rFonts w:cs="Calibri" w:ascii="Calibri" w:hAnsi="Calibri"/>
          <w:b w:val="false"/>
          <w:bCs w:val="false"/>
          <w:vertAlign w:val="subscript"/>
        </w:rPr>
        <w:t>2</w:t>
      </w:r>
      <w:r>
        <w:rPr>
          <w:rFonts w:cs="Calibri" w:ascii="Calibri" w:hAnsi="Calibri"/>
          <w:b w:val="false"/>
          <w:bCs w:val="false"/>
        </w:rPr>
        <w:t>-fixation for each of the 22 phylotypes positively correlated with N</w:t>
      </w:r>
      <w:r>
        <w:rPr>
          <w:rFonts w:cs="Calibri" w:ascii="Calibri" w:hAnsi="Calibri"/>
          <w:b w:val="false"/>
          <w:bCs w:val="false"/>
          <w:vertAlign w:val="subscript"/>
        </w:rPr>
        <w:t>2</w:t>
      </w:r>
      <w:r>
        <w:rPr>
          <w:rFonts w:cs="Calibri" w:ascii="Calibri" w:hAnsi="Calibri"/>
          <w:b w:val="false"/>
          <w:bCs w:val="false"/>
        </w:rPr>
        <w:t>-fixation rate. For each phylotype a we specify whether or not there is evidence for N</w:t>
      </w:r>
      <w:r>
        <w:rPr>
          <w:rFonts w:cs="Calibri" w:ascii="Calibri" w:hAnsi="Calibri"/>
          <w:b w:val="false"/>
          <w:bCs w:val="false"/>
          <w:vertAlign w:val="subscript"/>
        </w:rPr>
        <w:t>2</w:t>
      </w:r>
      <w:r>
        <w:rPr>
          <w:rFonts w:cs="Calibri" w:ascii="Calibri" w:hAnsi="Calibri"/>
          <w:b w:val="false"/>
          <w:bCs w:val="false"/>
        </w:rPr>
        <w:t xml:space="preserve">-fixation, and if there is evidence, we specify the type of evidence (literature, isolate genome capable of growth on N-free media, or metagenome). For each phylotype, we also list the closest isolated relative (measured using RDP’s SeqMatch tool) and provide the similarity score for that isolate. For phylotypes with matches among the publicly-accessible MAGs from similar environments, the IMG metagenome bin ID is listed and the 16S SSU distances (as measured by the USEARCH global command) to the phylotype with &gt;0.90 similarity scores are provided. In addition to SSU similarity information, we provide the percent completeness, percent contamination, 16S SSU IMG gene ID, and </w:t>
      </w:r>
      <w:r>
        <w:rPr>
          <w:rFonts w:cs="Calibri" w:ascii="Calibri" w:hAnsi="Calibri"/>
          <w:b w:val="false"/>
          <w:bCs w:val="false"/>
          <w:i/>
          <w:iCs/>
        </w:rPr>
        <w:t>nifH</w:t>
      </w:r>
      <w:r>
        <w:rPr>
          <w:rFonts w:cs="Calibri" w:ascii="Calibri" w:hAnsi="Calibri"/>
          <w:b w:val="false"/>
          <w:bCs w:val="false"/>
        </w:rPr>
        <w:t xml:space="preserve"> IMG gene ID for MAGs that provide evidence for N</w:t>
      </w:r>
      <w:r>
        <w:rPr>
          <w:rFonts w:cs="Calibri" w:ascii="Calibri" w:hAnsi="Calibri"/>
          <w:b w:val="false"/>
          <w:bCs w:val="false"/>
          <w:vertAlign w:val="subscript"/>
        </w:rPr>
        <w:t>2</w:t>
      </w:r>
      <w:r>
        <w:rPr>
          <w:rFonts w:cs="Calibri" w:ascii="Calibri" w:hAnsi="Calibri"/>
          <w:b w:val="false"/>
          <w:bCs w:val="false"/>
        </w:rPr>
        <w:t>-fixation. In cases where literature was used to support a claim of N</w:t>
      </w:r>
      <w:r>
        <w:rPr>
          <w:rFonts w:cs="Calibri" w:ascii="Calibri" w:hAnsi="Calibri"/>
          <w:b w:val="false"/>
          <w:bCs w:val="false"/>
          <w:vertAlign w:val="subscript"/>
        </w:rPr>
        <w:t>2</w:t>
      </w:r>
      <w:r>
        <w:rPr>
          <w:rFonts w:cs="Calibri" w:ascii="Calibri" w:hAnsi="Calibri"/>
          <w:b w:val="false"/>
          <w:bCs w:val="false"/>
        </w:rPr>
        <w:t>-fixation or growth on N-free media, the relevant citation is provided. (Table provided in a separate file)</w:t>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5</w:t>
      </w:r>
      <w:r>
        <w:rPr>
          <w:rFonts w:cs="Calibri" w:ascii="Calibri" w:hAnsi="Calibri"/>
          <w:b/>
          <w:bCs/>
        </w:rPr>
        <w:t xml:space="preserve"> </w:t>
      </w:r>
      <w:r>
        <w:rPr>
          <w:rFonts w:cs="Calibri" w:ascii="Calibri" w:hAnsi="Calibri"/>
          <w:b w:val="false"/>
          <w:bCs w:val="false"/>
        </w:rPr>
        <w:t>Relative abundances of microbial families across host species. Only families that were present at greater an average relative abundance of 0.05 were included in the analysis. Host species are arranged in alphabetical order. Due to the large number of host species, the table has been split into three parts for readability. Significance values represent the results of Bonferroni-corrected p-values from a Kruskall-Wallace test of significance differences in the bacterial family’s relative abundance between host species. All families were found to significantly differ between hosts. (Table provided in a separate file)</w:t>
      </w:r>
    </w:p>
    <w:p>
      <w:pPr>
        <w:pStyle w:val="Normal"/>
        <w:spacing w:lineRule="auto" w:line="360"/>
        <w:rPr>
          <w:rStyle w:val="PlaceholderText"/>
          <w:rFonts w:ascii="Calibri" w:hAnsi="Calibri" w:cs="Calibri"/>
        </w:rPr>
      </w:pPr>
      <w:r>
        <w:rPr>
          <w:rFonts w:cs="Calibri" w:ascii="Calibri" w:hAnsi="Calibri"/>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 xml:space="preserve">6 </w:t>
      </w:r>
      <w:r>
        <w:rPr>
          <w:rFonts w:eastAsia="宋体" w:cs="Calibri" w:ascii="Calibri" w:hAnsi="Calibri"/>
          <w:b w:val="false"/>
          <w:bCs w:val="false"/>
          <w:i w:val="false"/>
          <w:iCs w:val="false"/>
          <w:color w:val="auto"/>
          <w:kern w:val="0"/>
          <w:sz w:val="24"/>
          <w:szCs w:val="24"/>
          <w:lang w:val="en-CA" w:eastAsia="en-US" w:bidi="ar-SA"/>
        </w:rPr>
        <w:t xml:space="preserve">Table summarizing the results of a </w:t>
      </w:r>
      <w:r>
        <w:rPr>
          <w:rFonts w:eastAsia="宋体" w:cs="Calibri" w:ascii="Calibri" w:hAnsi="Calibri"/>
          <w:b w:val="false"/>
          <w:bCs w:val="false"/>
          <w:i w:val="false"/>
          <w:iCs w:val="false"/>
          <w:color w:val="auto"/>
          <w:kern w:val="0"/>
          <w:sz w:val="24"/>
          <w:szCs w:val="24"/>
          <w:lang w:val="en-CA" w:eastAsia="en-US" w:bidi="ar-SA"/>
        </w:rPr>
        <w:t>M</w:t>
      </w:r>
      <w:r>
        <w:rPr>
          <w:rFonts w:eastAsia="宋体" w:cs="Calibri" w:ascii="Calibri" w:hAnsi="Calibri"/>
          <w:b w:val="false"/>
          <w:bCs w:val="false"/>
          <w:i w:val="false"/>
          <w:iCs w:val="false"/>
          <w:color w:val="auto"/>
          <w:kern w:val="0"/>
          <w:sz w:val="24"/>
          <w:szCs w:val="24"/>
          <w:lang w:val="en-CA" w:eastAsia="en-US" w:bidi="ar-SA"/>
        </w:rPr>
        <w:t>antel test between moss microbial communities and moss phylogenetic relatedness. Microbial communities are significantly correlated with phylogenetic structure. An analysis of Sphagnum shows that these results are primarily driven by phylogenetic structuring within the Sphagnum branch of the phylogeny.</w:t>
      </w:r>
    </w:p>
    <w:p>
      <w:pPr>
        <w:pStyle w:val="Normal"/>
        <w:spacing w:lineRule="auto" w:line="360"/>
        <w:rPr>
          <w:rStyle w:val="PlaceholderText"/>
          <w:rFonts w:ascii="Calibri" w:hAnsi="Calibri" w:cs="Calibri"/>
        </w:rPr>
      </w:pPr>
      <w:r>
        <w:rPr>
          <w:rFonts w:cs="Calibri" w:ascii="Calibri" w:hAnsi="Calibri"/>
        </w:rPr>
        <w:drawing>
          <wp:anchor behindDoc="0" distT="0" distB="0" distL="0" distR="0" simplePos="0" locked="0" layoutInCell="1" allowOverlap="1" relativeHeight="5">
            <wp:simplePos x="0" y="0"/>
            <wp:positionH relativeFrom="column">
              <wp:posOffset>821055</wp:posOffset>
            </wp:positionH>
            <wp:positionV relativeFrom="paragraph">
              <wp:posOffset>154305</wp:posOffset>
            </wp:positionV>
            <wp:extent cx="4227830" cy="1298575"/>
            <wp:effectExtent l="0" t="0" r="0" b="0"/>
            <wp:wrapTopAndBottom/>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3"/>
                    <a:srcRect l="18434" t="18873" r="18434" b="0"/>
                    <a:stretch>
                      <a:fillRect/>
                    </a:stretch>
                  </pic:blipFill>
                  <pic:spPr bwMode="auto">
                    <a:xfrm>
                      <a:off x="0" y="0"/>
                      <a:ext cx="4227830" cy="1298575"/>
                    </a:xfrm>
                    <a:prstGeom prst="rect">
                      <a:avLst/>
                    </a:prstGeom>
                  </pic:spPr>
                </pic:pic>
              </a:graphicData>
            </a:graphic>
          </wp:anchor>
        </w:drawing>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bCs/>
        </w:rPr>
      </w:pPr>
      <w:r>
        <w:rPr>
          <w:rFonts w:cs="Calibri" w:ascii="Calibri" w:hAnsi="Calibri"/>
          <w:b/>
          <w:bCs/>
        </w:rPr>
      </w:r>
    </w:p>
    <w:p>
      <w:pPr>
        <w:pStyle w:val="Normal"/>
        <w:widowControl w:val="false"/>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7</w:t>
      </w:r>
      <w:r>
        <w:rPr>
          <w:rFonts w:cs="Calibri" w:ascii="Calibri" w:hAnsi="Calibri"/>
          <w:b w:val="false"/>
          <w:bCs w:val="false"/>
        </w:rPr>
        <w:t xml:space="preserve"> PERMANOVA run on eight individual sites showing the effect of species in explaining microbial community differences.</w:t>
      </w:r>
    </w:p>
    <w:p>
      <w:pPr>
        <w:pStyle w:val="Normal"/>
        <w:spacing w:lineRule="auto" w:line="360"/>
        <w:rPr>
          <w:rStyle w:val="PlaceholderText"/>
          <w:rFonts w:ascii="Calibri" w:hAnsi="Calibri" w:cs="Calibri"/>
        </w:rPr>
      </w:pPr>
      <w:r>
        <w:rPr>
          <w:rFonts w:cs="Calibri" w:ascii="Calibri" w:hAnsi="Calibri"/>
        </w:rPr>
        <w:drawing>
          <wp:anchor behindDoc="0" distT="0" distB="0" distL="0" distR="0" simplePos="0" locked="0" layoutInCell="1" allowOverlap="1" relativeHeight="4">
            <wp:simplePos x="0" y="0"/>
            <wp:positionH relativeFrom="column">
              <wp:posOffset>70485</wp:posOffset>
            </wp:positionH>
            <wp:positionV relativeFrom="paragraph">
              <wp:posOffset>1905</wp:posOffset>
            </wp:positionV>
            <wp:extent cx="5673725" cy="182880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4"/>
                    <a:srcRect l="11530" t="22122" r="10240" b="0"/>
                    <a:stretch>
                      <a:fillRect/>
                    </a:stretch>
                  </pic:blipFill>
                  <pic:spPr bwMode="auto">
                    <a:xfrm>
                      <a:off x="0" y="0"/>
                      <a:ext cx="5673725" cy="1828800"/>
                    </a:xfrm>
                    <a:prstGeom prst="rect">
                      <a:avLst/>
                    </a:prstGeom>
                  </pic:spPr>
                </pic:pic>
              </a:graphicData>
            </a:graphic>
          </wp:anchor>
        </w:drawing>
      </w:r>
    </w:p>
    <w:p>
      <w:pPr>
        <w:pStyle w:val="Normal"/>
        <w:spacing w:lineRule="auto" w:line="360"/>
        <w:rPr>
          <w:rStyle w:val="PlaceholderText"/>
          <w:rFonts w:ascii="Calibri" w:hAnsi="Calibri" w:cs="Calibri"/>
        </w:rPr>
      </w:pPr>
      <w:r>
        <w:rPr>
          <w:rFonts w:cs="Calibri" w:ascii="Calibri" w:hAnsi="Calibri"/>
        </w:rPr>
      </w:r>
    </w:p>
    <w:p>
      <w:pPr>
        <w:pStyle w:val="Normal"/>
        <w:spacing w:lineRule="auto" w:line="360"/>
        <w:rPr>
          <w:rFonts w:ascii="Calibri" w:hAnsi="Calibri" w:cs="Calibri"/>
        </w:rPr>
      </w:pPr>
      <w:r>
        <w:rPr>
          <w:rFonts w:cs="Calibri" w:ascii="Calibri" w:hAnsi="Calibri"/>
        </w:rPr>
      </w:r>
    </w:p>
    <w:p>
      <w:pPr>
        <w:pStyle w:val="Normal"/>
        <w:spacing w:lineRule="auto" w:line="360"/>
        <w:rPr>
          <w:rFonts w:ascii="Calibri" w:hAnsi="Calibri" w:cs="Calibri"/>
        </w:rPr>
      </w:pPr>
      <w:r>
        <w:rPr>
          <w:rFonts w:cs="Calibri" w:ascii="Calibri" w:hAnsi="Calibri"/>
        </w:rPr>
      </w:r>
    </w:p>
    <w:p>
      <w:pPr>
        <w:pStyle w:val="Normal"/>
        <w:spacing w:lineRule="auto" w:line="360"/>
        <w:rPr>
          <w:rFonts w:ascii="Calibri" w:hAnsi="Calibri" w:cs="Calibri"/>
        </w:rPr>
      </w:pPr>
      <w:r>
        <w:rPr>
          <w:rFonts w:cs="Calibri" w:ascii="Calibri" w:hAnsi="Calibri"/>
        </w:rPr>
      </w:r>
    </w:p>
    <w:p>
      <w:pPr>
        <w:pStyle w:val="Normal"/>
        <w:spacing w:lineRule="auto" w:line="360"/>
        <w:rPr>
          <w:rFonts w:ascii="Calibri" w:hAnsi="Calibri" w:cs="Calibri"/>
        </w:rPr>
      </w:pPr>
      <w:r>
        <w:rPr>
          <w:rFonts w:cs="Calibri" w:ascii="Calibri" w:hAnsi="Calibri"/>
        </w:rPr>
      </w:r>
    </w:p>
    <w:p>
      <w:pPr>
        <w:pStyle w:val="Normal"/>
        <w:spacing w:lineRule="auto" w:line="360"/>
        <w:rPr>
          <w:rFonts w:ascii="Calibri" w:hAnsi="Calibri" w:cs="Calibri"/>
        </w:rPr>
      </w:pPr>
      <w:r>
        <w:rPr>
          <w:rFonts w:cs="Calibri" w:ascii="Calibri" w:hAnsi="Calibri"/>
        </w:rPr>
      </w:r>
    </w:p>
    <w:p>
      <w:pPr>
        <w:pStyle w:val="Normal"/>
        <w:spacing w:lineRule="auto" w:line="360"/>
        <w:rPr>
          <w:rFonts w:ascii="Calibri" w:hAnsi="Calibri" w:cs="Calibri"/>
        </w:rPr>
      </w:pPr>
      <w:r>
        <w:rPr>
          <w:rFonts w:cs="Calibri" w:ascii="Calibri" w:hAnsi="Calibri"/>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Fonts w:cs="Calibri" w:ascii="Calibri" w:hAnsi="Calibri"/>
          <w:b/>
          <w:bCs/>
          <w:i w:val="false"/>
          <w:iCs w:val="false"/>
        </w:rPr>
        <w:t>Fig. S1</w:t>
      </w:r>
      <w:r>
        <w:rPr>
          <w:rFonts w:cs="Calibri" w:ascii="Calibri" w:hAnsi="Calibri"/>
          <w:b w:val="false"/>
          <w:bCs w:val="false"/>
          <w:i w:val="false"/>
          <w:iCs w:val="false"/>
        </w:rPr>
        <w:t xml:space="preserve"> Best environmental predictors shaping microbial communities on seven most abundant host species. Green boxes indicate the best predictors as chosen by BIO-ENV for each host species. Rho values for the BIO-ENV tests are displayed beneath the species names. Text inside the boxes indicate the results of a multiple regression of distance matrices (MRM), the top number indicates the regression coefficient, the bottom represents the p-value for that predictor. Darker green boxes indicate a coefficient that was confirmed significant in the MRM. Lighter green boxes were not significant. All correlations for these tests were measured with spearman rank correlations.</w:t>
      </w:r>
    </w:p>
    <w:p>
      <w:pPr>
        <w:pStyle w:val="Normal"/>
        <w:spacing w:lineRule="auto" w:line="360"/>
        <w:rPr>
          <w:rFonts w:ascii="Calibri" w:hAnsi="Calibri" w:cs="Calibri"/>
          <w:b w:val="false"/>
          <w:b w:val="false"/>
          <w:bCs w:val="false"/>
          <w:i w:val="false"/>
          <w:i w:val="false"/>
          <w:iCs w:val="false"/>
        </w:rPr>
      </w:pPr>
      <w:r>
        <w:rPr/>
        <w:drawing>
          <wp:anchor behindDoc="0" distT="0" distB="0" distL="0" distR="0" simplePos="0" locked="0" layoutInCell="1" allowOverlap="1" relativeHeight="3">
            <wp:simplePos x="0" y="0"/>
            <wp:positionH relativeFrom="column">
              <wp:posOffset>-3175</wp:posOffset>
            </wp:positionH>
            <wp:positionV relativeFrom="paragraph">
              <wp:posOffset>126365</wp:posOffset>
            </wp:positionV>
            <wp:extent cx="5893435" cy="4441190"/>
            <wp:effectExtent l="0" t="0" r="0" b="0"/>
            <wp:wrapTopAndBottom/>
            <wp:docPr id="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 descr=""/>
                    <pic:cNvPicPr>
                      <a:picLocks noChangeAspect="1" noChangeArrowheads="1"/>
                    </pic:cNvPicPr>
                  </pic:nvPicPr>
                  <pic:blipFill>
                    <a:blip r:embed="rId5"/>
                    <a:stretch>
                      <a:fillRect/>
                    </a:stretch>
                  </pic:blipFill>
                  <pic:spPr bwMode="auto">
                    <a:xfrm>
                      <a:off x="0" y="0"/>
                      <a:ext cx="5893435" cy="4441190"/>
                    </a:xfrm>
                    <a:prstGeom prst="rect">
                      <a:avLst/>
                    </a:prstGeom>
                  </pic:spPr>
                </pic:pic>
              </a:graphicData>
            </a:graphic>
          </wp:anchor>
        </w:drawing>
      </w:r>
    </w:p>
    <w:p>
      <w:pPr>
        <w:pStyle w:val="Normal"/>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rFonts w:ascii="Calibri" w:hAnsi="Calibri" w:cs="Calibri"/>
        </w:rPr>
      </w:pPr>
      <w:r>
        <w:rPr>
          <w:rFonts w:cs="Calibri" w:ascii="Calibri" w:hAnsi="Calibri"/>
          <w:b/>
          <w:bCs/>
        </w:rPr>
        <w:t>Table S</w:t>
      </w:r>
      <w:r>
        <w:rPr>
          <w:rFonts w:eastAsia="宋体" w:cs="Calibri" w:ascii="Calibri" w:hAnsi="Calibri"/>
          <w:b/>
          <w:bCs/>
          <w:color w:val="auto"/>
          <w:kern w:val="0"/>
          <w:sz w:val="24"/>
          <w:szCs w:val="24"/>
          <w:lang w:val="en-CA" w:eastAsia="en-US" w:bidi="ar-SA"/>
        </w:rPr>
        <w:t>8</w:t>
      </w:r>
      <w:r>
        <w:rPr>
          <w:rFonts w:cs="Calibri" w:ascii="Calibri" w:hAnsi="Calibri"/>
          <w:b w:val="false"/>
          <w:bCs w:val="false"/>
        </w:rPr>
        <w:t xml:space="preserve"> PERMANOVA run on seven individual species showing the effect of site in explaining microbial community differences.</w:t>
      </w:r>
    </w:p>
    <w:p>
      <w:pPr>
        <w:pStyle w:val="Normal"/>
        <w:spacing w:lineRule="auto" w:line="360"/>
        <w:rPr>
          <w:rFonts w:ascii="Calibri" w:hAnsi="Calibri" w:cs="Calibri"/>
          <w:b/>
          <w:b/>
          <w:bCs/>
        </w:rPr>
      </w:pPr>
      <w:r>
        <w:rPr>
          <w:rFonts w:cs="Calibri" w:ascii="Calibri" w:hAnsi="Calibri"/>
          <w:b/>
          <w:bCs/>
        </w:rPr>
        <w:drawing>
          <wp:anchor behindDoc="0" distT="0" distB="0" distL="0" distR="0" simplePos="0" locked="0" layoutInCell="1" allowOverlap="1" relativeHeight="2">
            <wp:simplePos x="0" y="0"/>
            <wp:positionH relativeFrom="column">
              <wp:posOffset>258445</wp:posOffset>
            </wp:positionH>
            <wp:positionV relativeFrom="paragraph">
              <wp:posOffset>48895</wp:posOffset>
            </wp:positionV>
            <wp:extent cx="5458460" cy="2487295"/>
            <wp:effectExtent l="0" t="0" r="0" b="0"/>
            <wp:wrapTopAndBottom/>
            <wp:docPr id="4"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 descr=""/>
                    <pic:cNvPicPr>
                      <a:picLocks noChangeAspect="1" noChangeArrowheads="1"/>
                    </pic:cNvPicPr>
                  </pic:nvPicPr>
                  <pic:blipFill>
                    <a:blip r:embed="rId6"/>
                    <a:srcRect l="12574" t="12888" r="12460" b="41"/>
                    <a:stretch>
                      <a:fillRect/>
                    </a:stretch>
                  </pic:blipFill>
                  <pic:spPr bwMode="auto">
                    <a:xfrm>
                      <a:off x="0" y="0"/>
                      <a:ext cx="5458460" cy="2487295"/>
                    </a:xfrm>
                    <a:prstGeom prst="rect">
                      <a:avLst/>
                    </a:prstGeom>
                  </pic:spPr>
                </pic:pic>
              </a:graphicData>
            </a:graphic>
          </wp:anchor>
        </w:drawing>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9</w:t>
      </w:r>
      <w:r>
        <w:rPr>
          <w:rFonts w:cs="Calibri" w:ascii="Calibri" w:hAnsi="Calibri"/>
          <w:b/>
          <w:bCs/>
        </w:rPr>
        <w:t xml:space="preserve"> </w:t>
      </w:r>
      <w:r>
        <w:rPr>
          <w:rFonts w:cs="Calibri" w:ascii="Calibri" w:hAnsi="Calibri"/>
          <w:b w:val="false"/>
          <w:bCs w:val="false"/>
        </w:rPr>
        <w:t>Table summarizing the correlations between N</w:t>
      </w:r>
      <w:r>
        <w:rPr>
          <w:rFonts w:eastAsia="宋体" w:cs="Calibri" w:ascii="Calibri" w:hAnsi="Calibri"/>
          <w:b w:val="false"/>
          <w:bCs w:val="false"/>
          <w:color w:val="auto"/>
          <w:kern w:val="0"/>
          <w:sz w:val="24"/>
          <w:szCs w:val="24"/>
          <w:vertAlign w:val="subscript"/>
          <w:lang w:val="en-CA" w:eastAsia="en-US" w:bidi="ar-SA"/>
        </w:rPr>
        <w:t>2</w:t>
      </w:r>
      <w:r>
        <w:rPr>
          <w:rFonts w:cs="Calibri" w:ascii="Calibri" w:hAnsi="Calibri"/>
          <w:b w:val="false"/>
          <w:bCs w:val="false"/>
        </w:rPr>
        <w:t>-fixation rate and the 22 putative N</w:t>
      </w:r>
      <w:r>
        <w:rPr>
          <w:rFonts w:eastAsia="宋体" w:cs="Calibri" w:ascii="Calibri" w:hAnsi="Calibri"/>
          <w:b w:val="false"/>
          <w:bCs w:val="false"/>
          <w:color w:val="auto"/>
          <w:kern w:val="0"/>
          <w:sz w:val="24"/>
          <w:szCs w:val="24"/>
          <w:vertAlign w:val="subscript"/>
          <w:lang w:val="en-CA" w:eastAsia="en-US" w:bidi="ar-SA"/>
        </w:rPr>
        <w:t>2</w:t>
      </w:r>
      <w:r>
        <w:rPr>
          <w:rFonts w:cs="Calibri" w:ascii="Calibri" w:hAnsi="Calibri"/>
          <w:b w:val="false"/>
          <w:bCs w:val="false"/>
        </w:rPr>
        <w:t>-fixing phylotypes. We note that some phylotypes are listed more than once as they had significant positive correlations in multiple host species.</w:t>
      </w:r>
      <w:r>
        <w:rPr>
          <w:rFonts w:cs="Calibri" w:ascii="Calibri" w:hAnsi="Calibri"/>
          <w:b w:val="false"/>
          <w:bCs w:val="false"/>
          <w:i w:val="false"/>
          <w:iCs w:val="false"/>
        </w:rPr>
        <w:t xml:space="preserve"> (Table provided in separate file)</w:t>
      </w:r>
    </w:p>
    <w:p>
      <w:pPr>
        <w:pStyle w:val="Normal"/>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spacing w:lineRule="auto" w:line="360"/>
        <w:rPr/>
      </w:pPr>
      <w:r>
        <w:rPr>
          <w:rFonts w:cs="Calibri" w:ascii="Calibri" w:hAnsi="Calibri"/>
          <w:b/>
          <w:bCs/>
        </w:rPr>
        <w:t>Table S</w:t>
      </w:r>
      <w:r>
        <w:rPr>
          <w:rFonts w:eastAsia="宋体" w:cs="Calibri" w:ascii="Calibri" w:hAnsi="Calibri"/>
          <w:b/>
          <w:bCs/>
          <w:color w:val="auto"/>
          <w:kern w:val="0"/>
          <w:sz w:val="24"/>
          <w:szCs w:val="24"/>
          <w:lang w:val="en-CA" w:eastAsia="en-US" w:bidi="ar-SA"/>
        </w:rPr>
        <w:t>10</w:t>
      </w:r>
      <w:r>
        <w:rPr>
          <w:rFonts w:cs="Calibri" w:ascii="Calibri" w:hAnsi="Calibri"/>
          <w:b/>
          <w:bCs/>
        </w:rPr>
        <w:t xml:space="preserve"> </w:t>
      </w:r>
      <w:r>
        <w:rPr>
          <w:rFonts w:cs="Calibri" w:ascii="Calibri" w:hAnsi="Calibri"/>
          <w:b w:val="false"/>
          <w:bCs w:val="false"/>
          <w:i w:val="false"/>
          <w:iCs w:val="false"/>
        </w:rPr>
        <w:t>Table summarizing the findings from nine studies about prevalence and strength of host phylogenetic structuring of plant-microbial communities. The strength quality column is based on theoretical expectations from simulated communities ref [44]. (Table provided in separate file)</w:t>
      </w:r>
    </w:p>
    <w:p>
      <w:pPr>
        <w:pStyle w:val="Normal"/>
        <w:spacing w:lineRule="auto" w:line="360"/>
        <w:rPr>
          <w:rFonts w:ascii="Calibri" w:hAnsi="Calibri" w:cs="Calibri"/>
          <w:b/>
          <w:b/>
          <w:bCs/>
        </w:rPr>
      </w:pPr>
      <w:r>
        <w:rPr>
          <w:rFonts w:cs="Calibri" w:ascii="Calibri" w:hAnsi="Calibri"/>
          <w:b/>
          <w:bCs/>
        </w:rPr>
      </w:r>
    </w:p>
    <w:p>
      <w:pPr>
        <w:sectPr>
          <w:type w:val="continuous"/>
          <w:pgSz w:w="12240" w:h="15840"/>
          <w:pgMar w:left="1440" w:right="1440" w:header="709" w:top="1440" w:footer="0" w:bottom="1440" w:gutter="0"/>
          <w:formProt w:val="false"/>
          <w:textDirection w:val="lrTb"/>
          <w:docGrid w:type="default" w:linePitch="600" w:charSpace="32768"/>
        </w:sectPr>
      </w:pPr>
    </w:p>
    <w:p>
      <w:pPr>
        <w:pStyle w:val="Normal"/>
        <w:widowControl w:val="false"/>
        <w:spacing w:lineRule="auto" w:line="360"/>
        <w:rPr>
          <w:rFonts w:ascii="Calibri" w:hAnsi="Calibri" w:cs="Calibri"/>
          <w:b/>
          <w:b/>
          <w:bCs/>
        </w:rPr>
      </w:pPr>
      <w:r>
        <w:rPr/>
      </w:r>
    </w:p>
    <w:sectPr>
      <w:type w:val="continuous"/>
      <w:pgSz w:w="12240" w:h="15840"/>
      <w:pgMar w:left="1440" w:right="1440" w:header="709" w:top="1440" w:footer="0" w:bottom="1440" w:gutter="0"/>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Verdana">
    <w:charset w:val="01"/>
    <w:family w:val="roman"/>
    <w:pitch w:val="variable"/>
  </w:font>
  <w:font w:name="Tahoma">
    <w:charset w:val="01"/>
    <w:family w:val="roman"/>
    <w:pitch w:val="variable"/>
  </w:font>
  <w:font w:name="Liberation Sans">
    <w:altName w:val="Arial"/>
    <w:charset w:val="01"/>
    <w:family w:val="roman"/>
    <w:pitch w:val="variable"/>
  </w:font>
  <w:font w:name="Calibri">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sz w:val="20"/>
        <w:lang w:val="en-GB" w:eastAsia="en-GB"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宋体" w:cs="Times New Roman"/>
      <w:color w:val="auto"/>
      <w:kern w:val="0"/>
      <w:sz w:val="24"/>
      <w:szCs w:val="24"/>
      <w:lang w:val="en-CA" w:eastAsia="en-US" w:bidi="ar-SA"/>
    </w:rPr>
  </w:style>
  <w:style w:type="paragraph" w:styleId="Heading1">
    <w:name w:val="Heading 1"/>
    <w:basedOn w:val="Normal"/>
    <w:next w:val="Normal"/>
    <w:qFormat/>
    <w:pPr>
      <w:keepNext w:val="true"/>
      <w:outlineLvl w:val="0"/>
    </w:pPr>
    <w:rPr>
      <w:i/>
      <w:iCs/>
    </w:rPr>
  </w:style>
  <w:style w:type="paragraph" w:styleId="Heading2">
    <w:name w:val="Heading 2"/>
    <w:basedOn w:val="Normal"/>
    <w:next w:val="Normal"/>
    <w:qFormat/>
    <w:pPr>
      <w:keepNext w:val="true"/>
      <w:outlineLvl w:val="1"/>
    </w:pPr>
    <w:rPr>
      <w:b/>
      <w:bCs/>
      <w:lang w:val="en-US"/>
    </w:rPr>
  </w:style>
  <w:style w:type="paragraph" w:styleId="Heading3">
    <w:name w:val="Heading 3"/>
    <w:basedOn w:val="Normal"/>
    <w:next w:val="Normal"/>
    <w:qFormat/>
    <w:pPr>
      <w:keepNext w:val="true"/>
      <w:outlineLvl w:val="2"/>
    </w:pPr>
    <w:rPr>
      <w:u w:val="single"/>
      <w:lang w:val="en-US"/>
    </w:rPr>
  </w:style>
  <w:style w:type="paragraph" w:styleId="Heading4">
    <w:name w:val="Heading 4"/>
    <w:basedOn w:val="Normal"/>
    <w:next w:val="Normal"/>
    <w:qFormat/>
    <w:pPr>
      <w:keepNext w:val="true"/>
      <w:jc w:val="center"/>
      <w:outlineLvl w:val="3"/>
    </w:pPr>
    <w:rPr>
      <w:b/>
      <w:bCs/>
    </w:rPr>
  </w:style>
  <w:style w:type="paragraph" w:styleId="Heading5">
    <w:name w:val="Heading 5"/>
    <w:basedOn w:val="Normal"/>
    <w:next w:val="Normal"/>
    <w:qFormat/>
    <w:pPr>
      <w:keepNext w:val="true"/>
      <w:jc w:val="center"/>
      <w:outlineLvl w:val="4"/>
    </w:pPr>
    <w:rPr>
      <w:i/>
      <w:iCs/>
      <w:color w:val="000000"/>
      <w:szCs w:val="18"/>
      <w:lang w:val="en-US"/>
    </w:rPr>
  </w:style>
  <w:style w:type="paragraph" w:styleId="Heading6">
    <w:name w:val="Heading 6"/>
    <w:basedOn w:val="Normal"/>
    <w:next w:val="Normal"/>
    <w:qFormat/>
    <w:pPr>
      <w:keepNext w:val="true"/>
      <w:tabs>
        <w:tab w:val="clear" w:pos="720"/>
        <w:tab w:val="center" w:pos="5126" w:leader="none"/>
      </w:tabs>
      <w:outlineLvl w:val="5"/>
    </w:pPr>
    <w:rPr>
      <w:rFonts w:ascii="Arial" w:hAnsi="Arial" w:cs="Arial"/>
      <w:b/>
      <w:bCs/>
      <w:color w:val="000000"/>
      <w:sz w:val="18"/>
      <w:szCs w:val="18"/>
      <w:lang w:val="en-US"/>
    </w:rPr>
  </w:style>
  <w:style w:type="paragraph" w:styleId="Heading7">
    <w:name w:val="Heading 7"/>
    <w:basedOn w:val="Normal"/>
    <w:next w:val="Normal"/>
    <w:qFormat/>
    <w:pPr>
      <w:keepNext w:val="true"/>
      <w:outlineLvl w:val="6"/>
    </w:pPr>
    <w:rPr>
      <w:szCs w:val="20"/>
      <w:u w:val="single"/>
      <w:lang w:val="en-US"/>
    </w:rPr>
  </w:style>
  <w:style w:type="paragraph" w:styleId="Heading8">
    <w:name w:val="Heading 8"/>
    <w:basedOn w:val="Normal"/>
    <w:next w:val="Normal"/>
    <w:qFormat/>
    <w:pPr>
      <w:keepNext w:val="true"/>
      <w:tabs>
        <w:tab w:val="clear" w:pos="720"/>
        <w:tab w:val="center" w:pos="5284" w:leader="none"/>
      </w:tabs>
      <w:outlineLvl w:val="7"/>
    </w:pPr>
    <w:rPr>
      <w:b/>
      <w:bCs/>
      <w:color w:val="000000"/>
      <w:szCs w:val="18"/>
      <w:lang w:val="en-US"/>
    </w:rPr>
  </w:style>
  <w:style w:type="paragraph" w:styleId="Heading9">
    <w:name w:val="Heading 9"/>
    <w:basedOn w:val="Normal"/>
    <w:next w:val="Normal"/>
    <w:qFormat/>
    <w:pPr>
      <w:keepNext w:val="true"/>
      <w:outlineLvl w:val="8"/>
    </w:pPr>
    <w:rPr>
      <w:b/>
      <w:bCs/>
      <w:color w:val="999999"/>
    </w:rPr>
  </w:style>
  <w:style w:type="character" w:styleId="DefaultParagraphFont">
    <w:name w:val="Default Paragraph Font"/>
    <w:qFormat/>
    <w:rPr/>
  </w:style>
  <w:style w:type="character" w:styleId="InternetLink">
    <w:name w:val="Hyperlink"/>
    <w:rPr>
      <w:color w:val="0000FF"/>
      <w:u w:val="single"/>
    </w:rPr>
  </w:style>
  <w:style w:type="character" w:styleId="Annotationreference">
    <w:name w:val="annotation reference"/>
    <w:qFormat/>
    <w:rPr>
      <w:sz w:val="16"/>
      <w:szCs w:val="16"/>
    </w:rPr>
  </w:style>
  <w:style w:type="character" w:styleId="VisitedInternetLink">
    <w:name w:val="FollowedHyperlink"/>
    <w:qFormat/>
    <w:rPr>
      <w:color w:val="800080"/>
      <w:u w:val="single"/>
    </w:rPr>
  </w:style>
  <w:style w:type="character" w:styleId="Strong">
    <w:name w:val="Strong"/>
    <w:qFormat/>
    <w:rPr>
      <w:b/>
      <w:bCs/>
    </w:rPr>
  </w:style>
  <w:style w:type="character" w:styleId="Pagenumber">
    <w:name w:val="page number"/>
    <w:basedOn w:val="DefaultParagraphFont"/>
    <w:qFormat/>
    <w:rPr/>
  </w:style>
  <w:style w:type="character" w:styleId="Linenumber">
    <w:name w:val="line number"/>
    <w:qFormat/>
    <w:rPr>
      <w:color w:val="999999"/>
      <w:sz w:val="20"/>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Fieldlabel1">
    <w:name w:val="fieldlabel1"/>
    <w:qFormat/>
    <w:rPr>
      <w:rFonts w:ascii="Verdana" w:hAnsi="Verdana"/>
      <w:b/>
      <w:bCs/>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Tahoma" w:hAnsi="Tahoma" w:cs="Tahoma"/>
      <w:sz w:val="16"/>
      <w:szCs w:val="16"/>
      <w:lang w:val="en-CA" w:eastAsia="en-US"/>
    </w:rPr>
  </w:style>
  <w:style w:type="paragraph" w:styleId="Heading">
    <w:name w:val="Heading"/>
    <w:basedOn w:val="Normal"/>
    <w:next w:val="TextBody"/>
    <w:qFormat/>
    <w:pPr>
      <w:keepNext w:val="true"/>
      <w:spacing w:before="240" w:after="120"/>
    </w:pPr>
    <w:rPr>
      <w:rFonts w:ascii="Liberation Sans" w:hAnsi="Liberation Sans" w:eastAsia="Source Han Sans CN Regular" w:cs="Lohit Devanagari"/>
      <w:sz w:val="28"/>
      <w:szCs w:val="28"/>
    </w:rPr>
  </w:style>
  <w:style w:type="paragraph" w:styleId="TextBody">
    <w:name w:val="Body Text"/>
    <w:basedOn w:val="Normal"/>
    <w:pPr/>
    <w:rPr>
      <w:color w:val="000000"/>
      <w:szCs w:val="18"/>
      <w:lang w:val="en-US"/>
    </w:rPr>
  </w:style>
  <w:style w:type="paragraph" w:styleId="List">
    <w:name w:val="List"/>
    <w:basedOn w:val="TextBody"/>
    <w:pPr/>
    <w:rPr>
      <w:rFonts w:eastAsia="Source Han Sans CN Regular" w:cs="Lohit Devanagari"/>
    </w:rPr>
  </w:style>
  <w:style w:type="paragraph" w:styleId="Caption">
    <w:name w:val="Caption"/>
    <w:basedOn w:val="Normal"/>
    <w:qFormat/>
    <w:pPr>
      <w:suppressLineNumbers/>
      <w:spacing w:before="120" w:after="120"/>
    </w:pPr>
    <w:rPr>
      <w:rFonts w:eastAsia="Source Han Sans CN Regular" w:cs="Lohit Devanagari"/>
      <w:i/>
      <w:iCs/>
      <w:sz w:val="24"/>
      <w:szCs w:val="24"/>
    </w:rPr>
  </w:style>
  <w:style w:type="paragraph" w:styleId="Index">
    <w:name w:val="Index"/>
    <w:basedOn w:val="Normal"/>
    <w:qFormat/>
    <w:pPr>
      <w:suppressLineNumbers/>
    </w:pPr>
    <w:rPr>
      <w:rFonts w:eastAsia="Source Han Sans CN Regular" w:cs="Lohit Devanagari"/>
    </w:rPr>
  </w:style>
  <w:style w:type="paragraph" w:styleId="Annotationtext">
    <w:name w:val="annotation text"/>
    <w:basedOn w:val="Normal"/>
    <w:qFormat/>
    <w:pPr/>
    <w:rPr>
      <w:sz w:val="20"/>
      <w:szCs w:val="20"/>
    </w:rPr>
  </w:style>
  <w:style w:type="paragraph" w:styleId="TextBodyIndent">
    <w:name w:val="Body Text Indent"/>
    <w:basedOn w:val="Normal"/>
    <w:pPr>
      <w:ind w:left="0" w:right="0" w:firstLine="720"/>
    </w:pPr>
    <w:rPr>
      <w:szCs w:val="20"/>
      <w:lang w:val="en-US"/>
    </w:rPr>
  </w:style>
  <w:style w:type="paragraph" w:styleId="NormalWeb">
    <w:name w:val="Normal (Web)"/>
    <w:basedOn w:val="Normal"/>
    <w:qFormat/>
    <w:pPr>
      <w:spacing w:before="280" w:after="280"/>
    </w:pPr>
    <w:rPr/>
  </w:style>
  <w:style w:type="paragraph" w:styleId="HeaderandFooter">
    <w:name w:val="Header and Footer"/>
    <w:basedOn w:val="Normal"/>
    <w:qFormat/>
    <w:pPr/>
    <w:rPr/>
  </w:style>
  <w:style w:type="paragraph" w:styleId="Footer">
    <w:name w:val="Footer"/>
    <w:basedOn w:val="Normal"/>
    <w:pPr>
      <w:tabs>
        <w:tab w:val="clear" w:pos="720"/>
        <w:tab w:val="center" w:pos="4320" w:leader="none"/>
        <w:tab w:val="right" w:pos="8640" w:leader="none"/>
      </w:tabs>
    </w:pPr>
    <w:rPr/>
  </w:style>
  <w:style w:type="paragraph" w:styleId="Footnote">
    <w:name w:val="Footnote Text"/>
    <w:basedOn w:val="Normal"/>
    <w:pPr/>
    <w:rPr>
      <w:sz w:val="20"/>
      <w:szCs w:val="20"/>
    </w:rPr>
  </w:style>
  <w:style w:type="paragraph" w:styleId="BodyText2">
    <w:name w:val="Body Text 2"/>
    <w:basedOn w:val="Normal"/>
    <w:qFormat/>
    <w:pPr>
      <w:jc w:val="center"/>
    </w:pPr>
    <w:rPr>
      <w:rFonts w:ascii="Arial" w:hAnsi="Arial" w:cs="Arial"/>
      <w:color w:val="999999"/>
      <w:sz w:val="20"/>
    </w:rPr>
  </w:style>
  <w:style w:type="paragraph" w:styleId="BodyText3">
    <w:name w:val="Body Text 3"/>
    <w:basedOn w:val="Normal"/>
    <w:qFormat/>
    <w:pPr>
      <w:jc w:val="center"/>
    </w:pPr>
    <w:rPr/>
  </w:style>
  <w:style w:type="paragraph" w:styleId="Header">
    <w:name w:val="Header"/>
    <w:basedOn w:val="Normal"/>
    <w:pPr>
      <w:tabs>
        <w:tab w:val="clear" w:pos="720"/>
        <w:tab w:val="center" w:pos="4320" w:leader="none"/>
        <w:tab w:val="right" w:pos="8640" w:leader="none"/>
      </w:tabs>
    </w:pPr>
    <w:rPr/>
  </w:style>
  <w:style w:type="paragraph" w:styleId="Contents6">
    <w:name w:val="TOC 6"/>
    <w:basedOn w:val="Normal"/>
    <w:next w:val="Normal"/>
    <w:autoRedefine/>
    <w:pPr>
      <w:widowControl w:val="false"/>
      <w:ind w:left="0" w:right="113" w:hanging="0"/>
    </w:pPr>
    <w:rPr>
      <w:lang w:val="en-U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left="720" w:right="0" w:hanging="0"/>
      <w:contextualSpacing/>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New_Phytologist_SI_template_2014</Template>
  <TotalTime>399</TotalTime>
  <Application>LibreOffice/6.4.6.2$Linux_X86_64 LibreOffice_project/0ce51a4fd21bff07a5c061082cc82c5ed232f115</Application>
  <Pages>8</Pages>
  <Words>1372</Words>
  <Characters>7914</Characters>
  <CharactersWithSpaces>9096</CharactersWithSpaces>
  <Paragraphs>209</Paragraphs>
  <Company>Ohio State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2015-04-23T15:38:00Z</dcterms:created>
  <dc:creator>Lennon, Sarah</dc:creator>
  <dc:description/>
  <dc:language>en-US</dc:language>
  <cp:lastModifiedBy>Hannah Holland-Moritz</cp:lastModifiedBy>
  <cp:lastPrinted>2006-09-15T11:41:00Z</cp:lastPrinted>
  <dcterms:modified xsi:type="dcterms:W3CDTF">2020-12-08T15:45:37Z</dcterms:modified>
  <cp:revision>102</cp:revision>
  <dc:subject/>
  <dc:title>New Phytologist SI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Ohio State University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ndeley_Bookmark_VswnHitEo5_10">
    <vt:lpwstr>ter/csl-citation.json"}</vt:lpwstr>
  </property>
  <property fmtid="{D5CDD505-2E9C-101B-9397-08002B2CF9AE}" pid="8" name="Mendeley_Bookmark_VswnHitEo5_5">
    <vt:lpwstr>her parts of the plant in mosses, including rhizoids and caulonemata, and may be observed in thallus parenchyma cells of liverworts. Perforate WCCs in the Calobryales, Metzgeriales and Takakia, and hydroids in bryoid mosses, probably evolved independently</vt:lpwstr>
  </property>
  <property fmtid="{D5CDD505-2E9C-101B-9397-08002B2CF9AE}" pid="9" name="Mendeley_Bookmark_VswnHitEo5_6">
    <vt:lpwstr> Because of fundamental differences in developmental design, homology of any of these cells with tracheids is highly unlikely. Likewise, putative food-conducting of bryophytes present highly distinctive characteristics and cannot be considered homologous </vt:lpwstr>
  </property>
  <property fmtid="{D5CDD505-2E9C-101B-9397-08002B2CF9AE}" pid="10" name="Mendeley_Bookmark_VswnHitEo5_7">
    <vt:lpwstr>with the sieve cells of tracheophytes.", "author": [{"dropping-particle": "", "family": "Turetsky", "given": "MR", "non-dropping-particle": "", "parse-names": false, "suffix": ""}], "container-title": "The Bryologist", "id": "ITEM-1", "issue": "3", "issue</vt:lpwstr>
  </property>
  <property fmtid="{D5CDD505-2E9C-101B-9397-08002B2CF9AE}" pid="11" name="Mendeley_Bookmark_VswnHitEo5_8">
    <vt:lpwstr>d": {"date-parts": [["2003"]]}, "page": "395-409", "title": "The Role of Bryophytes in Carbon and Nitrogen Cycling", "type": "article-journal", "volume": "106"}, "uris": ["http://www.mendeley.com/documents/?uuid=a975472b-8aa9-4a2d-864f-262c228c6de7"]}], "</vt:lpwstr>
  </property>
  <property fmtid="{D5CDD505-2E9C-101B-9397-08002B2CF9AE}" pid="12" name="Mendeley_Bookmark_VswnHitEo5_9">
    <vt:lpwstr>mendeley": {"formattedCitation": "(Turetsky, 2003)", "plainTextFormattedCitation": "(Turetsky, 2003)", "previouslyFormattedCitation": "(Turetsky, 2003)"}, "properties": {"noteIndex": 0}, "schema": "https://github.com/citation-style-language/schema/raw/mas</vt:lpwstr>
  </property>
  <property fmtid="{D5CDD505-2E9C-101B-9397-08002B2CF9AE}" pid="13" name="ScaleCrop">
    <vt:bool>0</vt:bool>
  </property>
  <property fmtid="{D5CDD505-2E9C-101B-9397-08002B2CF9AE}" pid="14" name="ShareDoc">
    <vt:bool>0</vt:bool>
  </property>
</Properties>
</file>